
<file path=[Content_Types].xml><?xml version="1.0" encoding="utf-8"?>
<Types xmlns="http://schemas.openxmlformats.org/package/2006/content-types">
  <Default Extension="xml" ContentType="application/xml"/>
  <Default Extension="png" ContentType="image/png"/>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line="240" w:lineRule="auto"/>
              <w:jc w:val="left"/>
              <w:rPr>
                <w:rFonts w:ascii="黑体" w:hAnsi="黑体" w:eastAsia="黑体"/>
                <w:sz w:val="21"/>
                <w:szCs w:val="21"/>
              </w:rPr>
            </w:pPr>
            <w:bookmarkStart w:id="0" w:name="_Hlk69996984"/>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1"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91.080.40 </w:t>
            </w:r>
            <w:r>
              <w:rPr>
                <w:rFonts w:ascii="黑体" w:hAnsi="黑体" w:eastAsia="黑体"/>
                <w:sz w:val="21"/>
                <w:szCs w:val="21"/>
              </w:rPr>
              <w:fldChar w:fldCharType="end"/>
            </w:r>
            <w:bookmarkEnd w:id="1"/>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2"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P25</w:t>
            </w:r>
            <w:r>
              <w:rPr>
                <w:rFonts w:ascii="黑体" w:hAnsi="黑体" w:eastAsia="黑体"/>
                <w:sz w:val="21"/>
                <w:szCs w:val="21"/>
              </w:rPr>
              <w:fldChar w:fldCharType="end"/>
            </w:r>
            <w:bookmarkEnd w:id="2"/>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49"/>
              <w:framePr w:w="0" w:hRule="auto" w:wrap="auto" w:vAnchor="margin" w:hAnchor="text" w:xAlign="left" w:yAlign="inline"/>
              <w:rPr>
                <w:rFonts w:ascii="宋体" w:hAnsi="宋体"/>
                <w:sz w:val="28"/>
                <w:szCs w:val="28"/>
              </w:rPr>
            </w:pPr>
            <w:bookmarkStart w:id="3"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4" w:name="c1"/>
            <w:r>
              <w:instrText xml:space="preserve"> FORMTEXT </w:instrText>
            </w:r>
            <w:r>
              <w:fldChar w:fldCharType="separate"/>
            </w:r>
            <w:r>
              <w:t>42</w:t>
            </w:r>
            <w:r>
              <w:fldChar w:fldCharType="end"/>
            </w:r>
            <w:bookmarkEnd w:id="4"/>
          </w:p>
        </w:tc>
      </w:tr>
    </w:tbl>
    <w:p>
      <w:pPr>
        <w:pStyle w:val="50"/>
        <w:framePr w:w="9639" w:h="624" w:hRule="exact" w:hSpace="181" w:vSpace="181" w:wrap="around"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5"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湖北省</w:t>
      </w:r>
      <w:r>
        <w:rPr>
          <w:rFonts w:ascii="黑体" w:eastAsia="黑体"/>
          <w:b w:val="0"/>
          <w:w w:val="100"/>
          <w:sz w:val="48"/>
        </w:rPr>
        <w:fldChar w:fldCharType="end"/>
      </w:r>
      <w:bookmarkEnd w:id="5"/>
      <w:r>
        <w:rPr>
          <w:rFonts w:hint="eastAsia" w:ascii="黑体" w:hAnsi="黑体" w:eastAsia="黑体"/>
          <w:b w:val="0"/>
          <w:bCs w:val="0"/>
          <w:w w:val="100"/>
          <w:sz w:val="48"/>
          <w:szCs w:val="48"/>
        </w:rPr>
        <w:t>地方标准</w:t>
      </w:r>
    </w:p>
    <w:bookmarkEnd w:id="3"/>
    <w:p>
      <w:pPr>
        <w:pStyle w:val="195"/>
        <w:framePr/>
        <w:rPr>
          <w:lang w:val="fr-FR"/>
        </w:rPr>
      </w:pPr>
      <w:bookmarkStart w:id="6" w:name="_Hlk69997204"/>
      <w:r>
        <w:rPr>
          <w:lang w:val="fr-FR"/>
        </w:rPr>
        <w:t>DB</w:t>
      </w:r>
      <w:r>
        <w:rPr>
          <w:sz w:val="15"/>
          <w:szCs w:val="15"/>
          <w:lang w:val="fr-FR"/>
        </w:rPr>
        <w:t xml:space="preserve"> </w:t>
      </w:r>
      <w:r>
        <w:fldChar w:fldCharType="begin">
          <w:ffData>
            <w:name w:val="文字1"/>
            <w:enabled/>
            <w:calcOnExit w:val="0"/>
            <w:textInput>
              <w:default w:val="XX/T"/>
            </w:textInput>
          </w:ffData>
        </w:fldChar>
      </w:r>
      <w:bookmarkStart w:id="7" w:name="文字1"/>
      <w:r>
        <w:rPr>
          <w:lang w:val="fr-FR"/>
        </w:rPr>
        <w:instrText xml:space="preserve"> FORMTEXT </w:instrText>
      </w:r>
      <w:r>
        <w:fldChar w:fldCharType="separate"/>
      </w:r>
      <w:r>
        <w:rPr>
          <w:lang w:val="fr-FR"/>
        </w:rPr>
        <w:t>42/T</w:t>
      </w:r>
      <w:r>
        <w:fldChar w:fldCharType="end"/>
      </w:r>
      <w:bookmarkEnd w:id="7"/>
      <w:r>
        <w:rPr>
          <w:lang w:val="fr-FR"/>
        </w:rPr>
        <w:t xml:space="preserve"> </w:t>
      </w:r>
      <w:r>
        <w:fldChar w:fldCharType="begin">
          <w:ffData>
            <w:name w:val="NSTD_CODE_F"/>
            <w:enabled/>
            <w:calcOnExit w:val="0"/>
            <w:textInput>
              <w:default w:val="XXXX"/>
            </w:textInput>
          </w:ffData>
        </w:fldChar>
      </w:r>
      <w:bookmarkStart w:id="8" w:name="NSTD_CODE_F"/>
      <w:r>
        <w:rPr>
          <w:lang w:val="fr-FR"/>
        </w:rPr>
        <w:instrText xml:space="preserve"> FORMTEXT </w:instrText>
      </w:r>
      <w:r>
        <w:fldChar w:fldCharType="separate"/>
      </w:r>
      <w:r>
        <w:rPr>
          <w:lang w:val="fr-FR"/>
        </w:rPr>
        <w:t>XXXX</w:t>
      </w:r>
      <w:r>
        <w:fldChar w:fldCharType="end"/>
      </w:r>
      <w:bookmarkEnd w:id="8"/>
      <w:r>
        <w:rPr>
          <w:rFonts w:hAnsi="黑体"/>
          <w:lang w:val="fr-FR"/>
        </w:rPr>
        <w:t>—</w:t>
      </w:r>
      <w:r>
        <w:fldChar w:fldCharType="begin">
          <w:ffData>
            <w:name w:val="NSTD_CODE_B"/>
            <w:enabled/>
            <w:calcOnExit w:val="0"/>
            <w:textInput>
              <w:default w:val="XXXX"/>
            </w:textInput>
          </w:ffData>
        </w:fldChar>
      </w:r>
      <w:bookmarkStart w:id="9" w:name="NSTD_CODE_B"/>
      <w:r>
        <w:rPr>
          <w:lang w:val="fr-FR"/>
        </w:rPr>
        <w:instrText xml:space="preserve"> FORMTEXT </w:instrText>
      </w:r>
      <w:r>
        <w:fldChar w:fldCharType="separate"/>
      </w:r>
      <w:r>
        <w:rPr>
          <w:lang w:val="fr-FR"/>
        </w:rPr>
        <w:t>2022</w:t>
      </w:r>
      <w:r>
        <w:fldChar w:fldCharType="end"/>
      </w:r>
      <w:bookmarkEnd w:id="9"/>
    </w:p>
    <w:bookmarkEnd w:id="6"/>
    <w:p>
      <w:pPr>
        <w:pStyle w:val="196"/>
        <w:framePr/>
        <w:rPr>
          <w:rFonts w:hAnsi="黑体"/>
        </w:rPr>
      </w:pPr>
      <w:r>
        <w:rPr>
          <w:rFonts w:hAnsi="黑体"/>
        </w:rPr>
        <w:fldChar w:fldCharType="begin">
          <w:ffData>
            <w:name w:val="OSTD_CODE"/>
            <w:enabled/>
            <w:calcOnExit w:val="0"/>
            <w:textInput/>
          </w:ffData>
        </w:fldChar>
      </w:r>
      <w:bookmarkStart w:id="10"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10"/>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pPr>
        <w:pStyle w:val="50"/>
        <w:framePr w:w="9639" w:h="6976" w:hRule="exact" w:hSpace="0" w:vSpace="0" w:wrap="around" w:hAnchor="page" w:y="6408"/>
        <w:jc w:val="center"/>
        <w:rPr>
          <w:rFonts w:ascii="黑体" w:hAnsi="黑体" w:eastAsia="黑体"/>
          <w:b w:val="0"/>
          <w:bCs w:val="0"/>
          <w:w w:val="100"/>
        </w:rPr>
      </w:pPr>
    </w:p>
    <w:p>
      <w:pPr>
        <w:pStyle w:val="197"/>
        <w:framePr w:h="6974" w:hRule="exact" w:wrap="around" w:x="1419" w:anchorLock="1"/>
      </w:pPr>
      <w:r>
        <w:fldChar w:fldCharType="begin">
          <w:ffData>
            <w:name w:val="CSTD_NAME"/>
            <w:enabled/>
            <w:calcOnExit w:val="0"/>
            <w:textInput>
              <w:default w:val="点击此处添加标准名称"/>
            </w:textInput>
          </w:ffData>
        </w:fldChar>
      </w:r>
      <w:bookmarkStart w:id="11" w:name="CSTD_NAME"/>
      <w:r>
        <w:instrText xml:space="preserve"> FORMTEXT </w:instrText>
      </w:r>
      <w:r>
        <w:fldChar w:fldCharType="separate"/>
      </w:r>
      <w:r>
        <w:t>钢筋桁架混凝土叠合楼板技术规程</w:t>
      </w:r>
      <w:r>
        <w:fldChar w:fldCharType="end"/>
      </w:r>
      <w:bookmarkEnd w:id="11"/>
    </w:p>
    <w:p>
      <w:pPr>
        <w:framePr w:w="9639" w:h="6974" w:hRule="exact" w:wrap="around" w:vAnchor="page" w:hAnchor="page" w:x="1419" w:y="6408" w:anchorLock="1"/>
        <w:ind w:left="-1418"/>
      </w:pPr>
    </w:p>
    <w:p>
      <w:pPr>
        <w:pStyle w:val="125"/>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2" w:name="ESTD_NAME"/>
      <w:r>
        <w:rPr>
          <w:rFonts w:eastAsia="黑体"/>
          <w:szCs w:val="28"/>
        </w:rPr>
        <w:instrText xml:space="preserve"> FORMTEXT </w:instrText>
      </w:r>
      <w:r>
        <w:rPr>
          <w:rFonts w:eastAsia="黑体"/>
          <w:szCs w:val="28"/>
        </w:rPr>
        <w:fldChar w:fldCharType="separate"/>
      </w:r>
      <w:r>
        <w:rPr>
          <w:rFonts w:eastAsia="黑体"/>
          <w:szCs w:val="28"/>
        </w:rPr>
        <w:t xml:space="preserve">Technical specification for composite slab with steel-bar truss </w:t>
      </w:r>
      <w:r>
        <w:rPr>
          <w:rFonts w:eastAsia="黑体"/>
          <w:szCs w:val="28"/>
        </w:rPr>
        <w:fldChar w:fldCharType="end"/>
      </w:r>
      <w:bookmarkEnd w:id="12"/>
    </w:p>
    <w:p>
      <w:pPr>
        <w:framePr w:w="9639" w:h="6974" w:hRule="exact" w:wrap="around" w:vAnchor="page" w:hAnchor="page" w:x="1419" w:y="6408" w:anchorLock="1"/>
        <w:spacing w:line="760" w:lineRule="exact"/>
        <w:ind w:left="-1418"/>
      </w:pPr>
    </w:p>
    <w:p>
      <w:pPr>
        <w:pStyle w:val="125"/>
        <w:framePr w:w="9639" w:h="6974" w:hRule="exact" w:wrap="around" w:vAnchor="page" w:hAnchor="page" w:x="1419" w:y="6408" w:anchorLock="1"/>
        <w:textAlignment w:val="bottom"/>
        <w:rPr>
          <w:rFonts w:eastAsia="黑体"/>
          <w:szCs w:val="28"/>
        </w:rPr>
      </w:pPr>
    </w:p>
    <w:p>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3" w:name="下拉1"/>
      <w:r>
        <w:rPr>
          <w:sz w:val="24"/>
          <w:szCs w:val="28"/>
        </w:rPr>
        <w:instrText xml:space="preserve"> FORMDROPDOWN </w:instrText>
      </w:r>
      <w:r>
        <w:rPr>
          <w:sz w:val="24"/>
          <w:szCs w:val="28"/>
        </w:rPr>
        <w:fldChar w:fldCharType="separate"/>
      </w:r>
      <w:r>
        <w:rPr>
          <w:sz w:val="24"/>
          <w:szCs w:val="28"/>
        </w:rPr>
        <w:fldChar w:fldCharType="end"/>
      </w:r>
      <w:bookmarkEnd w:id="13"/>
    </w:p>
    <w:p>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4"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4"/>
    </w:p>
    <w:p>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5" w:name="下拉2"/>
      <w:r>
        <w:rPr>
          <w:b/>
          <w:sz w:val="21"/>
          <w:szCs w:val="28"/>
        </w:rPr>
        <w:instrText xml:space="preserve"> FORMDROPDOWN </w:instrText>
      </w:r>
      <w:r>
        <w:rPr>
          <w:b/>
          <w:sz w:val="21"/>
          <w:szCs w:val="28"/>
        </w:rPr>
        <w:fldChar w:fldCharType="separate"/>
      </w:r>
      <w:r>
        <w:rPr>
          <w:b/>
          <w:sz w:val="21"/>
          <w:szCs w:val="28"/>
        </w:rPr>
        <w:fldChar w:fldCharType="end"/>
      </w:r>
      <w:bookmarkEnd w:id="15"/>
    </w:p>
    <w:p>
      <w:pPr>
        <w:pStyle w:val="193"/>
        <w:framePr w:wrap="around" w:y="14176"/>
      </w:pPr>
      <w:r>
        <w:rPr>
          <w:rFonts w:ascii="黑体"/>
        </w:rPr>
        <w:fldChar w:fldCharType="begin">
          <w:ffData>
            <w:name w:val="PLSH_DATE_Y"/>
            <w:enabled/>
            <w:calcOnExit w:val="0"/>
            <w:textInput>
              <w:default w:val="XXXX"/>
              <w:maxLength w:val="4"/>
            </w:textInput>
          </w:ffData>
        </w:fldChar>
      </w:r>
      <w:bookmarkStart w:id="16" w:name="PLSH_DATE_Y"/>
      <w:r>
        <w:rPr>
          <w:rFonts w:ascii="黑体"/>
        </w:rPr>
        <w:instrText xml:space="preserve"> FORMTEXT </w:instrText>
      </w:r>
      <w:r>
        <w:rPr>
          <w:rFonts w:ascii="黑体"/>
        </w:rPr>
        <w:fldChar w:fldCharType="separate"/>
      </w:r>
      <w:r>
        <w:rPr>
          <w:rFonts w:ascii="黑体"/>
        </w:rPr>
        <w:t>    </w:t>
      </w:r>
      <w:r>
        <w:rPr>
          <w:rFonts w:ascii="黑体"/>
        </w:rPr>
        <w:fldChar w:fldCharType="end"/>
      </w:r>
      <w:bookmarkEnd w:id="16"/>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7"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8"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rPr>
          <w:rFonts w:hint="eastAsia"/>
        </w:rPr>
        <w:t>发布</w:t>
      </w:r>
    </w:p>
    <w:p>
      <w:pPr>
        <w:pStyle w:val="194"/>
        <w:framePr w:wrap="around" w:y="14176"/>
      </w:pPr>
      <w:r>
        <w:rPr>
          <w:rFonts w:ascii="黑体"/>
        </w:rPr>
        <w:fldChar w:fldCharType="begin">
          <w:ffData>
            <w:name w:val="CROT_DATE_Y"/>
            <w:enabled/>
            <w:calcOnExit w:val="0"/>
            <w:textInput>
              <w:default w:val="XXXX"/>
              <w:maxLength w:val="4"/>
            </w:textInput>
          </w:ffData>
        </w:fldChar>
      </w:r>
      <w:bookmarkStart w:id="19"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9"/>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20"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20"/>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21"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21"/>
      <w:r>
        <w:rPr>
          <w:rFonts w:hint="eastAsia"/>
        </w:rPr>
        <w:t>实施</w:t>
      </w:r>
    </w:p>
    <w:tbl>
      <w:tblPr>
        <w:tblStyle w:val="26"/>
        <w:tblW w:w="8472" w:type="dxa"/>
        <w:tblInd w:w="0" w:type="dxa"/>
        <w:tblLayout w:type="fixed"/>
        <w:tblCellMar>
          <w:top w:w="0" w:type="dxa"/>
          <w:left w:w="108" w:type="dxa"/>
          <w:bottom w:w="0" w:type="dxa"/>
          <w:right w:w="108" w:type="dxa"/>
        </w:tblCellMar>
      </w:tblPr>
      <w:tblGrid>
        <w:gridCol w:w="5920"/>
        <w:gridCol w:w="2552"/>
      </w:tblGrid>
      <w:tr>
        <w:tblPrEx>
          <w:tblCellMar>
            <w:top w:w="0" w:type="dxa"/>
            <w:left w:w="108" w:type="dxa"/>
            <w:bottom w:w="0" w:type="dxa"/>
            <w:right w:w="108" w:type="dxa"/>
          </w:tblCellMar>
        </w:tblPrEx>
        <w:tc>
          <w:tcPr>
            <w:tcW w:w="5920" w:type="dxa"/>
          </w:tcPr>
          <w:p>
            <w:pPr>
              <w:pStyle w:val="151"/>
              <w:framePr w:h="810" w:hRule="exact" w:wrap="around" w:vAnchor="page" w:hAnchor="page" w:x="2295" w:y="15021"/>
              <w:ind w:firstLine="560"/>
              <w:jc w:val="distribute"/>
              <w:rPr>
                <w:color w:val="000000" w:themeColor="text1"/>
                <w:sz w:val="22"/>
                <w:szCs w:val="13"/>
                <w14:textFill>
                  <w14:solidFill>
                    <w14:schemeClr w14:val="tx1"/>
                  </w14:solidFill>
                </w14:textFill>
              </w:rPr>
            </w:pPr>
            <w:bookmarkStart w:id="22" w:name="fm"/>
            <w:r>
              <w:rPr>
                <w:color w:val="000000" w:themeColor="text1"/>
                <w:sz w:val="28"/>
                <w:szCs w:val="28"/>
                <w14:textFill>
                  <w14:solidFill>
                    <w14:schemeClr w14:val="tx1"/>
                  </w14:solidFill>
                </w14:textFill>
              </w:rPr>
              <w:fldChar w:fldCharType="begin">
                <w:ffData>
                  <w:enabled/>
                  <w:calcOnExit w:val="0"/>
                  <w:textInput>
                    <w:default w:val="湖北省住房和城乡建设厅"/>
                  </w:textInput>
                </w:ffData>
              </w:fldChar>
            </w:r>
            <w:r>
              <w:rPr>
                <w:color w:val="000000" w:themeColor="text1"/>
                <w:sz w:val="28"/>
                <w:szCs w:val="28"/>
                <w14:textFill>
                  <w14:solidFill>
                    <w14:schemeClr w14:val="tx1"/>
                  </w14:solidFill>
                </w14:textFill>
              </w:rPr>
              <w:instrText xml:space="preserve"> FORMTEXT </w:instrText>
            </w:r>
            <w:r>
              <w:rPr>
                <w:color w:val="000000" w:themeColor="text1"/>
                <w:sz w:val="28"/>
                <w:szCs w:val="28"/>
                <w14:textFill>
                  <w14:solidFill>
                    <w14:schemeClr w14:val="tx1"/>
                  </w14:solidFill>
                </w14:textFill>
              </w:rPr>
              <w:fldChar w:fldCharType="separate"/>
            </w:r>
            <w:r>
              <w:rPr>
                <w:rFonts w:hint="eastAsia"/>
                <w:color w:val="000000" w:themeColor="text1"/>
                <w:sz w:val="28"/>
                <w:szCs w:val="28"/>
                <w14:textFill>
                  <w14:solidFill>
                    <w14:schemeClr w14:val="tx1"/>
                  </w14:solidFill>
                </w14:textFill>
              </w:rPr>
              <w:t>湖北省住房和城乡建设厅</w:t>
            </w:r>
            <w:r>
              <w:rPr>
                <w:color w:val="000000" w:themeColor="text1"/>
                <w:sz w:val="28"/>
                <w:szCs w:val="28"/>
                <w14:textFill>
                  <w14:solidFill>
                    <w14:schemeClr w14:val="tx1"/>
                  </w14:solidFill>
                </w14:textFill>
              </w:rPr>
              <w:fldChar w:fldCharType="end"/>
            </w:r>
          </w:p>
        </w:tc>
        <w:tc>
          <w:tcPr>
            <w:tcW w:w="2552" w:type="dxa"/>
            <w:vMerge w:val="restart"/>
            <w:vAlign w:val="center"/>
          </w:tcPr>
          <w:p>
            <w:pPr>
              <w:pStyle w:val="151"/>
              <w:framePr w:h="810" w:hRule="exact" w:wrap="around" w:vAnchor="page" w:hAnchor="page" w:x="2295" w:y="15021"/>
              <w:ind w:firstLine="378" w:firstLineChars="100"/>
              <w:jc w:val="both"/>
              <w:rPr>
                <w:color w:val="000000" w:themeColor="text1"/>
                <w:sz w:val="22"/>
                <w:szCs w:val="13"/>
                <w14:textFill>
                  <w14:solidFill>
                    <w14:schemeClr w14:val="tx1"/>
                  </w14:solidFill>
                </w14:textFill>
              </w:rPr>
            </w:pPr>
            <w:r>
              <w:rPr>
                <w:rFonts w:hint="eastAsia"/>
                <w:color w:val="000000" w:themeColor="text1"/>
                <w:sz w:val="28"/>
                <w:szCs w:val="28"/>
                <w14:textFill>
                  <w14:solidFill>
                    <w14:schemeClr w14:val="tx1"/>
                  </w14:solidFill>
                </w14:textFill>
              </w:rPr>
              <w:t>发 布</w:t>
            </w:r>
          </w:p>
        </w:tc>
      </w:tr>
      <w:bookmarkEnd w:id="22"/>
      <w:tr>
        <w:tblPrEx>
          <w:tblCellMar>
            <w:top w:w="0" w:type="dxa"/>
            <w:left w:w="108" w:type="dxa"/>
            <w:bottom w:w="0" w:type="dxa"/>
            <w:right w:w="108" w:type="dxa"/>
          </w:tblCellMar>
        </w:tblPrEx>
        <w:tc>
          <w:tcPr>
            <w:tcW w:w="5920" w:type="dxa"/>
          </w:tcPr>
          <w:p>
            <w:pPr>
              <w:pStyle w:val="151"/>
              <w:framePr w:h="810" w:hRule="exact" w:wrap="around" w:vAnchor="page" w:hAnchor="page" w:x="2295" w:y="15021"/>
              <w:ind w:firstLine="560"/>
              <w:jc w:val="distribute"/>
              <w:rPr>
                <w:color w:val="000000" w:themeColor="text1"/>
                <w:szCs w:val="18"/>
                <w14:textFill>
                  <w14:solidFill>
                    <w14:schemeClr w14:val="tx1"/>
                  </w14:solidFill>
                </w14:textFill>
              </w:rPr>
            </w:pPr>
            <w:r>
              <w:rPr>
                <w:color w:val="000000" w:themeColor="text1"/>
                <w:sz w:val="28"/>
                <w:szCs w:val="28"/>
                <w14:textFill>
                  <w14:solidFill>
                    <w14:schemeClr w14:val="tx1"/>
                  </w14:solidFill>
                </w14:textFill>
              </w:rPr>
              <w:fldChar w:fldCharType="begin">
                <w:ffData>
                  <w:enabled/>
                  <w:calcOnExit w:val="0"/>
                  <w:textInput>
                    <w:default w:val="湖北省市场监督管理局"/>
                  </w:textInput>
                </w:ffData>
              </w:fldChar>
            </w:r>
            <w:r>
              <w:rPr>
                <w:color w:val="000000" w:themeColor="text1"/>
                <w:sz w:val="28"/>
                <w:szCs w:val="28"/>
                <w14:textFill>
                  <w14:solidFill>
                    <w14:schemeClr w14:val="tx1"/>
                  </w14:solidFill>
                </w14:textFill>
              </w:rPr>
              <w:instrText xml:space="preserve"> FORMTEXT </w:instrText>
            </w:r>
            <w:r>
              <w:rPr>
                <w:color w:val="000000" w:themeColor="text1"/>
                <w:sz w:val="28"/>
                <w:szCs w:val="28"/>
                <w14:textFill>
                  <w14:solidFill>
                    <w14:schemeClr w14:val="tx1"/>
                  </w14:solidFill>
                </w14:textFill>
              </w:rPr>
              <w:fldChar w:fldCharType="separate"/>
            </w:r>
            <w:r>
              <w:rPr>
                <w:rFonts w:hint="eastAsia"/>
                <w:color w:val="000000" w:themeColor="text1"/>
                <w:sz w:val="28"/>
                <w:szCs w:val="28"/>
                <w14:textFill>
                  <w14:solidFill>
                    <w14:schemeClr w14:val="tx1"/>
                  </w14:solidFill>
                </w14:textFill>
              </w:rPr>
              <w:t>湖北省市场监督管理局</w:t>
            </w:r>
            <w:r>
              <w:rPr>
                <w:color w:val="000000" w:themeColor="text1"/>
                <w:sz w:val="28"/>
                <w:szCs w:val="28"/>
                <w14:textFill>
                  <w14:solidFill>
                    <w14:schemeClr w14:val="tx1"/>
                  </w14:solidFill>
                </w14:textFill>
              </w:rPr>
              <w:fldChar w:fldCharType="end"/>
            </w:r>
            <w:r>
              <w:rPr>
                <w:color w:val="000000" w:themeColor="text1"/>
                <w:szCs w:val="18"/>
                <w14:textFill>
                  <w14:solidFill>
                    <w14:schemeClr w14:val="tx1"/>
                  </w14:solidFill>
                </w14:textFill>
              </w:rPr>
              <w:t xml:space="preserve"> </w:t>
            </w:r>
          </w:p>
        </w:tc>
        <w:tc>
          <w:tcPr>
            <w:tcW w:w="2552" w:type="dxa"/>
            <w:vMerge w:val="continue"/>
          </w:tcPr>
          <w:p>
            <w:pPr>
              <w:pStyle w:val="151"/>
              <w:framePr w:h="810" w:hRule="exact" w:wrap="around" w:vAnchor="page" w:hAnchor="page" w:x="2295" w:y="15021"/>
              <w:ind w:firstLine="560"/>
              <w:rPr>
                <w:color w:val="000000" w:themeColor="text1"/>
                <w:szCs w:val="18"/>
                <w14:textFill>
                  <w14:solidFill>
                    <w14:schemeClr w14:val="tx1"/>
                  </w14:solidFill>
                </w14:textFill>
              </w:rPr>
            </w:pPr>
          </w:p>
        </w:tc>
      </w:tr>
      <w:tr>
        <w:tblPrEx>
          <w:tblCellMar>
            <w:top w:w="0" w:type="dxa"/>
            <w:left w:w="108" w:type="dxa"/>
            <w:bottom w:w="0" w:type="dxa"/>
            <w:right w:w="108" w:type="dxa"/>
          </w:tblCellMar>
        </w:tblPrEx>
        <w:tc>
          <w:tcPr>
            <w:tcW w:w="5920" w:type="dxa"/>
          </w:tcPr>
          <w:p>
            <w:pPr>
              <w:pStyle w:val="151"/>
              <w:framePr w:h="810" w:hRule="exact" w:wrap="around" w:vAnchor="page" w:hAnchor="page" w:x="2295" w:y="15021"/>
              <w:ind w:firstLine="560"/>
              <w:jc w:val="distribute"/>
              <w:rPr>
                <w:color w:val="000000" w:themeColor="text1"/>
                <w:sz w:val="28"/>
                <w:szCs w:val="28"/>
                <w14:textFill>
                  <w14:solidFill>
                    <w14:schemeClr w14:val="tx1"/>
                  </w14:solidFill>
                </w14:textFill>
              </w:rPr>
            </w:pPr>
          </w:p>
        </w:tc>
        <w:tc>
          <w:tcPr>
            <w:tcW w:w="2552" w:type="dxa"/>
          </w:tcPr>
          <w:p>
            <w:pPr>
              <w:pStyle w:val="151"/>
              <w:framePr w:h="810" w:hRule="exact" w:wrap="around" w:vAnchor="page" w:hAnchor="page" w:x="2295" w:y="15021"/>
              <w:ind w:firstLine="560"/>
              <w:rPr>
                <w:color w:val="000000" w:themeColor="text1"/>
                <w:szCs w:val="18"/>
                <w14:textFill>
                  <w14:solidFill>
                    <w14:schemeClr w14:val="tx1"/>
                  </w14:solidFill>
                </w14:textFill>
              </w:rPr>
            </w:pPr>
          </w:p>
        </w:tc>
      </w:tr>
      <w:tr>
        <w:tblPrEx>
          <w:tblCellMar>
            <w:top w:w="0" w:type="dxa"/>
            <w:left w:w="108" w:type="dxa"/>
            <w:bottom w:w="0" w:type="dxa"/>
            <w:right w:w="108" w:type="dxa"/>
          </w:tblCellMar>
        </w:tblPrEx>
        <w:tc>
          <w:tcPr>
            <w:tcW w:w="5920" w:type="dxa"/>
          </w:tcPr>
          <w:p>
            <w:pPr>
              <w:pStyle w:val="151"/>
              <w:framePr w:h="810" w:hRule="exact" w:wrap="around" w:vAnchor="page" w:hAnchor="page" w:x="2295" w:y="15021"/>
              <w:ind w:firstLine="560"/>
              <w:jc w:val="distribute"/>
              <w:rPr>
                <w:color w:val="000000" w:themeColor="text1"/>
                <w:sz w:val="28"/>
                <w:szCs w:val="28"/>
                <w14:textFill>
                  <w14:solidFill>
                    <w14:schemeClr w14:val="tx1"/>
                  </w14:solidFill>
                </w14:textFill>
              </w:rPr>
            </w:pPr>
          </w:p>
        </w:tc>
        <w:tc>
          <w:tcPr>
            <w:tcW w:w="2552" w:type="dxa"/>
          </w:tcPr>
          <w:p>
            <w:pPr>
              <w:pStyle w:val="151"/>
              <w:framePr w:h="810" w:hRule="exact" w:wrap="around" w:vAnchor="page" w:hAnchor="page" w:x="2295" w:y="15021"/>
              <w:ind w:firstLine="560"/>
              <w:rPr>
                <w:color w:val="000000" w:themeColor="text1"/>
                <w:szCs w:val="18"/>
                <w14:textFill>
                  <w14:solidFill>
                    <w14:schemeClr w14:val="tx1"/>
                  </w14:solidFill>
                </w14:textFill>
              </w:rPr>
            </w:pPr>
          </w:p>
        </w:tc>
      </w:tr>
    </w:tbl>
    <w:p>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pPr>
        <w:pStyle w:val="91"/>
        <w:spacing w:after="468"/>
      </w:pPr>
      <w:bookmarkStart w:id="23" w:name="BookMark1"/>
      <w:bookmarkStart w:id="24" w:name="_Toc69885179"/>
      <w:r>
        <w:rPr>
          <w:rFonts w:hint="eastAsia"/>
          <w:spacing w:val="320"/>
        </w:rPr>
        <w:t>目</w:t>
      </w:r>
      <w:r>
        <w:rPr>
          <w:rFonts w:hint="eastAsia"/>
        </w:rPr>
        <w:t>次</w:t>
      </w:r>
    </w:p>
    <w:p>
      <w:pPr>
        <w:pStyle w:val="19"/>
        <w:tabs>
          <w:tab w:val="right" w:leader="dot" w:pos="9344"/>
        </w:tabs>
        <w:rPr>
          <w:rFonts w:asciiTheme="minorHAnsi" w:hAnsiTheme="minorHAnsi" w:eastAsiaTheme="minorEastAsia" w:cstheme="minorBidi"/>
          <w:szCs w:val="22"/>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"_Toc69916867" </w:instrText>
      </w:r>
      <w:r>
        <w:fldChar w:fldCharType="separate"/>
      </w:r>
      <w:r>
        <w:rPr>
          <w:rStyle w:val="32"/>
        </w:rPr>
        <w:t>前言</w:t>
      </w:r>
      <w:r>
        <w:tab/>
      </w:r>
      <w:r>
        <w:fldChar w:fldCharType="begin"/>
      </w:r>
      <w:r>
        <w:instrText xml:space="preserve"> PAGEREF _Toc69916867 \h </w:instrText>
      </w:r>
      <w:r>
        <w:fldChar w:fldCharType="separate"/>
      </w:r>
      <w:r>
        <w:t>II</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"_Toc69916868" </w:instrText>
      </w:r>
      <w:r>
        <w:fldChar w:fldCharType="separate"/>
      </w:r>
      <w:r>
        <w:rPr>
          <w:rStyle w:val="32"/>
        </w:rPr>
        <w:t>引言</w:t>
      </w:r>
      <w:r>
        <w:tab/>
      </w:r>
      <w:r>
        <w:fldChar w:fldCharType="begin"/>
      </w:r>
      <w:r>
        <w:instrText xml:space="preserve"> PAGEREF _Toc69916868 \h </w:instrText>
      </w:r>
      <w:r>
        <w:fldChar w:fldCharType="separate"/>
      </w:r>
      <w:r>
        <w:t>III</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"_Toc69916869" </w:instrText>
      </w:r>
      <w:r>
        <w:fldChar w:fldCharType="separate"/>
      </w:r>
      <w:r>
        <w:rPr>
          <w:rStyle w:val="32"/>
        </w:rPr>
        <w:t>1  范围</w:t>
      </w:r>
      <w:r>
        <w:tab/>
      </w:r>
      <w:r>
        <w:fldChar w:fldCharType="begin"/>
      </w:r>
      <w:r>
        <w:instrText xml:space="preserve"> PAGEREF _Toc69916869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"_Toc69916870" </w:instrText>
      </w:r>
      <w:r>
        <w:fldChar w:fldCharType="separate"/>
      </w:r>
      <w:r>
        <w:rPr>
          <w:rStyle w:val="32"/>
        </w:rPr>
        <w:t>2  规范性引用文件</w:t>
      </w:r>
      <w:r>
        <w:tab/>
      </w:r>
      <w:r>
        <w:fldChar w:fldCharType="begin"/>
      </w:r>
      <w:r>
        <w:instrText xml:space="preserve"> PAGEREF _Toc69916870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"_Toc69916871" </w:instrText>
      </w:r>
      <w:r>
        <w:fldChar w:fldCharType="separate"/>
      </w:r>
      <w:r>
        <w:rPr>
          <w:rStyle w:val="32"/>
        </w:rPr>
        <w:t>3  术语和定义</w:t>
      </w:r>
      <w:r>
        <w:tab/>
      </w:r>
      <w:r>
        <w:fldChar w:fldCharType="begin"/>
      </w:r>
      <w:r>
        <w:instrText xml:space="preserve"> PAGEREF _Toc69916871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"_Toc69916872" </w:instrText>
      </w:r>
      <w:r>
        <w:fldChar w:fldCharType="separate"/>
      </w:r>
      <w:r>
        <w:rPr>
          <w:rStyle w:val="32"/>
        </w:rPr>
        <w:t>4  总则</w:t>
      </w:r>
      <w:r>
        <w:tab/>
      </w:r>
      <w:r>
        <w:fldChar w:fldCharType="begin"/>
      </w:r>
      <w:r>
        <w:instrText xml:space="preserve"> PAGEREF _Toc69916872 \h </w:instrText>
      </w:r>
      <w:r>
        <w:fldChar w:fldCharType="separate"/>
      </w:r>
      <w:r>
        <w:t>3</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"_Toc69916875" </w:instrText>
      </w:r>
      <w:r>
        <w:fldChar w:fldCharType="separate"/>
      </w:r>
      <w:r>
        <w:rPr>
          <w:rStyle w:val="32"/>
        </w:rPr>
        <w:t>5  材料</w:t>
      </w:r>
      <w:r>
        <w:tab/>
      </w:r>
      <w:r>
        <w:fldChar w:fldCharType="begin"/>
      </w:r>
      <w:r>
        <w:instrText xml:space="preserve"> PAGEREF _Toc69916875 \h </w:instrText>
      </w:r>
      <w:r>
        <w:fldChar w:fldCharType="separate"/>
      </w:r>
      <w:r>
        <w:t>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"_Toc69916876" </w:instrText>
      </w:r>
      <w:r>
        <w:fldChar w:fldCharType="separate"/>
      </w:r>
      <w:r>
        <w:rPr>
          <w:rStyle w:val="32"/>
          <w14:scene3d w14:prst="orthographicFront">
            <w14:lightRig w14:rig="threePt" w14:dir="t">
              <w14:rot w14:lat="0" w14:lon="0" w14:rev="0"/>
            </w14:lightRig>
          </w14:scene3d>
        </w:rPr>
        <w:t xml:space="preserve">5.1 </w:t>
      </w:r>
      <w:r>
        <w:rPr>
          <w:rStyle w:val="32"/>
        </w:rPr>
        <w:t xml:space="preserve"> 混凝土</w:t>
      </w:r>
      <w:r>
        <w:tab/>
      </w:r>
      <w:r>
        <w:fldChar w:fldCharType="begin"/>
      </w:r>
      <w:r>
        <w:instrText xml:space="preserve"> PAGEREF _Toc69916876 \h </w:instrText>
      </w:r>
      <w:r>
        <w:fldChar w:fldCharType="separate"/>
      </w:r>
      <w:r>
        <w:t>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"_Toc69916877" </w:instrText>
      </w:r>
      <w:r>
        <w:fldChar w:fldCharType="separate"/>
      </w:r>
      <w:r>
        <w:rPr>
          <w:rStyle w:val="32"/>
          <w14:scene3d w14:prst="orthographicFront">
            <w14:lightRig w14:rig="threePt" w14:dir="t">
              <w14:rot w14:lat="0" w14:lon="0" w14:rev="0"/>
            </w14:lightRig>
          </w14:scene3d>
        </w:rPr>
        <w:t xml:space="preserve">5.2 </w:t>
      </w:r>
      <w:r>
        <w:rPr>
          <w:rStyle w:val="32"/>
        </w:rPr>
        <w:t xml:space="preserve"> 钢筋及连接材料</w:t>
      </w:r>
      <w:r>
        <w:tab/>
      </w:r>
      <w:r>
        <w:fldChar w:fldCharType="begin"/>
      </w:r>
      <w:r>
        <w:instrText xml:space="preserve"> PAGEREF _Toc69916877 \h </w:instrText>
      </w:r>
      <w:r>
        <w:fldChar w:fldCharType="separate"/>
      </w:r>
      <w:r>
        <w:t>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"_Toc69916878" </w:instrText>
      </w:r>
      <w:r>
        <w:fldChar w:fldCharType="separate"/>
      </w:r>
      <w:r>
        <w:rPr>
          <w:rStyle w:val="32"/>
          <w14:scene3d w14:prst="orthographicFront">
            <w14:lightRig w14:rig="threePt" w14:dir="t">
              <w14:rot w14:lat="0" w14:lon="0" w14:rev="0"/>
            </w14:lightRig>
          </w14:scene3d>
        </w:rPr>
        <w:t xml:space="preserve">5.3 </w:t>
      </w:r>
      <w:r>
        <w:rPr>
          <w:rStyle w:val="32"/>
        </w:rPr>
        <w:t xml:space="preserve"> 钢筋桁架</w:t>
      </w:r>
      <w:r>
        <w:tab/>
      </w:r>
      <w:r>
        <w:fldChar w:fldCharType="begin"/>
      </w:r>
      <w:r>
        <w:instrText xml:space="preserve"> PAGEREF _Toc69916878 \h </w:instrText>
      </w:r>
      <w:r>
        <w:fldChar w:fldCharType="separate"/>
      </w:r>
      <w:r>
        <w:t>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"_Toc69916879" </w:instrText>
      </w:r>
      <w:r>
        <w:fldChar w:fldCharType="separate"/>
      </w:r>
      <w:r>
        <w:rPr>
          <w:rStyle w:val="32"/>
          <w14:scene3d w14:prst="orthographicFront">
            <w14:lightRig w14:rig="threePt" w14:dir="t">
              <w14:rot w14:lat="0" w14:lon="0" w14:rev="0"/>
            </w14:lightRig>
          </w14:scene3d>
        </w:rPr>
        <w:t xml:space="preserve">5.4 </w:t>
      </w:r>
      <w:r>
        <w:rPr>
          <w:rStyle w:val="32"/>
        </w:rPr>
        <w:t xml:space="preserve"> 其他材料</w:t>
      </w:r>
      <w:r>
        <w:tab/>
      </w:r>
      <w:r>
        <w:fldChar w:fldCharType="begin"/>
      </w:r>
      <w:r>
        <w:instrText xml:space="preserve"> PAGEREF _Toc69916879 \h </w:instrText>
      </w:r>
      <w:r>
        <w:fldChar w:fldCharType="separate"/>
      </w:r>
      <w:r>
        <w:t>4</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"_Toc69916880" </w:instrText>
      </w:r>
      <w:r>
        <w:fldChar w:fldCharType="separate"/>
      </w:r>
      <w:r>
        <w:rPr>
          <w:rStyle w:val="32"/>
        </w:rPr>
        <w:t>6  结构设计</w:t>
      </w:r>
      <w:r>
        <w:tab/>
      </w:r>
      <w:r>
        <w:fldChar w:fldCharType="begin"/>
      </w:r>
      <w:r>
        <w:instrText xml:space="preserve"> PAGEREF _Toc69916880 \h </w:instrText>
      </w:r>
      <w:r>
        <w:fldChar w:fldCharType="separate"/>
      </w:r>
      <w:r>
        <w:t>4</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"_Toc69916881" </w:instrText>
      </w:r>
      <w:r>
        <w:fldChar w:fldCharType="separate"/>
      </w:r>
      <w:r>
        <w:rPr>
          <w:rStyle w:val="32"/>
          <w14:scene3d w14:prst="orthographicFront">
            <w14:lightRig w14:rig="threePt" w14:dir="t">
              <w14:rot w14:lat="0" w14:lon="0" w14:rev="0"/>
            </w14:lightRig>
          </w14:scene3d>
        </w:rPr>
        <w:t xml:space="preserve">6.1 </w:t>
      </w:r>
      <w:r>
        <w:rPr>
          <w:rStyle w:val="32"/>
        </w:rPr>
        <w:t xml:space="preserve"> 一般规定</w:t>
      </w:r>
      <w:r>
        <w:tab/>
      </w:r>
      <w:r>
        <w:fldChar w:fldCharType="begin"/>
      </w:r>
      <w:r>
        <w:instrText xml:space="preserve"> PAGEREF _Toc69916881 \h </w:instrText>
      </w:r>
      <w:r>
        <w:fldChar w:fldCharType="separate"/>
      </w:r>
      <w:r>
        <w:t>4</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"_Toc69916882" </w:instrText>
      </w:r>
      <w:r>
        <w:fldChar w:fldCharType="separate"/>
      </w:r>
      <w:r>
        <w:rPr>
          <w:rStyle w:val="32"/>
          <w14:scene3d w14:prst="orthographicFront">
            <w14:lightRig w14:rig="threePt" w14:dir="t">
              <w14:rot w14:lat="0" w14:lon="0" w14:rev="0"/>
            </w14:lightRig>
          </w14:scene3d>
        </w:rPr>
        <w:t xml:space="preserve">6.2 </w:t>
      </w:r>
      <w:r>
        <w:rPr>
          <w:rStyle w:val="32"/>
        </w:rPr>
        <w:t xml:space="preserve"> 构件设计及构造</w:t>
      </w:r>
      <w:r>
        <w:tab/>
      </w:r>
      <w:r>
        <w:fldChar w:fldCharType="begin"/>
      </w:r>
      <w:r>
        <w:instrText xml:space="preserve"> PAGEREF _Toc69916882 \h </w:instrText>
      </w:r>
      <w:r>
        <w:fldChar w:fldCharType="separate"/>
      </w:r>
      <w:r>
        <w:t>5</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"_Toc69916883" </w:instrText>
      </w:r>
      <w:r>
        <w:fldChar w:fldCharType="separate"/>
      </w:r>
      <w:r>
        <w:rPr>
          <w:rStyle w:val="32"/>
          <w14:scene3d w14:prst="orthographicFront">
            <w14:lightRig w14:rig="threePt" w14:dir="t">
              <w14:rot w14:lat="0" w14:lon="0" w14:rev="0"/>
            </w14:lightRig>
          </w14:scene3d>
        </w:rPr>
        <w:t xml:space="preserve">6.3 </w:t>
      </w:r>
      <w:r>
        <w:rPr>
          <w:rStyle w:val="32"/>
        </w:rPr>
        <w:t xml:space="preserve"> 板缝节点设计及构造</w:t>
      </w:r>
      <w:r>
        <w:tab/>
      </w:r>
      <w:r>
        <w:fldChar w:fldCharType="begin"/>
      </w:r>
      <w:r>
        <w:instrText xml:space="preserve"> PAGEREF _Toc69916883 \h </w:instrText>
      </w:r>
      <w:r>
        <w:fldChar w:fldCharType="separate"/>
      </w:r>
      <w:r>
        <w:t>7</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"_Toc69916884" </w:instrText>
      </w:r>
      <w:r>
        <w:fldChar w:fldCharType="separate"/>
      </w:r>
      <w:r>
        <w:rPr>
          <w:rStyle w:val="32"/>
          <w14:scene3d w14:prst="orthographicFront">
            <w14:lightRig w14:rig="threePt" w14:dir="t">
              <w14:rot w14:lat="0" w14:lon="0" w14:rev="0"/>
            </w14:lightRig>
          </w14:scene3d>
        </w:rPr>
        <w:t xml:space="preserve">6.4 </w:t>
      </w:r>
      <w:r>
        <w:rPr>
          <w:rStyle w:val="32"/>
        </w:rPr>
        <w:t xml:space="preserve"> 支座节点设计及构造</w:t>
      </w:r>
      <w:r>
        <w:tab/>
      </w:r>
      <w:r>
        <w:fldChar w:fldCharType="begin"/>
      </w:r>
      <w:r>
        <w:instrText xml:space="preserve"> PAGEREF _Toc69916884 \h </w:instrText>
      </w:r>
      <w:r>
        <w:fldChar w:fldCharType="separate"/>
      </w:r>
      <w:r>
        <w:t>10</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"_Toc69916885" </w:instrText>
      </w:r>
      <w:r>
        <w:fldChar w:fldCharType="separate"/>
      </w:r>
      <w:r>
        <w:rPr>
          <w:rStyle w:val="32"/>
        </w:rPr>
        <w:t>7  桁架预制板制作、运输与堆放</w:t>
      </w:r>
      <w:r>
        <w:tab/>
      </w:r>
      <w:r>
        <w:fldChar w:fldCharType="begin"/>
      </w:r>
      <w:r>
        <w:instrText xml:space="preserve"> PAGEREF _Toc69916885 \h </w:instrText>
      </w:r>
      <w:r>
        <w:fldChar w:fldCharType="separate"/>
      </w:r>
      <w:r>
        <w:t>13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"_Toc69916886" </w:instrText>
      </w:r>
      <w:r>
        <w:fldChar w:fldCharType="separate"/>
      </w:r>
      <w:r>
        <w:rPr>
          <w:rStyle w:val="32"/>
          <w14:scene3d w14:prst="orthographicFront">
            <w14:lightRig w14:rig="threePt" w14:dir="t">
              <w14:rot w14:lat="0" w14:lon="0" w14:rev="0"/>
            </w14:lightRig>
          </w14:scene3d>
        </w:rPr>
        <w:t xml:space="preserve">7.1 </w:t>
      </w:r>
      <w:r>
        <w:rPr>
          <w:rStyle w:val="32"/>
        </w:rPr>
        <w:t xml:space="preserve"> 一般规定</w:t>
      </w:r>
      <w:r>
        <w:tab/>
      </w:r>
      <w:r>
        <w:fldChar w:fldCharType="begin"/>
      </w:r>
      <w:r>
        <w:instrText xml:space="preserve"> PAGEREF _Toc69916886 \h </w:instrText>
      </w:r>
      <w:r>
        <w:fldChar w:fldCharType="separate"/>
      </w:r>
      <w:r>
        <w:t>13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"_Toc69916887" </w:instrText>
      </w:r>
      <w:r>
        <w:fldChar w:fldCharType="separate"/>
      </w:r>
      <w:r>
        <w:rPr>
          <w:rStyle w:val="32"/>
          <w14:scene3d w14:prst="orthographicFront">
            <w14:lightRig w14:rig="threePt" w14:dir="t">
              <w14:rot w14:lat="0" w14:lon="0" w14:rev="0"/>
            </w14:lightRig>
          </w14:scene3d>
        </w:rPr>
        <w:t xml:space="preserve">7.2 </w:t>
      </w:r>
      <w:r>
        <w:rPr>
          <w:rStyle w:val="32"/>
        </w:rPr>
        <w:t xml:space="preserve"> 模具</w:t>
      </w:r>
      <w:r>
        <w:tab/>
      </w:r>
      <w:r>
        <w:fldChar w:fldCharType="begin"/>
      </w:r>
      <w:r>
        <w:instrText xml:space="preserve"> PAGEREF _Toc69916887 \h </w:instrText>
      </w:r>
      <w:r>
        <w:fldChar w:fldCharType="separate"/>
      </w:r>
      <w:r>
        <w:t>13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"_Toc69916888" </w:instrText>
      </w:r>
      <w:r>
        <w:fldChar w:fldCharType="separate"/>
      </w:r>
      <w:r>
        <w:rPr>
          <w:rStyle w:val="32"/>
          <w14:scene3d w14:prst="orthographicFront">
            <w14:lightRig w14:rig="threePt" w14:dir="t">
              <w14:rot w14:lat="0" w14:lon="0" w14:rev="0"/>
            </w14:lightRig>
          </w14:scene3d>
        </w:rPr>
        <w:t xml:space="preserve">7.3 </w:t>
      </w:r>
      <w:r>
        <w:rPr>
          <w:rStyle w:val="32"/>
        </w:rPr>
        <w:t xml:space="preserve"> 桁架预制板制作</w:t>
      </w:r>
      <w:r>
        <w:tab/>
      </w:r>
      <w:r>
        <w:fldChar w:fldCharType="begin"/>
      </w:r>
      <w:r>
        <w:instrText xml:space="preserve"> PAGEREF _Toc69916888 \h </w:instrText>
      </w:r>
      <w:r>
        <w:fldChar w:fldCharType="separate"/>
      </w:r>
      <w:r>
        <w:t>13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"_Toc69916889" </w:instrText>
      </w:r>
      <w:r>
        <w:fldChar w:fldCharType="separate"/>
      </w:r>
      <w:r>
        <w:rPr>
          <w:rStyle w:val="32"/>
          <w14:scene3d w14:prst="orthographicFront">
            <w14:lightRig w14:rig="threePt" w14:dir="t">
              <w14:rot w14:lat="0" w14:lon="0" w14:rev="0"/>
            </w14:lightRig>
          </w14:scene3d>
        </w:rPr>
        <w:t xml:space="preserve">7.4 </w:t>
      </w:r>
      <w:r>
        <w:rPr>
          <w:rStyle w:val="32"/>
        </w:rPr>
        <w:t xml:space="preserve"> 桁架预制板堆放与运输</w:t>
      </w:r>
      <w:r>
        <w:tab/>
      </w:r>
      <w:r>
        <w:fldChar w:fldCharType="begin"/>
      </w:r>
      <w:r>
        <w:instrText xml:space="preserve"> PAGEREF _Toc69916889 \h </w:instrText>
      </w:r>
      <w:r>
        <w:fldChar w:fldCharType="separate"/>
      </w:r>
      <w:r>
        <w:t>15</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"_Toc69916890" </w:instrText>
      </w:r>
      <w:r>
        <w:fldChar w:fldCharType="separate"/>
      </w:r>
      <w:r>
        <w:rPr>
          <w:rStyle w:val="32"/>
          <w14:scene3d w14:prst="orthographicFront">
            <w14:lightRig w14:rig="threePt" w14:dir="t">
              <w14:rot w14:lat="0" w14:lon="0" w14:rev="0"/>
            </w14:lightRig>
          </w14:scene3d>
        </w:rPr>
        <w:t xml:space="preserve">7.5 </w:t>
      </w:r>
      <w:r>
        <w:rPr>
          <w:rStyle w:val="32"/>
        </w:rPr>
        <w:t xml:space="preserve"> 质量检查与验收</w:t>
      </w:r>
      <w:r>
        <w:tab/>
      </w:r>
      <w:r>
        <w:fldChar w:fldCharType="begin"/>
      </w:r>
      <w:r>
        <w:instrText xml:space="preserve"> PAGEREF _Toc69916890 \h </w:instrText>
      </w:r>
      <w:r>
        <w:fldChar w:fldCharType="separate"/>
      </w:r>
      <w:r>
        <w:t>15</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"_Toc69916891" </w:instrText>
      </w:r>
      <w:r>
        <w:fldChar w:fldCharType="separate"/>
      </w:r>
      <w:r>
        <w:rPr>
          <w:rStyle w:val="32"/>
        </w:rPr>
        <w:t>8  施工与验收</w:t>
      </w:r>
      <w:r>
        <w:tab/>
      </w:r>
      <w:r>
        <w:fldChar w:fldCharType="begin"/>
      </w:r>
      <w:r>
        <w:instrText xml:space="preserve"> PAGEREF _Toc69916891 \h </w:instrText>
      </w:r>
      <w:r>
        <w:fldChar w:fldCharType="separate"/>
      </w:r>
      <w:r>
        <w:t>17</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"_Toc69916892" </w:instrText>
      </w:r>
      <w:r>
        <w:fldChar w:fldCharType="separate"/>
      </w:r>
      <w:r>
        <w:rPr>
          <w:rStyle w:val="32"/>
          <w14:scene3d w14:prst="orthographicFront">
            <w14:lightRig w14:rig="threePt" w14:dir="t">
              <w14:rot w14:lat="0" w14:lon="0" w14:rev="0"/>
            </w14:lightRig>
          </w14:scene3d>
        </w:rPr>
        <w:t xml:space="preserve">8.1 </w:t>
      </w:r>
      <w:r>
        <w:rPr>
          <w:rStyle w:val="32"/>
        </w:rPr>
        <w:t xml:space="preserve"> 一般规定</w:t>
      </w:r>
      <w:r>
        <w:tab/>
      </w:r>
      <w:r>
        <w:fldChar w:fldCharType="begin"/>
      </w:r>
      <w:r>
        <w:instrText xml:space="preserve"> PAGEREF _Toc69916892 \h </w:instrText>
      </w:r>
      <w:r>
        <w:fldChar w:fldCharType="separate"/>
      </w:r>
      <w:r>
        <w:t>17</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"_Toc69916893" </w:instrText>
      </w:r>
      <w:r>
        <w:fldChar w:fldCharType="separate"/>
      </w:r>
      <w:r>
        <w:rPr>
          <w:rStyle w:val="32"/>
          <w14:scene3d w14:prst="orthographicFront">
            <w14:lightRig w14:rig="threePt" w14:dir="t">
              <w14:rot w14:lat="0" w14:lon="0" w14:rev="0"/>
            </w14:lightRig>
          </w14:scene3d>
        </w:rPr>
        <w:t xml:space="preserve">8.2 </w:t>
      </w:r>
      <w:r>
        <w:rPr>
          <w:rStyle w:val="32"/>
        </w:rPr>
        <w:t xml:space="preserve"> 桁架预制板安装准备</w:t>
      </w:r>
      <w:r>
        <w:tab/>
      </w:r>
      <w:r>
        <w:fldChar w:fldCharType="begin"/>
      </w:r>
      <w:r>
        <w:instrText xml:space="preserve"> PAGEREF _Toc69916893 \h </w:instrText>
      </w:r>
      <w:r>
        <w:fldChar w:fldCharType="separate"/>
      </w:r>
      <w:r>
        <w:t>18</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"_Toc69916894" </w:instrText>
      </w:r>
      <w:r>
        <w:fldChar w:fldCharType="separate"/>
      </w:r>
      <w:r>
        <w:rPr>
          <w:rStyle w:val="32"/>
          <w14:scene3d w14:prst="orthographicFront">
            <w14:lightRig w14:rig="threePt" w14:dir="t">
              <w14:rot w14:lat="0" w14:lon="0" w14:rev="0"/>
            </w14:lightRig>
          </w14:scene3d>
        </w:rPr>
        <w:t xml:space="preserve">8.3 </w:t>
      </w:r>
      <w:r>
        <w:rPr>
          <w:rStyle w:val="32"/>
        </w:rPr>
        <w:t xml:space="preserve"> 桁架预制板安装与连接</w:t>
      </w:r>
      <w:r>
        <w:tab/>
      </w:r>
      <w:r>
        <w:fldChar w:fldCharType="begin"/>
      </w:r>
      <w:r>
        <w:instrText xml:space="preserve"> PAGEREF _Toc69916894 \h </w:instrText>
      </w:r>
      <w:r>
        <w:fldChar w:fldCharType="separate"/>
      </w:r>
      <w:r>
        <w:t>18</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"_Toc69916895" </w:instrText>
      </w:r>
      <w:r>
        <w:fldChar w:fldCharType="separate"/>
      </w:r>
      <w:r>
        <w:rPr>
          <w:rStyle w:val="32"/>
          <w14:scene3d w14:prst="orthographicFront">
            <w14:lightRig w14:rig="threePt" w14:dir="t">
              <w14:rot w14:lat="0" w14:lon="0" w14:rev="0"/>
            </w14:lightRig>
          </w14:scene3d>
        </w:rPr>
        <w:t xml:space="preserve">8.4 </w:t>
      </w:r>
      <w:r>
        <w:rPr>
          <w:rStyle w:val="32"/>
        </w:rPr>
        <w:t xml:space="preserve"> 混凝土浇筑</w:t>
      </w:r>
      <w:r>
        <w:tab/>
      </w:r>
      <w:r>
        <w:fldChar w:fldCharType="begin"/>
      </w:r>
      <w:r>
        <w:instrText xml:space="preserve"> PAGEREF _Toc69916895 \h </w:instrText>
      </w:r>
      <w:r>
        <w:fldChar w:fldCharType="separate"/>
      </w:r>
      <w:r>
        <w:t>19</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"_Toc69916896" </w:instrText>
      </w:r>
      <w:r>
        <w:fldChar w:fldCharType="separate"/>
      </w:r>
      <w:r>
        <w:rPr>
          <w:rStyle w:val="32"/>
          <w14:scene3d w14:prst="orthographicFront">
            <w14:lightRig w14:rig="threePt" w14:dir="t">
              <w14:rot w14:lat="0" w14:lon="0" w14:rev="0"/>
            </w14:lightRig>
          </w14:scene3d>
        </w:rPr>
        <w:t xml:space="preserve">8.5 </w:t>
      </w:r>
      <w:r>
        <w:rPr>
          <w:rStyle w:val="32"/>
        </w:rPr>
        <w:t xml:space="preserve"> 质量验收</w:t>
      </w:r>
      <w:r>
        <w:tab/>
      </w:r>
      <w:r>
        <w:fldChar w:fldCharType="begin"/>
      </w:r>
      <w:r>
        <w:instrText xml:space="preserve"> PAGEREF _Toc69916896 \h </w:instrText>
      </w:r>
      <w:r>
        <w:fldChar w:fldCharType="separate"/>
      </w:r>
      <w:r>
        <w:t>20</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"_Toc69916897" </w:instrText>
      </w:r>
      <w:r>
        <w:fldChar w:fldCharType="separate"/>
      </w:r>
      <w:r>
        <w:rPr>
          <w:rStyle w:val="32"/>
        </w:rPr>
        <w:t>附录A（规范性）  钢筋桁架质量检验方法</w:t>
      </w:r>
      <w:r>
        <w:tab/>
      </w:r>
      <w:r>
        <w:fldChar w:fldCharType="begin"/>
      </w:r>
      <w:r>
        <w:instrText xml:space="preserve"> PAGEREF _Toc69916897 \h </w:instrText>
      </w:r>
      <w:r>
        <w:fldChar w:fldCharType="separate"/>
      </w:r>
      <w:r>
        <w:t>23</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"_Toc69916898" </w:instrText>
      </w:r>
      <w:r>
        <w:fldChar w:fldCharType="separate"/>
      </w:r>
      <w:r>
        <w:rPr>
          <w:rStyle w:val="32"/>
        </w:rPr>
        <w:t>附录B（规范性）  钢筋桁架力学性能试件及测试方法</w:t>
      </w:r>
      <w:r>
        <w:tab/>
      </w:r>
      <w:r>
        <w:fldChar w:fldCharType="begin"/>
      </w:r>
      <w:r>
        <w:instrText xml:space="preserve"> PAGEREF _Toc69916898 \h </w:instrText>
      </w:r>
      <w:r>
        <w:fldChar w:fldCharType="separate"/>
      </w:r>
      <w:r>
        <w:t>24</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"_Toc69916899" </w:instrText>
      </w:r>
      <w:r>
        <w:fldChar w:fldCharType="separate"/>
      </w:r>
      <w:r>
        <w:rPr>
          <w:rStyle w:val="32"/>
        </w:rPr>
        <w:t>附录C（规范性）  桁架预制板短暂工况验算</w:t>
      </w:r>
      <w:r>
        <w:tab/>
      </w:r>
      <w:r>
        <w:fldChar w:fldCharType="begin"/>
      </w:r>
      <w:r>
        <w:instrText xml:space="preserve"> PAGEREF _Toc69916899 \h </w:instrText>
      </w:r>
      <w:r>
        <w:fldChar w:fldCharType="separate"/>
      </w:r>
      <w:r>
        <w:t>26</w:t>
      </w:r>
      <w:r>
        <w:fldChar w:fldCharType="end"/>
      </w:r>
      <w:r>
        <w:fldChar w:fldCharType="end"/>
      </w:r>
    </w:p>
    <w:p>
      <w:pPr>
        <w:pStyle w:val="19"/>
        <w:tabs>
          <w:tab w:val="right" w:leader="dot" w:pos="9344"/>
        </w:tabs>
        <w:rPr>
          <w:rFonts w:asciiTheme="minorHAnsi" w:hAnsiTheme="minorHAnsi" w:eastAsiaTheme="minorEastAsia" w:cstheme="minorBidi"/>
          <w:szCs w:val="22"/>
        </w:rPr>
      </w:pPr>
    </w:p>
    <w:p>
      <w:pPr>
        <w:pStyle w:val="91"/>
        <w:spacing w:after="468"/>
        <w:sectPr>
          <w:headerReference r:id="rId11" w:type="default"/>
          <w:footerReference r:id="rId13" w:type="default"/>
          <w:headerReference r:id="rId12" w:type="even"/>
          <w:pgSz w:w="11906" w:h="16838"/>
          <w:pgMar w:top="567" w:right="1134" w:bottom="1134" w:left="1134" w:header="1418" w:footer="1134" w:gutter="284"/>
          <w:pgNumType w:fmt="upperRoman" w:start="1"/>
          <w:cols w:space="425" w:num="1"/>
          <w:formProt w:val="0"/>
          <w:docGrid w:type="lines" w:linePitch="312" w:charSpace="0"/>
        </w:sectPr>
      </w:pPr>
      <w:r>
        <w:fldChar w:fldCharType="end"/>
      </w:r>
    </w:p>
    <w:bookmarkEnd w:id="23"/>
    <w:p>
      <w:pPr>
        <w:pStyle w:val="89"/>
        <w:spacing w:after="468"/>
      </w:pPr>
      <w:bookmarkStart w:id="25" w:name="_Toc69916867"/>
      <w:bookmarkStart w:id="26" w:name="BookMark2"/>
      <w:r>
        <w:rPr>
          <w:spacing w:val="320"/>
        </w:rPr>
        <w:t>前</w:t>
      </w:r>
      <w:r>
        <w:t>言</w:t>
      </w:r>
      <w:bookmarkEnd w:id="24"/>
      <w:bookmarkEnd w:id="25"/>
    </w:p>
    <w:p>
      <w:pPr>
        <w:pStyle w:val="56"/>
        <w:ind w:firstLine="420"/>
      </w:pPr>
      <w:r>
        <w:rPr>
          <w:rFonts w:hint="eastAsia"/>
        </w:rPr>
        <w:t>本文件按照GB/T 1.1—2020《标准化工作导则  第1部分：标准化文件的结构和起草规则》的规定起草。</w:t>
      </w:r>
    </w:p>
    <w:p>
      <w:pPr>
        <w:pStyle w:val="56"/>
        <w:keepNext w:val="0"/>
        <w:keepLines w:val="0"/>
        <w:pageBreakBefore w:val="0"/>
        <w:kinsoku/>
        <w:wordWrap/>
        <w:overflowPunct/>
        <w:topLinePunct w:val="0"/>
        <w:bidi w:val="0"/>
        <w:snapToGrid/>
        <w:spacing w:line="240" w:lineRule="auto"/>
        <w:ind w:firstLine="420"/>
        <w:textAlignment w:val="auto"/>
      </w:pPr>
      <w:r>
        <w:rPr>
          <w:rFonts w:hint="eastAsia"/>
        </w:rPr>
        <w:t>本文件由湖北省住房和城乡建设厅提出并归口管理。</w:t>
      </w:r>
    </w:p>
    <w:p>
      <w:pPr>
        <w:pStyle w:val="56"/>
        <w:keepNext w:val="0"/>
        <w:keepLines w:val="0"/>
        <w:pageBreakBefore w:val="0"/>
        <w:kinsoku/>
        <w:wordWrap/>
        <w:overflowPunct/>
        <w:topLinePunct w:val="0"/>
        <w:bidi w:val="0"/>
        <w:snapToGrid/>
        <w:spacing w:line="240" w:lineRule="auto"/>
        <w:ind w:firstLine="420"/>
        <w:textAlignment w:val="auto"/>
        <w:rPr>
          <w:rFonts w:hint="eastAsia" w:eastAsia="宋体"/>
          <w:lang w:eastAsia="zh-CN"/>
        </w:rPr>
      </w:pPr>
      <w:r>
        <w:rPr>
          <w:rFonts w:hint="eastAsia"/>
        </w:rPr>
        <w:t>本文件编制单位</w:t>
      </w:r>
      <w:r>
        <w:rPr>
          <w:rFonts w:hint="eastAsia"/>
          <w:lang w:eastAsia="zh-CN"/>
        </w:rPr>
        <w:t>：</w:t>
      </w:r>
      <w:r>
        <w:rPr>
          <w:rFonts w:hint="eastAsia"/>
        </w:rPr>
        <w:t>宝业湖北建工集团有限公司、华中科技大学</w:t>
      </w:r>
      <w:r>
        <w:rPr>
          <w:rFonts w:hint="eastAsia"/>
          <w:lang w:eastAsia="zh-CN"/>
        </w:rPr>
        <w:t>、</w:t>
      </w:r>
      <w:r>
        <w:rPr>
          <w:rFonts w:hint="eastAsia"/>
        </w:rPr>
        <w:t>湖北宝业建筑工业化有限公司</w:t>
      </w:r>
      <w:r>
        <w:rPr>
          <w:rFonts w:hint="eastAsia"/>
          <w:lang w:eastAsia="zh-CN"/>
        </w:rPr>
        <w:t>。</w:t>
      </w:r>
    </w:p>
    <w:p>
      <w:pPr>
        <w:pStyle w:val="56"/>
        <w:keepNext w:val="0"/>
        <w:keepLines w:val="0"/>
        <w:pageBreakBefore w:val="0"/>
        <w:widowControl/>
        <w:kinsoku/>
        <w:wordWrap/>
        <w:overflowPunct/>
        <w:topLinePunct w:val="0"/>
        <w:autoSpaceDE w:val="0"/>
        <w:autoSpaceDN w:val="0"/>
        <w:bidi w:val="0"/>
        <w:adjustRightInd/>
        <w:snapToGrid/>
        <w:spacing w:line="240" w:lineRule="auto"/>
        <w:ind w:firstLine="420"/>
        <w:textAlignment w:val="auto"/>
      </w:pPr>
      <w:r>
        <w:rPr>
          <w:rFonts w:hint="eastAsia"/>
        </w:rPr>
        <w:t>本文件参编单位</w:t>
      </w:r>
      <w:r>
        <w:rPr>
          <w:rFonts w:hint="eastAsia"/>
          <w:lang w:eastAsia="zh-CN"/>
        </w:rPr>
        <w:t>：</w:t>
      </w:r>
      <w:r>
        <w:rPr>
          <w:rFonts w:hint="eastAsia"/>
          <w:lang w:val="en-US" w:eastAsia="zh-CN"/>
        </w:rPr>
        <w:t>中信建筑设计研究总院有限公司、襄阳市汉江工程设计有限公司、宜昌市建筑市场和建设工程质量安全监督站、宜昌市建筑节能推广中心、三峡大学、湖北建审工程咨询有限公司。</w:t>
      </w:r>
    </w:p>
    <w:p>
      <w:pPr>
        <w:keepNext w:val="0"/>
        <w:keepLines w:val="0"/>
        <w:pageBreakBefore w:val="0"/>
        <w:widowControl w:val="0"/>
        <w:kinsoku/>
        <w:wordWrap/>
        <w:overflowPunct/>
        <w:topLinePunct w:val="0"/>
        <w:autoSpaceDE/>
        <w:autoSpaceDN/>
        <w:bidi w:val="0"/>
        <w:adjustRightInd w:val="0"/>
        <w:snapToGrid/>
        <w:spacing w:line="240" w:lineRule="auto"/>
        <w:ind w:firstLine="420" w:firstLineChars="200"/>
        <w:textAlignment w:val="auto"/>
        <w:rPr>
          <w:rFonts w:hint="eastAsia" w:ascii="宋体" w:hAnsi="Times New Roman" w:cs="Times New Roman"/>
          <w:kern w:val="0"/>
          <w:sz w:val="21"/>
          <w:szCs w:val="20"/>
          <w:lang w:val="en-US" w:eastAsia="zh-CN" w:bidi="ar-SA"/>
        </w:rPr>
      </w:pPr>
      <w:r>
        <w:rPr>
          <w:rFonts w:hint="eastAsia"/>
        </w:rPr>
        <w:t>本文件主要起草人：</w:t>
      </w:r>
      <w:r>
        <w:rPr>
          <w:rFonts w:hint="eastAsia" w:ascii="宋体" w:hAnsi="Times New Roman" w:eastAsia="宋体" w:cs="Times New Roman"/>
          <w:kern w:val="0"/>
          <w:sz w:val="21"/>
          <w:szCs w:val="20"/>
          <w:lang w:val="en-US" w:eastAsia="zh-CN" w:bidi="ar-SA"/>
        </w:rPr>
        <w:t>高林</w:t>
      </w:r>
      <w:r>
        <w:rPr>
          <w:rFonts w:hint="eastAsia" w:ascii="宋体" w:hAnsi="Times New Roman" w:cs="Times New Roman"/>
          <w:kern w:val="0"/>
          <w:sz w:val="21"/>
          <w:szCs w:val="20"/>
          <w:lang w:val="en-US" w:eastAsia="zh-CN" w:bidi="ar-SA"/>
        </w:rPr>
        <w:t>、</w:t>
      </w:r>
      <w:r>
        <w:rPr>
          <w:rFonts w:hint="eastAsia" w:ascii="宋体" w:hAnsi="Times New Roman" w:eastAsia="宋体" w:cs="Times New Roman"/>
          <w:kern w:val="0"/>
          <w:sz w:val="21"/>
          <w:szCs w:val="20"/>
          <w:lang w:val="en-US" w:eastAsia="zh-CN" w:bidi="ar-SA"/>
        </w:rPr>
        <w:t>张耀庭</w:t>
      </w:r>
      <w:r>
        <w:rPr>
          <w:rFonts w:hint="eastAsia" w:ascii="宋体" w:hAnsi="Times New Roman" w:cs="Times New Roman"/>
          <w:kern w:val="0"/>
          <w:sz w:val="21"/>
          <w:szCs w:val="20"/>
          <w:lang w:val="en-US" w:eastAsia="zh-CN" w:bidi="ar-SA"/>
        </w:rPr>
        <w:t>、</w:t>
      </w:r>
      <w:r>
        <w:rPr>
          <w:rFonts w:hint="eastAsia" w:ascii="宋体" w:hAnsi="Times New Roman" w:eastAsia="宋体" w:cs="Times New Roman"/>
          <w:kern w:val="0"/>
          <w:sz w:val="21"/>
          <w:szCs w:val="20"/>
          <w:lang w:val="en-US" w:eastAsia="zh-CN" w:bidi="ar-SA"/>
        </w:rPr>
        <w:t>陶金友</w:t>
      </w:r>
      <w:r>
        <w:rPr>
          <w:rFonts w:hint="eastAsia" w:ascii="宋体" w:hAnsi="Times New Roman" w:cs="Times New Roman"/>
          <w:kern w:val="0"/>
          <w:sz w:val="21"/>
          <w:szCs w:val="20"/>
          <w:lang w:val="en-US" w:eastAsia="zh-CN" w:bidi="ar-SA"/>
        </w:rPr>
        <w:t>、</w:t>
      </w:r>
      <w:r>
        <w:rPr>
          <w:rFonts w:hint="eastAsia" w:ascii="宋体" w:hAnsi="Times New Roman" w:eastAsia="宋体" w:cs="Times New Roman"/>
          <w:kern w:val="0"/>
          <w:sz w:val="21"/>
          <w:szCs w:val="20"/>
          <w:lang w:val="en-US" w:eastAsia="zh-CN" w:bidi="ar-SA"/>
        </w:rPr>
        <w:t>金星</w:t>
      </w:r>
      <w:r>
        <w:rPr>
          <w:rFonts w:hint="eastAsia" w:ascii="宋体" w:hAnsi="Times New Roman" w:cs="Times New Roman"/>
          <w:kern w:val="0"/>
          <w:sz w:val="21"/>
          <w:szCs w:val="20"/>
          <w:lang w:val="en-US" w:eastAsia="zh-CN" w:bidi="ar-SA"/>
        </w:rPr>
        <w:t>、</w:t>
      </w:r>
      <w:r>
        <w:rPr>
          <w:rFonts w:hint="eastAsia" w:ascii="宋体" w:hAnsi="Times New Roman" w:eastAsia="宋体" w:cs="Times New Roman"/>
          <w:kern w:val="0"/>
          <w:sz w:val="21"/>
          <w:szCs w:val="20"/>
          <w:lang w:val="en-US" w:eastAsia="zh-CN" w:bidi="ar-SA"/>
        </w:rPr>
        <w:t>刘 闯</w:t>
      </w:r>
      <w:r>
        <w:rPr>
          <w:rFonts w:hint="eastAsia" w:ascii="宋体" w:hAnsi="Times New Roman" w:cs="Times New Roman"/>
          <w:kern w:val="0"/>
          <w:sz w:val="21"/>
          <w:szCs w:val="20"/>
          <w:lang w:val="en-US" w:eastAsia="zh-CN" w:bidi="ar-SA"/>
        </w:rPr>
        <w:t>、</w:t>
      </w:r>
      <w:r>
        <w:rPr>
          <w:rFonts w:hint="eastAsia" w:ascii="宋体" w:hAnsi="Times New Roman" w:eastAsia="宋体" w:cs="Times New Roman"/>
          <w:kern w:val="0"/>
          <w:sz w:val="21"/>
          <w:szCs w:val="20"/>
          <w:lang w:val="en-US" w:eastAsia="zh-CN" w:bidi="ar-SA"/>
        </w:rPr>
        <w:t>樊剑</w:t>
      </w:r>
      <w:r>
        <w:rPr>
          <w:rFonts w:hint="eastAsia" w:ascii="宋体" w:hAnsi="Times New Roman" w:cs="Times New Roman"/>
          <w:kern w:val="0"/>
          <w:sz w:val="21"/>
          <w:szCs w:val="20"/>
          <w:lang w:val="en-US" w:eastAsia="zh-CN" w:bidi="ar-SA"/>
        </w:rPr>
        <w:t>、</w:t>
      </w:r>
      <w:r>
        <w:rPr>
          <w:rFonts w:hint="eastAsia" w:ascii="宋体" w:hAnsi="Times New Roman" w:eastAsia="宋体" w:cs="Times New Roman"/>
          <w:kern w:val="0"/>
          <w:sz w:val="21"/>
          <w:szCs w:val="20"/>
          <w:lang w:val="en-US" w:eastAsia="zh-CN" w:bidi="ar-SA"/>
        </w:rPr>
        <w:t>龙晓鸿</w:t>
      </w:r>
      <w:r>
        <w:rPr>
          <w:rFonts w:hint="eastAsia" w:ascii="宋体" w:hAnsi="Times New Roman" w:cs="Times New Roman"/>
          <w:kern w:val="0"/>
          <w:sz w:val="21"/>
          <w:szCs w:val="20"/>
          <w:lang w:val="en-US" w:eastAsia="zh-CN" w:bidi="ar-SA"/>
        </w:rPr>
        <w:t>、</w:t>
      </w:r>
      <w:r>
        <w:rPr>
          <w:rFonts w:hint="eastAsia" w:ascii="宋体" w:hAnsi="Times New Roman" w:eastAsia="宋体" w:cs="Times New Roman"/>
          <w:kern w:val="0"/>
          <w:sz w:val="21"/>
          <w:szCs w:val="20"/>
          <w:lang w:val="en-US" w:eastAsia="zh-CN" w:bidi="ar-SA"/>
        </w:rPr>
        <w:t>李治</w:t>
      </w:r>
      <w:r>
        <w:rPr>
          <w:rFonts w:hint="eastAsia" w:ascii="宋体" w:hAnsi="Times New Roman" w:cs="Times New Roman"/>
          <w:kern w:val="0"/>
          <w:sz w:val="21"/>
          <w:szCs w:val="20"/>
          <w:lang w:val="en-US" w:eastAsia="zh-CN" w:bidi="ar-SA"/>
        </w:rPr>
        <w:t>、</w:t>
      </w:r>
      <w:r>
        <w:rPr>
          <w:rFonts w:hint="eastAsia" w:ascii="宋体" w:hAnsi="Times New Roman" w:eastAsia="宋体" w:cs="Times New Roman"/>
          <w:kern w:val="0"/>
          <w:sz w:val="21"/>
          <w:szCs w:val="20"/>
          <w:lang w:val="en-US" w:eastAsia="zh-CN" w:bidi="ar-SA"/>
        </w:rPr>
        <w:t>李从春</w:t>
      </w:r>
      <w:r>
        <w:rPr>
          <w:rFonts w:hint="eastAsia" w:ascii="宋体" w:hAnsi="Times New Roman" w:cs="Times New Roman"/>
          <w:kern w:val="0"/>
          <w:sz w:val="21"/>
          <w:szCs w:val="20"/>
          <w:lang w:val="en-US" w:eastAsia="zh-CN" w:bidi="ar-SA"/>
        </w:rPr>
        <w:t>、</w:t>
      </w:r>
      <w:r>
        <w:rPr>
          <w:rFonts w:hint="eastAsia" w:ascii="宋体" w:hAnsi="Times New Roman" w:eastAsia="宋体" w:cs="Times New Roman"/>
          <w:kern w:val="0"/>
          <w:sz w:val="21"/>
          <w:szCs w:val="20"/>
          <w:lang w:val="en-US" w:eastAsia="zh-CN" w:bidi="ar-SA"/>
        </w:rPr>
        <w:t>曾巧</w:t>
      </w:r>
      <w:r>
        <w:rPr>
          <w:rFonts w:hint="eastAsia" w:ascii="宋体" w:hAnsi="Times New Roman" w:cs="Times New Roman"/>
          <w:kern w:val="0"/>
          <w:sz w:val="21"/>
          <w:szCs w:val="20"/>
          <w:lang w:val="en-US" w:eastAsia="zh-CN" w:bidi="ar-SA"/>
        </w:rPr>
        <w:t>、</w:t>
      </w:r>
    </w:p>
    <w:p>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ascii="宋体" w:hAnsi="Times New Roman" w:eastAsia="宋体" w:cs="Times New Roman"/>
          <w:kern w:val="0"/>
          <w:sz w:val="21"/>
          <w:szCs w:val="20"/>
          <w:lang w:val="en-US" w:eastAsia="zh-CN" w:bidi="ar-SA"/>
        </w:rPr>
      </w:pPr>
      <w:r>
        <w:rPr>
          <w:rFonts w:hint="eastAsia" w:ascii="宋体" w:hAnsi="Times New Roman" w:eastAsia="宋体" w:cs="Times New Roman"/>
          <w:kern w:val="0"/>
          <w:sz w:val="21"/>
          <w:szCs w:val="20"/>
          <w:lang w:val="en-US" w:eastAsia="zh-CN" w:bidi="ar-SA"/>
        </w:rPr>
        <w:t>宋晓强</w:t>
      </w:r>
      <w:r>
        <w:rPr>
          <w:rFonts w:hint="eastAsia" w:ascii="宋体" w:hAnsi="Times New Roman" w:cs="Times New Roman"/>
          <w:kern w:val="0"/>
          <w:sz w:val="21"/>
          <w:szCs w:val="20"/>
          <w:lang w:val="en-US" w:eastAsia="zh-CN" w:bidi="ar-SA"/>
        </w:rPr>
        <w:t>、</w:t>
      </w:r>
      <w:r>
        <w:rPr>
          <w:rFonts w:hint="eastAsia" w:ascii="宋体" w:hAnsi="Times New Roman" w:eastAsia="宋体" w:cs="Times New Roman"/>
          <w:kern w:val="0"/>
          <w:sz w:val="21"/>
          <w:szCs w:val="20"/>
          <w:lang w:val="en-US" w:eastAsia="zh-CN" w:bidi="ar-SA"/>
        </w:rPr>
        <w:t>陈荣</w:t>
      </w:r>
      <w:r>
        <w:rPr>
          <w:rFonts w:hint="eastAsia" w:ascii="宋体" w:hAnsi="Times New Roman" w:cs="Times New Roman"/>
          <w:kern w:val="0"/>
          <w:sz w:val="21"/>
          <w:szCs w:val="20"/>
          <w:lang w:val="en-US" w:eastAsia="zh-CN" w:bidi="ar-SA"/>
        </w:rPr>
        <w:t>、</w:t>
      </w:r>
      <w:r>
        <w:rPr>
          <w:rFonts w:hint="eastAsia" w:ascii="宋体" w:hAnsi="Times New Roman" w:eastAsia="宋体" w:cs="Times New Roman"/>
          <w:kern w:val="0"/>
          <w:sz w:val="21"/>
          <w:szCs w:val="20"/>
          <w:lang w:val="en-US" w:eastAsia="zh-CN" w:bidi="ar-SA"/>
        </w:rPr>
        <w:t>李东辉</w:t>
      </w:r>
      <w:r>
        <w:rPr>
          <w:rFonts w:hint="eastAsia" w:ascii="宋体" w:hAnsi="Times New Roman" w:cs="Times New Roman"/>
          <w:kern w:val="0"/>
          <w:sz w:val="21"/>
          <w:szCs w:val="20"/>
          <w:lang w:val="en-US" w:eastAsia="zh-CN" w:bidi="ar-SA"/>
        </w:rPr>
        <w:t>、</w:t>
      </w:r>
      <w:r>
        <w:rPr>
          <w:rFonts w:hint="eastAsia" w:ascii="宋体" w:hAnsi="Times New Roman" w:eastAsia="宋体" w:cs="Times New Roman"/>
          <w:kern w:val="0"/>
          <w:sz w:val="21"/>
          <w:szCs w:val="20"/>
          <w:lang w:val="en-US" w:eastAsia="zh-CN" w:bidi="ar-SA"/>
        </w:rPr>
        <w:t>章鸿</w:t>
      </w:r>
      <w:r>
        <w:rPr>
          <w:rFonts w:hint="eastAsia" w:ascii="宋体" w:hAnsi="Times New Roman" w:cs="Times New Roman"/>
          <w:kern w:val="0"/>
          <w:sz w:val="21"/>
          <w:szCs w:val="20"/>
          <w:lang w:val="en-US" w:eastAsia="zh-CN" w:bidi="ar-SA"/>
        </w:rPr>
        <w:t>、</w:t>
      </w:r>
      <w:r>
        <w:rPr>
          <w:rFonts w:hint="eastAsia" w:ascii="宋体" w:hAnsi="Times New Roman" w:eastAsia="宋体" w:cs="Times New Roman"/>
          <w:kern w:val="0"/>
          <w:sz w:val="21"/>
          <w:szCs w:val="20"/>
          <w:lang w:val="en-US" w:eastAsia="zh-CN" w:bidi="ar-SA"/>
        </w:rPr>
        <w:t>曾沁</w:t>
      </w:r>
      <w:r>
        <w:rPr>
          <w:rFonts w:hint="eastAsia" w:ascii="宋体" w:hAnsi="Times New Roman" w:cs="Times New Roman"/>
          <w:kern w:val="0"/>
          <w:sz w:val="21"/>
          <w:szCs w:val="20"/>
          <w:lang w:val="en-US" w:eastAsia="zh-CN" w:bidi="ar-SA"/>
        </w:rPr>
        <w:t>、</w:t>
      </w:r>
      <w:r>
        <w:rPr>
          <w:rFonts w:hint="eastAsia" w:ascii="宋体" w:hAnsi="Times New Roman" w:eastAsia="宋体" w:cs="Times New Roman"/>
          <w:kern w:val="0"/>
          <w:sz w:val="21"/>
          <w:szCs w:val="20"/>
          <w:lang w:val="en-US" w:eastAsia="zh-CN" w:bidi="ar-SA"/>
        </w:rPr>
        <w:t>顾春波</w:t>
      </w:r>
      <w:r>
        <w:rPr>
          <w:rFonts w:hint="eastAsia" w:ascii="宋体" w:hAnsi="Times New Roman" w:cs="Times New Roman"/>
          <w:kern w:val="0"/>
          <w:sz w:val="21"/>
          <w:szCs w:val="20"/>
          <w:lang w:val="en-US" w:eastAsia="zh-CN" w:bidi="ar-SA"/>
        </w:rPr>
        <w:t>、</w:t>
      </w:r>
      <w:r>
        <w:rPr>
          <w:rFonts w:hint="eastAsia" w:ascii="宋体" w:hAnsi="Times New Roman" w:eastAsia="宋体" w:cs="Times New Roman"/>
          <w:kern w:val="0"/>
          <w:sz w:val="21"/>
          <w:szCs w:val="20"/>
          <w:lang w:val="en-US" w:eastAsia="zh-CN" w:bidi="ar-SA"/>
        </w:rPr>
        <w:t>阎成钢</w:t>
      </w:r>
      <w:r>
        <w:rPr>
          <w:rFonts w:hint="eastAsia" w:ascii="宋体" w:hAnsi="Times New Roman" w:cs="Times New Roman"/>
          <w:kern w:val="0"/>
          <w:sz w:val="21"/>
          <w:szCs w:val="20"/>
          <w:lang w:val="en-US" w:eastAsia="zh-CN" w:bidi="ar-SA"/>
        </w:rPr>
        <w:t>。</w:t>
      </w:r>
    </w:p>
    <w:p>
      <w:pPr>
        <w:pStyle w:val="56"/>
        <w:ind w:firstLine="420"/>
      </w:pPr>
      <w:r>
        <w:rPr>
          <w:rFonts w:hint="eastAsia"/>
        </w:rPr>
        <w:t>本文件主要审查人：</w:t>
      </w:r>
    </w:p>
    <w:p>
      <w:pPr>
        <w:pStyle w:val="56"/>
        <w:ind w:firstLine="420"/>
      </w:pPr>
      <w:r>
        <w:rPr>
          <w:rFonts w:hint="eastAsia"/>
        </w:rPr>
        <w:t>本文件实施应用中的疑问，可咨询湖北省住房和城乡建设厅，联系电话：027-68873088，邮箱：407483361@qq.com。在执行过程中如有意见和建议请邮寄宝业湖北建工集团有限公司（地址：湖北省武汉市青山区建设一路31号武汉宝业中心A座25楼，邮编：430080）。</w:t>
      </w:r>
    </w:p>
    <w:p>
      <w:pPr>
        <w:pStyle w:val="56"/>
        <w:ind w:firstLine="420"/>
        <w:sectPr>
          <w:pgSz w:w="11906" w:h="16838"/>
          <w:pgMar w:top="567" w:right="1134" w:bottom="1134" w:left="1134" w:header="1418" w:footer="1134" w:gutter="284"/>
          <w:pgNumType w:fmt="upperRoman"/>
          <w:cols w:space="425" w:num="1"/>
          <w:formProt w:val="0"/>
          <w:docGrid w:type="lines" w:linePitch="312" w:charSpace="0"/>
        </w:sectPr>
      </w:pPr>
    </w:p>
    <w:bookmarkEnd w:id="26"/>
    <w:p>
      <w:pPr>
        <w:pStyle w:val="89"/>
        <w:spacing w:after="468"/>
      </w:pPr>
      <w:bookmarkStart w:id="27" w:name="_Toc69916868"/>
      <w:bookmarkStart w:id="28" w:name="_Toc69885180"/>
      <w:bookmarkStart w:id="29" w:name="BookMark3"/>
      <w:r>
        <w:rPr>
          <w:spacing w:val="320"/>
        </w:rPr>
        <w:t>引</w:t>
      </w:r>
      <w:r>
        <w:t>言</w:t>
      </w:r>
      <w:bookmarkEnd w:id="27"/>
      <w:bookmarkEnd w:id="28"/>
    </w:p>
    <w:p>
      <w:pPr>
        <w:pStyle w:val="56"/>
        <w:ind w:firstLine="420"/>
      </w:pPr>
      <w:r>
        <w:rPr>
          <w:rFonts w:hint="eastAsia"/>
        </w:rPr>
        <w:t>近年来，国内装配式混凝土建筑呈现出上升发展的趋势。湖北省装配式建筑的应用也在积极推广，为实现我省产业化发展战略，充分发挥装配式混凝土建筑的优越性</w:t>
      </w:r>
      <w:r>
        <w:rPr>
          <w:rFonts w:hint="eastAsia"/>
          <w:color w:val="000000" w:themeColor="text1"/>
          <w14:textFill>
            <w14:solidFill>
              <w14:schemeClr w14:val="tx1"/>
            </w14:solidFill>
          </w14:textFill>
        </w:rPr>
        <w:t>，现编写适用于湖北省装配式混凝土建筑的钢筋桁架混凝土叠合板地方标准。</w:t>
      </w:r>
    </w:p>
    <w:p>
      <w:pPr>
        <w:pStyle w:val="56"/>
        <w:ind w:firstLine="420"/>
      </w:pPr>
      <w:r>
        <w:rPr>
          <w:rFonts w:hint="eastAsia"/>
        </w:rPr>
        <w:t>根据湖北省市场监督管理局《关于下达2019年度湖北省地方标准制订项目计划的通知》（鄂市监函〔2019〕232号）的要求，编制组经广泛调查研究，认真总结实践经验，参考现有国家、行业和地方标准，并在广泛征求意见的基础上，制订本文件。</w:t>
      </w:r>
    </w:p>
    <w:p>
      <w:pPr>
        <w:pStyle w:val="56"/>
        <w:ind w:firstLine="420"/>
      </w:pPr>
      <w:r>
        <w:rPr>
          <w:rFonts w:hint="eastAsia"/>
        </w:rPr>
        <w:t>本文件共分8章。主要内容为：1.范围；2.规范性引用文件；3.术语和定义；4.总则；5.材料；6.结构设计；7.桁架预制板制作、运输与堆放；8.施工与验收。</w:t>
      </w:r>
    </w:p>
    <w:p>
      <w:pPr>
        <w:pStyle w:val="56"/>
        <w:ind w:firstLine="420"/>
      </w:pPr>
    </w:p>
    <w:p>
      <w:pPr>
        <w:pStyle w:val="56"/>
        <w:ind w:firstLine="420"/>
        <w:sectPr>
          <w:pgSz w:w="11906" w:h="16838"/>
          <w:pgMar w:top="567" w:right="1134" w:bottom="1134" w:left="1134" w:header="1418" w:footer="1134" w:gutter="284"/>
          <w:pgNumType w:fmt="upperRoman"/>
          <w:cols w:space="425" w:num="1"/>
          <w:formProt w:val="0"/>
          <w:docGrid w:type="lines" w:linePitch="312" w:charSpace="0"/>
        </w:sectPr>
      </w:pPr>
    </w:p>
    <w:bookmarkEnd w:id="29"/>
    <w:p>
      <w:pPr>
        <w:spacing w:line="20" w:lineRule="exact"/>
        <w:jc w:val="center"/>
        <w:rPr>
          <w:rFonts w:ascii="黑体" w:hAnsi="黑体" w:eastAsia="黑体"/>
          <w:sz w:val="32"/>
          <w:szCs w:val="32"/>
        </w:rPr>
      </w:pPr>
      <w:bookmarkStart w:id="30" w:name="BookMark4"/>
    </w:p>
    <w:p>
      <w:pPr>
        <w:spacing w:line="20" w:lineRule="exact"/>
        <w:jc w:val="center"/>
        <w:rPr>
          <w:rFonts w:ascii="黑体" w:hAnsi="黑体" w:eastAsia="黑体"/>
          <w:sz w:val="32"/>
          <w:szCs w:val="32"/>
        </w:rPr>
      </w:pPr>
    </w:p>
    <w:sdt>
      <w:sdtPr>
        <w:tag w:val="NEW_STAND_NAME"/>
        <w:id w:val="595910757"/>
        <w:lock w:val="sdtLocked"/>
        <w:placeholder>
          <w:docPart w:val="204FE3FB5FB14D9D88614C89C9F2A0F3"/>
        </w:placeholder>
      </w:sdtPr>
      <w:sdtContent>
        <w:p>
          <w:pPr>
            <w:pStyle w:val="177"/>
            <w:spacing w:before="567" w:beforeLines="182" w:after="686" w:afterLines="220"/>
          </w:pPr>
          <w:bookmarkStart w:id="31" w:name="NEW_STAND_NAME"/>
          <w:r>
            <w:rPr>
              <w:rFonts w:hint="eastAsia"/>
            </w:rPr>
            <w:t>钢筋桁架混凝土叠合楼板技术规程</w:t>
          </w:r>
        </w:p>
      </w:sdtContent>
    </w:sdt>
    <w:bookmarkEnd w:id="31"/>
    <w:p>
      <w:pPr>
        <w:pStyle w:val="104"/>
        <w:spacing w:before="312" w:after="312"/>
      </w:pPr>
      <w:bookmarkStart w:id="32" w:name="_Toc26986530"/>
      <w:bookmarkStart w:id="33" w:name="_Toc26986771"/>
      <w:bookmarkStart w:id="34" w:name="_Toc24884211"/>
      <w:bookmarkStart w:id="35" w:name="_Toc69916869"/>
      <w:bookmarkStart w:id="36" w:name="_Toc24884218"/>
      <w:bookmarkStart w:id="37" w:name="_Toc69807098"/>
      <w:bookmarkStart w:id="38" w:name="_Toc26648465"/>
      <w:bookmarkStart w:id="39" w:name="_Toc17233333"/>
      <w:bookmarkStart w:id="40" w:name="_Toc26718930"/>
      <w:bookmarkStart w:id="41" w:name="_Toc17233325"/>
      <w:bookmarkStart w:id="42" w:name="_Toc69885181"/>
      <w:r>
        <w:rPr>
          <w:rFonts w:hint="eastAsia"/>
        </w:rPr>
        <w:t>范围</w:t>
      </w:r>
      <w:bookmarkEnd w:id="32"/>
      <w:bookmarkEnd w:id="33"/>
      <w:bookmarkEnd w:id="34"/>
      <w:bookmarkEnd w:id="35"/>
      <w:bookmarkEnd w:id="36"/>
      <w:bookmarkEnd w:id="37"/>
      <w:bookmarkEnd w:id="38"/>
      <w:bookmarkEnd w:id="39"/>
      <w:bookmarkEnd w:id="40"/>
      <w:bookmarkEnd w:id="41"/>
      <w:bookmarkEnd w:id="42"/>
    </w:p>
    <w:p>
      <w:pPr>
        <w:pStyle w:val="56"/>
        <w:ind w:firstLine="420"/>
      </w:pPr>
      <w:bookmarkStart w:id="43" w:name="_Toc24884219"/>
      <w:bookmarkStart w:id="44" w:name="_Toc26648466"/>
      <w:bookmarkStart w:id="45" w:name="_Toc17233334"/>
      <w:bookmarkStart w:id="46" w:name="_Toc17233326"/>
      <w:bookmarkStart w:id="47" w:name="_Toc24884212"/>
      <w:r>
        <w:rPr>
          <w:rFonts w:hint="eastAsia"/>
        </w:rPr>
        <w:t>本文件规定钢筋桁架混凝土叠合板应用的技术要求，做到安全适用、技术先进、经济合理、保证工程质量。</w:t>
      </w:r>
    </w:p>
    <w:p>
      <w:pPr>
        <w:pStyle w:val="56"/>
        <w:ind w:firstLine="420"/>
      </w:pPr>
      <w:r>
        <w:rPr>
          <w:rFonts w:hint="eastAsia"/>
        </w:rPr>
        <w:t>本文件适用于湖北省民用建筑中钢筋桁架混凝土叠合板的设计、制作、施工及验收。钢筋桁架混凝土叠合板的设计、制作、施工及验收除应符合本文件外，尚应符合现行国家、行业及地方有关标准的规定。</w:t>
      </w:r>
    </w:p>
    <w:p>
      <w:pPr>
        <w:pStyle w:val="104"/>
        <w:spacing w:before="312" w:after="312"/>
      </w:pPr>
      <w:bookmarkStart w:id="48" w:name="_Toc69916870"/>
      <w:bookmarkStart w:id="49" w:name="_Toc69885182"/>
      <w:bookmarkStart w:id="50" w:name="_Toc26986531"/>
      <w:bookmarkStart w:id="51" w:name="_Toc26718931"/>
      <w:bookmarkStart w:id="52" w:name="_Toc69807099"/>
      <w:bookmarkStart w:id="53" w:name="_Toc26986772"/>
      <w:r>
        <w:rPr>
          <w:rFonts w:hint="eastAsia"/>
        </w:rPr>
        <w:t>规范性引用文件</w:t>
      </w:r>
      <w:bookmarkEnd w:id="43"/>
      <w:bookmarkEnd w:id="44"/>
      <w:bookmarkEnd w:id="45"/>
      <w:bookmarkEnd w:id="46"/>
      <w:bookmarkEnd w:id="47"/>
      <w:bookmarkEnd w:id="48"/>
      <w:bookmarkEnd w:id="49"/>
      <w:bookmarkEnd w:id="50"/>
      <w:bookmarkEnd w:id="51"/>
      <w:bookmarkEnd w:id="52"/>
      <w:bookmarkEnd w:id="53"/>
    </w:p>
    <w:p>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56"/>
        <w:ind w:firstLine="420"/>
      </w:pPr>
      <w:r>
        <w:rPr>
          <w:rFonts w:hint="eastAsia"/>
        </w:rPr>
        <w:t>GB 50010《混凝土结构设计规范》</w:t>
      </w:r>
    </w:p>
    <w:p>
      <w:pPr>
        <w:pStyle w:val="56"/>
        <w:ind w:firstLine="420"/>
      </w:pPr>
      <w:r>
        <w:rPr>
          <w:rFonts w:hint="eastAsia"/>
        </w:rPr>
        <w:t>GB 50017《钢结构设计规范》</w:t>
      </w:r>
    </w:p>
    <w:p>
      <w:pPr>
        <w:pStyle w:val="56"/>
        <w:ind w:firstLine="420"/>
      </w:pPr>
      <w:r>
        <w:rPr>
          <w:rFonts w:hint="eastAsia"/>
        </w:rPr>
        <w:t>GB 50026《工程测量规范》</w:t>
      </w:r>
    </w:p>
    <w:p>
      <w:pPr>
        <w:pStyle w:val="56"/>
        <w:ind w:firstLine="420"/>
      </w:pPr>
      <w:r>
        <w:rPr>
          <w:rFonts w:hint="eastAsia"/>
        </w:rPr>
        <w:t>GB 50204《混凝土结构工程施工质量验收规范》</w:t>
      </w:r>
    </w:p>
    <w:p>
      <w:pPr>
        <w:pStyle w:val="56"/>
        <w:ind w:firstLine="420"/>
      </w:pPr>
      <w:r>
        <w:rPr>
          <w:rFonts w:hint="eastAsia"/>
        </w:rPr>
        <w:t>GB 50666《混凝土结构工程施工规范》</w:t>
      </w:r>
    </w:p>
    <w:p>
      <w:pPr>
        <w:pStyle w:val="56"/>
        <w:ind w:firstLine="420"/>
      </w:pPr>
      <w:r>
        <w:rPr>
          <w:rFonts w:hint="eastAsia"/>
        </w:rPr>
        <w:t>GB/T 51231《装配式混凝土建筑技术标准》</w:t>
      </w:r>
    </w:p>
    <w:p>
      <w:pPr>
        <w:pStyle w:val="56"/>
        <w:ind w:firstLine="420"/>
      </w:pPr>
      <w:r>
        <w:rPr>
          <w:rFonts w:hint="eastAsia"/>
        </w:rPr>
        <w:t>GB/T 228.1《金属材料 拉伸试验 第1部分：室温试验方法》</w:t>
      </w:r>
    </w:p>
    <w:p>
      <w:pPr>
        <w:pStyle w:val="56"/>
        <w:ind w:firstLine="420"/>
      </w:pPr>
      <w:r>
        <w:rPr>
          <w:rFonts w:hint="eastAsia"/>
        </w:rPr>
        <w:t>GB/T 232《金属材料 弯曲试验方法》</w:t>
      </w:r>
    </w:p>
    <w:p>
      <w:pPr>
        <w:pStyle w:val="56"/>
        <w:ind w:firstLine="420"/>
      </w:pPr>
      <w:r>
        <w:rPr>
          <w:rFonts w:hint="eastAsia"/>
        </w:rPr>
        <w:t>GB/T 238《金属材料 线材反复弯曲试验方法》</w:t>
      </w:r>
    </w:p>
    <w:p>
      <w:pPr>
        <w:pStyle w:val="56"/>
        <w:ind w:firstLine="420"/>
      </w:pPr>
      <w:r>
        <w:rPr>
          <w:rFonts w:hint="eastAsia"/>
        </w:rPr>
        <w:t>JGJ 1《装配式混凝土结构技术文件》</w:t>
      </w:r>
    </w:p>
    <w:p>
      <w:pPr>
        <w:pStyle w:val="56"/>
        <w:ind w:firstLine="420"/>
      </w:pPr>
      <w:r>
        <w:rPr>
          <w:rFonts w:hint="eastAsia"/>
        </w:rPr>
        <w:t>JGJ 18《钢筋焊接及验收文件》</w:t>
      </w:r>
    </w:p>
    <w:p>
      <w:pPr>
        <w:pStyle w:val="56"/>
        <w:ind w:firstLine="420"/>
      </w:pPr>
      <w:r>
        <w:rPr>
          <w:rFonts w:hint="eastAsia"/>
        </w:rPr>
        <w:t>JGJ 95《冷轧带肋钢筋混凝土结构技术文件》</w:t>
      </w:r>
    </w:p>
    <w:p>
      <w:pPr>
        <w:pStyle w:val="56"/>
        <w:ind w:firstLine="420"/>
      </w:pPr>
      <w:r>
        <w:rPr>
          <w:rFonts w:hint="eastAsia"/>
        </w:rPr>
        <w:t>JGJ 114《钢筋焊接网混凝土结构技术文件》</w:t>
      </w:r>
    </w:p>
    <w:p>
      <w:pPr>
        <w:pStyle w:val="104"/>
        <w:spacing w:before="312" w:after="312"/>
      </w:pPr>
      <w:bookmarkStart w:id="54" w:name="_Toc69885183"/>
      <w:bookmarkStart w:id="55" w:name="_Toc69916871"/>
      <w:bookmarkStart w:id="56" w:name="_Toc69807100"/>
      <w:r>
        <w:rPr>
          <w:rFonts w:hint="eastAsia"/>
          <w:szCs w:val="21"/>
        </w:rPr>
        <w:t>术语和定义</w:t>
      </w:r>
      <w:bookmarkEnd w:id="54"/>
      <w:bookmarkEnd w:id="55"/>
      <w:bookmarkEnd w:id="56"/>
    </w:p>
    <w:sdt>
      <w:sdtPr>
        <w:id w:val="-1909835108"/>
        <w:placeholder>
          <w:docPart w:val="744DBF12F2944CCAB28E913116D30785"/>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56"/>
            <w:ind w:firstLine="420"/>
          </w:pPr>
          <w:bookmarkStart w:id="57" w:name="_Toc26986532"/>
          <w:bookmarkEnd w:id="57"/>
          <w:r>
            <w:t>下列术语和定义适用于本文件。</w:t>
          </w:r>
        </w:p>
      </w:sdtContent>
    </w:sdt>
    <w:p>
      <w:pPr>
        <w:pStyle w:val="223"/>
        <w:ind w:left="420" w:hanging="420" w:hangingChars="200"/>
        <w:outlineLvl w:val="1"/>
        <w:rPr>
          <w:rFonts w:ascii="黑体" w:hAnsi="黑体" w:eastAsia="黑体"/>
        </w:rPr>
      </w:pPr>
      <w:r>
        <w:rPr>
          <w:rFonts w:hint="eastAsia" w:ascii="黑体" w:hAnsi="黑体" w:eastAsia="黑体"/>
        </w:rPr>
        <w:t>术语</w:t>
      </w:r>
    </w:p>
    <w:p>
      <w:pPr>
        <w:pStyle w:val="65"/>
        <w:spacing w:before="156" w:after="156"/>
        <w:outlineLvl w:val="9"/>
      </w:pPr>
    </w:p>
    <w:p>
      <w:pPr>
        <w:pStyle w:val="56"/>
        <w:ind w:firstLine="420"/>
      </w:pPr>
      <w:r>
        <w:rPr>
          <w:rFonts w:hint="eastAsia" w:ascii="黑体" w:hAnsi="黑体" w:eastAsia="黑体"/>
        </w:rPr>
        <w:t xml:space="preserve">钢筋桁架混凝土叠合板 </w:t>
      </w:r>
      <w:r>
        <w:rPr>
          <w:rFonts w:ascii="Times New Roman"/>
        </w:rPr>
        <w:t>composite slab with steel-bar truss</w:t>
      </w:r>
    </w:p>
    <w:p>
      <w:pPr>
        <w:pStyle w:val="56"/>
        <w:ind w:firstLine="420"/>
      </w:pPr>
      <w:r>
        <w:rPr>
          <w:rFonts w:hint="eastAsia"/>
        </w:rPr>
        <w:t>下部采用钢筋桁架预制板、上部采用现场后浇混凝土形成的叠合板，用于楼板，屋面板。简称桁架叠合板。</w:t>
      </w:r>
    </w:p>
    <w:p>
      <w:pPr>
        <w:pStyle w:val="56"/>
        <w:ind w:firstLine="420"/>
      </w:pPr>
    </w:p>
    <w:p>
      <w:pPr>
        <w:pStyle w:val="65"/>
        <w:spacing w:before="156" w:after="156"/>
        <w:outlineLvl w:val="9"/>
      </w:pPr>
    </w:p>
    <w:p>
      <w:pPr>
        <w:pStyle w:val="56"/>
        <w:ind w:firstLine="420"/>
      </w:pPr>
      <w:r>
        <w:rPr>
          <w:rFonts w:hint="eastAsia" w:ascii="黑体" w:hAnsi="黑体" w:eastAsia="黑体"/>
        </w:rPr>
        <w:t xml:space="preserve">钢筋桁架预制混凝土板 </w:t>
      </w:r>
      <w:r>
        <w:rPr>
          <w:rFonts w:hint="eastAsia" w:ascii="Times New Roman"/>
        </w:rPr>
        <w:t>precast slab with steel-bar truss</w:t>
      </w:r>
    </w:p>
    <w:p>
      <w:pPr>
        <w:pStyle w:val="56"/>
        <w:ind w:firstLine="420"/>
      </w:pPr>
      <w:r>
        <w:rPr>
          <w:rFonts w:hint="eastAsia"/>
        </w:rPr>
        <w:t>以钢筋桁架作为加劲肋的预制混凝土板。简称桁架预制板。</w:t>
      </w:r>
    </w:p>
    <w:p>
      <w:pPr>
        <w:pStyle w:val="65"/>
        <w:spacing w:before="156" w:after="156"/>
        <w:outlineLvl w:val="9"/>
      </w:pPr>
    </w:p>
    <w:p>
      <w:pPr>
        <w:pStyle w:val="56"/>
        <w:ind w:firstLine="420"/>
      </w:pPr>
      <w:r>
        <w:rPr>
          <w:rFonts w:hint="eastAsia" w:ascii="黑体" w:hAnsi="黑体" w:eastAsia="黑体"/>
        </w:rPr>
        <w:t xml:space="preserve">钢筋桁架 </w:t>
      </w:r>
      <w:r>
        <w:rPr>
          <w:rFonts w:hint="eastAsia" w:ascii="Times New Roman"/>
        </w:rPr>
        <w:t>lattice girder</w:t>
      </w:r>
    </w:p>
    <w:p>
      <w:pPr>
        <w:pStyle w:val="56"/>
        <w:ind w:firstLine="420"/>
      </w:pPr>
      <w:r>
        <w:rPr>
          <w:rFonts w:hint="eastAsia"/>
        </w:rPr>
        <w:t>由一根上弦钢筋，两根下弦钢筋和两侧腹杆钢筋经焊接成形的钢筋骨架。</w:t>
      </w:r>
    </w:p>
    <w:p>
      <w:pPr>
        <w:pStyle w:val="65"/>
        <w:spacing w:before="156" w:after="156"/>
        <w:outlineLvl w:val="9"/>
      </w:pPr>
    </w:p>
    <w:p>
      <w:pPr>
        <w:pStyle w:val="56"/>
        <w:ind w:firstLine="420"/>
      </w:pPr>
      <w:r>
        <w:rPr>
          <w:rFonts w:hint="eastAsia" w:ascii="黑体" w:hAnsi="黑体" w:eastAsia="黑体"/>
        </w:rPr>
        <w:t>后浇带式整体接缝</w:t>
      </w:r>
      <w:r>
        <w:rPr>
          <w:rFonts w:hint="eastAsia"/>
        </w:rPr>
        <w:t xml:space="preserve"> </w:t>
      </w:r>
      <w:r>
        <w:rPr>
          <w:rFonts w:hint="eastAsia" w:ascii="Times New Roman"/>
        </w:rPr>
        <w:t>monolithic connection with post pouring stuip</w:t>
      </w:r>
    </w:p>
    <w:p>
      <w:pPr>
        <w:pStyle w:val="56"/>
        <w:ind w:firstLine="420"/>
      </w:pPr>
      <w:r>
        <w:rPr>
          <w:rFonts w:hint="eastAsia"/>
        </w:rPr>
        <w:t>桁架叠合板中，相邻桁架预制板之间采用后浇带连接，且板底纵向钢筋在后浇带内搭接，能可靠连续传递内力的一种接缝形式。</w:t>
      </w:r>
    </w:p>
    <w:p>
      <w:pPr>
        <w:pStyle w:val="65"/>
        <w:spacing w:before="156" w:after="156"/>
        <w:outlineLvl w:val="9"/>
      </w:pPr>
    </w:p>
    <w:p>
      <w:pPr>
        <w:pStyle w:val="56"/>
        <w:ind w:firstLine="420"/>
      </w:pPr>
      <w:r>
        <w:rPr>
          <w:rFonts w:hint="eastAsia" w:ascii="黑体" w:hAnsi="黑体" w:eastAsia="黑体"/>
        </w:rPr>
        <w:t>密拼式整体接缝</w:t>
      </w:r>
      <w:r>
        <w:rPr>
          <w:rFonts w:hint="eastAsia"/>
        </w:rPr>
        <w:t xml:space="preserve"> </w:t>
      </w:r>
      <w:r>
        <w:rPr>
          <w:rFonts w:hint="eastAsia" w:ascii="Times New Roman"/>
        </w:rPr>
        <w:t>monolithic connection without gap</w:t>
      </w:r>
    </w:p>
    <w:p>
      <w:pPr>
        <w:pStyle w:val="56"/>
        <w:ind w:firstLine="420"/>
      </w:pPr>
      <w:r>
        <w:rPr>
          <w:rFonts w:hint="eastAsia"/>
        </w:rPr>
        <w:t>桁架叠合板中，相邻桁架预制板之间采用密拼形式，通过在叠合面上配置间接搭接钢筋等措施，能可靠连续传递内力的一种接缝形式。</w:t>
      </w:r>
    </w:p>
    <w:p>
      <w:pPr>
        <w:pStyle w:val="65"/>
        <w:spacing w:before="156" w:after="156"/>
        <w:outlineLvl w:val="9"/>
      </w:pPr>
    </w:p>
    <w:p>
      <w:pPr>
        <w:pStyle w:val="56"/>
        <w:ind w:firstLine="420"/>
      </w:pPr>
      <w:r>
        <w:rPr>
          <w:rFonts w:hint="eastAsia" w:ascii="黑体" w:hAnsi="黑体" w:eastAsia="黑体"/>
        </w:rPr>
        <w:t>密拼式分离接缝</w:t>
      </w:r>
      <w:r>
        <w:rPr>
          <w:rFonts w:hint="eastAsia"/>
        </w:rPr>
        <w:t xml:space="preserve"> </w:t>
      </w:r>
      <w:r>
        <w:rPr>
          <w:rFonts w:hint="eastAsia" w:ascii="Times New Roman"/>
        </w:rPr>
        <w:t>separated connection without gap</w:t>
      </w:r>
    </w:p>
    <w:p>
      <w:pPr>
        <w:pStyle w:val="56"/>
        <w:ind w:firstLine="420"/>
      </w:pPr>
      <w:r>
        <w:rPr>
          <w:rFonts w:hint="eastAsia"/>
        </w:rPr>
        <w:t>桁架叠合板中，相邻桁架预制板之间采用密拼形式，且无内力传递需求的一种接缝形式。</w:t>
      </w:r>
    </w:p>
    <w:p>
      <w:pPr>
        <w:pStyle w:val="223"/>
        <w:ind w:left="420" w:hanging="420" w:hangingChars="200"/>
        <w:outlineLvl w:val="1"/>
        <w:rPr>
          <w:rFonts w:ascii="黑体" w:hAnsi="黑体" w:eastAsia="黑体"/>
        </w:rPr>
      </w:pPr>
      <w:r>
        <w:rPr>
          <w:rFonts w:hint="eastAsia" w:ascii="黑体" w:hAnsi="黑体" w:eastAsia="黑体"/>
        </w:rPr>
        <w:t>符号</w:t>
      </w:r>
    </w:p>
    <w:p>
      <w:pPr>
        <w:pStyle w:val="65"/>
        <w:spacing w:before="156" w:after="156"/>
        <w:outlineLvl w:val="9"/>
      </w:pPr>
    </w:p>
    <w:p>
      <w:pPr>
        <w:pStyle w:val="56"/>
        <w:ind w:firstLine="420"/>
        <w:rPr>
          <w:rFonts w:ascii="黑体" w:hAnsi="黑体" w:eastAsia="黑体"/>
        </w:rPr>
      </w:pPr>
      <w:r>
        <w:rPr>
          <w:rFonts w:hint="eastAsia" w:ascii="黑体" w:hAnsi="黑体" w:eastAsia="黑体"/>
        </w:rPr>
        <w:t>材料性能</w:t>
      </w:r>
    </w:p>
    <w:tbl>
      <w:tblPr>
        <w:tblStyle w:val="26"/>
        <w:tblW w:w="8364" w:type="dxa"/>
        <w:tblInd w:w="108" w:type="dxa"/>
        <w:tblLayout w:type="autofit"/>
        <w:tblCellMar>
          <w:top w:w="0" w:type="dxa"/>
          <w:left w:w="0" w:type="dxa"/>
          <w:bottom w:w="0" w:type="dxa"/>
          <w:right w:w="0" w:type="dxa"/>
        </w:tblCellMar>
      </w:tblPr>
      <w:tblGrid>
        <w:gridCol w:w="1139"/>
        <w:gridCol w:w="7225"/>
      </w:tblGrid>
      <w:tr>
        <w:tblPrEx>
          <w:tblCellMar>
            <w:top w:w="0" w:type="dxa"/>
            <w:left w:w="0" w:type="dxa"/>
            <w:bottom w:w="0" w:type="dxa"/>
            <w:right w:w="0" w:type="dxa"/>
          </w:tblCellMar>
        </w:tblPrEx>
        <w:tc>
          <w:tcPr>
            <w:tcW w:w="1139" w:type="dxa"/>
            <w:tcBorders>
              <w:top w:val="nil"/>
              <w:left w:val="nil"/>
              <w:bottom w:val="nil"/>
              <w:right w:val="nil"/>
            </w:tcBorders>
          </w:tcPr>
          <w:p>
            <w:pPr>
              <w:jc w:val="right"/>
              <w:rPr>
                <w:rFonts w:ascii="Times New Roman" w:hAnsi="Times New Roman"/>
                <w:color w:val="000000"/>
              </w:rPr>
            </w:pPr>
            <w:r>
              <w:rPr>
                <w:rFonts w:ascii="Times New Roman" w:hAnsi="Times New Roman"/>
                <w:i/>
              </w:rPr>
              <w:t>f</w:t>
            </w:r>
            <w:r>
              <w:rPr>
                <w:rFonts w:ascii="Times New Roman" w:hAnsi="Times New Roman"/>
                <w:vertAlign w:val="subscript"/>
              </w:rPr>
              <w:t>c</w:t>
            </w:r>
          </w:p>
        </w:tc>
        <w:tc>
          <w:tcPr>
            <w:tcW w:w="7225" w:type="dxa"/>
            <w:tcBorders>
              <w:top w:val="nil"/>
              <w:left w:val="nil"/>
              <w:bottom w:val="nil"/>
              <w:right w:val="nil"/>
            </w:tcBorders>
          </w:tcPr>
          <w:p>
            <w:pPr>
              <w:ind w:left="420" w:hanging="420" w:hangingChars="200"/>
              <w:rPr>
                <w:rFonts w:ascii="Times New Roman" w:hAnsi="Times New Roman"/>
                <w:color w:val="000000"/>
              </w:rPr>
            </w:pPr>
            <w:r>
              <w:rPr>
                <w:rFonts w:ascii="Times New Roman" w:hAnsi="Times New Roman"/>
                <w:color w:val="000000"/>
                <w:kern w:val="0"/>
              </w:rPr>
              <w:t>——</w:t>
            </w:r>
            <w:r>
              <w:rPr>
                <w:rFonts w:ascii="宋体" w:hAnsi="Times New Roman"/>
                <w:kern w:val="0"/>
                <w:szCs w:val="20"/>
              </w:rPr>
              <w:t>混凝土轴心抗压强度设计值；</w:t>
            </w:r>
          </w:p>
        </w:tc>
      </w:tr>
      <w:tr>
        <w:tblPrEx>
          <w:tblCellMar>
            <w:top w:w="0" w:type="dxa"/>
            <w:left w:w="0" w:type="dxa"/>
            <w:bottom w:w="0" w:type="dxa"/>
            <w:right w:w="0" w:type="dxa"/>
          </w:tblCellMar>
        </w:tblPrEx>
        <w:tc>
          <w:tcPr>
            <w:tcW w:w="1139" w:type="dxa"/>
            <w:tcBorders>
              <w:top w:val="nil"/>
              <w:left w:val="nil"/>
              <w:bottom w:val="nil"/>
              <w:right w:val="nil"/>
            </w:tcBorders>
          </w:tcPr>
          <w:p>
            <w:pPr>
              <w:jc w:val="right"/>
              <w:rPr>
                <w:rFonts w:ascii="宋体" w:hAnsi="Times New Roman"/>
                <w:kern w:val="0"/>
                <w:szCs w:val="20"/>
              </w:rPr>
            </w:pPr>
            <w:r>
              <w:rPr>
                <w:rFonts w:ascii="Times New Roman" w:hAnsi="Times New Roman"/>
                <w:i/>
              </w:rPr>
              <w:t>f</w:t>
            </w:r>
            <w:r>
              <w:rPr>
                <w:rFonts w:ascii="Times New Roman" w:hAnsi="Times New Roman"/>
                <w:vertAlign w:val="subscript"/>
              </w:rPr>
              <w:t>y</w:t>
            </w:r>
          </w:p>
        </w:tc>
        <w:tc>
          <w:tcPr>
            <w:tcW w:w="7225" w:type="dxa"/>
            <w:tcBorders>
              <w:top w:val="nil"/>
              <w:left w:val="nil"/>
              <w:bottom w:val="nil"/>
              <w:right w:val="nil"/>
            </w:tcBorders>
          </w:tcPr>
          <w:p>
            <w:pPr>
              <w:rPr>
                <w:rFonts w:ascii="宋体" w:hAnsi="Times New Roman"/>
                <w:kern w:val="0"/>
                <w:szCs w:val="20"/>
              </w:rPr>
            </w:pPr>
            <w:r>
              <w:rPr>
                <w:rFonts w:ascii="宋体" w:hAnsi="Times New Roman"/>
                <w:kern w:val="0"/>
                <w:szCs w:val="20"/>
              </w:rPr>
              <w:t>——普通钢筋抗拉强度设计值。</w:t>
            </w:r>
          </w:p>
        </w:tc>
      </w:tr>
    </w:tbl>
    <w:p>
      <w:pPr>
        <w:pStyle w:val="65"/>
        <w:spacing w:before="156" w:after="156"/>
        <w:outlineLvl w:val="9"/>
      </w:pPr>
    </w:p>
    <w:p>
      <w:pPr>
        <w:pStyle w:val="56"/>
        <w:ind w:firstLine="420"/>
        <w:rPr>
          <w:rFonts w:ascii="黑体" w:hAnsi="黑体" w:eastAsia="黑体"/>
        </w:rPr>
      </w:pPr>
      <w:r>
        <w:rPr>
          <w:rFonts w:hint="eastAsia" w:ascii="黑体" w:hAnsi="黑体" w:eastAsia="黑体"/>
        </w:rPr>
        <w:t>几何参数</w:t>
      </w:r>
    </w:p>
    <w:tbl>
      <w:tblPr>
        <w:tblStyle w:val="26"/>
        <w:tblW w:w="8364" w:type="dxa"/>
        <w:tblInd w:w="108" w:type="dxa"/>
        <w:tblLayout w:type="autofit"/>
        <w:tblCellMar>
          <w:top w:w="0" w:type="dxa"/>
          <w:left w:w="0" w:type="dxa"/>
          <w:bottom w:w="0" w:type="dxa"/>
          <w:right w:w="0" w:type="dxa"/>
        </w:tblCellMar>
      </w:tblPr>
      <w:tblGrid>
        <w:gridCol w:w="1139"/>
        <w:gridCol w:w="7225"/>
      </w:tblGrid>
      <w:tr>
        <w:tblPrEx>
          <w:tblCellMar>
            <w:top w:w="0" w:type="dxa"/>
            <w:left w:w="0" w:type="dxa"/>
            <w:bottom w:w="0" w:type="dxa"/>
            <w:right w:w="0" w:type="dxa"/>
          </w:tblCellMar>
        </w:tblPrEx>
        <w:tc>
          <w:tcPr>
            <w:tcW w:w="1139" w:type="dxa"/>
            <w:tcBorders>
              <w:top w:val="nil"/>
              <w:left w:val="nil"/>
              <w:bottom w:val="nil"/>
              <w:right w:val="nil"/>
            </w:tcBorders>
          </w:tcPr>
          <w:p>
            <w:pPr>
              <w:jc w:val="right"/>
              <w:rPr>
                <w:rFonts w:ascii="Times New Roman" w:hAnsi="Times New Roman"/>
                <w:i/>
                <w:color w:val="000000"/>
              </w:rPr>
            </w:pPr>
            <w:r>
              <w:rPr>
                <w:rFonts w:ascii="Times New Roman" w:hAnsi="Times New Roman"/>
                <w:i/>
              </w:rPr>
              <w:t>B</w:t>
            </w:r>
          </w:p>
        </w:tc>
        <w:tc>
          <w:tcPr>
            <w:tcW w:w="7225" w:type="dxa"/>
            <w:tcBorders>
              <w:top w:val="nil"/>
              <w:left w:val="nil"/>
              <w:bottom w:val="nil"/>
              <w:right w:val="nil"/>
            </w:tcBorders>
          </w:tcPr>
          <w:p>
            <w:pPr>
              <w:ind w:left="420" w:hanging="420" w:hangingChars="200"/>
              <w:rPr>
                <w:rFonts w:ascii="Times New Roman" w:hAnsi="Times New Roman"/>
                <w:color w:val="000000"/>
              </w:rPr>
            </w:pPr>
            <w:r>
              <w:rPr>
                <w:rFonts w:ascii="Times New Roman" w:hAnsi="Times New Roman"/>
                <w:color w:val="000000"/>
                <w:kern w:val="0"/>
              </w:rPr>
              <w:t>——</w:t>
            </w:r>
            <w:r>
              <w:rPr>
                <w:rFonts w:ascii="Times New Roman" w:hAnsi="Times New Roman"/>
                <w:color w:val="000000"/>
              </w:rPr>
              <w:t>钢筋桁架的设计宽度，指下弦钢筋外表面间距；</w:t>
            </w:r>
          </w:p>
        </w:tc>
      </w:tr>
      <w:tr>
        <w:tblPrEx>
          <w:tblCellMar>
            <w:top w:w="0" w:type="dxa"/>
            <w:left w:w="0" w:type="dxa"/>
            <w:bottom w:w="0" w:type="dxa"/>
            <w:right w:w="0" w:type="dxa"/>
          </w:tblCellMar>
        </w:tblPrEx>
        <w:tc>
          <w:tcPr>
            <w:tcW w:w="1139" w:type="dxa"/>
            <w:tcBorders>
              <w:top w:val="nil"/>
              <w:left w:val="nil"/>
              <w:bottom w:val="nil"/>
              <w:right w:val="nil"/>
            </w:tcBorders>
          </w:tcPr>
          <w:p>
            <w:pPr>
              <w:jc w:val="right"/>
              <w:rPr>
                <w:rFonts w:ascii="Times New Roman" w:hAnsi="Times New Roman"/>
                <w:i/>
                <w:color w:val="000000"/>
              </w:rPr>
            </w:pPr>
            <w:r>
              <w:rPr>
                <w:rFonts w:ascii="Times New Roman" w:hAnsi="Times New Roman"/>
                <w:i/>
              </w:rPr>
              <w:t>H</w:t>
            </w:r>
            <w:r>
              <w:rPr>
                <w:rFonts w:ascii="Times New Roman" w:hAnsi="Times New Roman"/>
                <w:vertAlign w:val="subscript"/>
              </w:rPr>
              <w:t>1</w:t>
            </w:r>
          </w:p>
        </w:tc>
        <w:tc>
          <w:tcPr>
            <w:tcW w:w="7225" w:type="dxa"/>
            <w:tcBorders>
              <w:top w:val="nil"/>
              <w:left w:val="nil"/>
              <w:bottom w:val="nil"/>
              <w:right w:val="nil"/>
            </w:tcBorders>
          </w:tcPr>
          <w:p>
            <w:pPr>
              <w:ind w:left="420" w:hanging="420" w:hangingChars="200"/>
              <w:rPr>
                <w:rFonts w:ascii="Times New Roman" w:hAnsi="Times New Roman"/>
                <w:color w:val="000000"/>
              </w:rPr>
            </w:pPr>
            <w:r>
              <w:rPr>
                <w:rFonts w:ascii="Times New Roman" w:hAnsi="Times New Roman"/>
                <w:color w:val="000000"/>
                <w:kern w:val="0"/>
              </w:rPr>
              <w:t>——</w:t>
            </w:r>
            <w:r>
              <w:rPr>
                <w:rFonts w:ascii="Times New Roman" w:hAnsi="Times New Roman"/>
                <w:color w:val="000000"/>
              </w:rPr>
              <w:t>钢筋桁架的设计高度，指上、下弦钢筋外表面间距；</w:t>
            </w:r>
          </w:p>
        </w:tc>
      </w:tr>
      <w:tr>
        <w:tblPrEx>
          <w:tblCellMar>
            <w:top w:w="0" w:type="dxa"/>
            <w:left w:w="0" w:type="dxa"/>
            <w:bottom w:w="0" w:type="dxa"/>
            <w:right w:w="0" w:type="dxa"/>
          </w:tblCellMar>
        </w:tblPrEx>
        <w:tc>
          <w:tcPr>
            <w:tcW w:w="1139" w:type="dxa"/>
            <w:tcBorders>
              <w:top w:val="nil"/>
              <w:left w:val="nil"/>
              <w:bottom w:val="nil"/>
              <w:right w:val="nil"/>
            </w:tcBorders>
          </w:tcPr>
          <w:p>
            <w:pPr>
              <w:jc w:val="right"/>
              <w:rPr>
                <w:rFonts w:ascii="Times New Roman" w:hAnsi="Times New Roman"/>
                <w:color w:val="000000"/>
              </w:rPr>
            </w:pPr>
            <w:r>
              <w:rPr>
                <w:rFonts w:ascii="Times New Roman" w:hAnsi="Times New Roman"/>
                <w:i/>
              </w:rPr>
              <w:t>P</w:t>
            </w:r>
            <w:r>
              <w:rPr>
                <w:rFonts w:ascii="Times New Roman" w:hAnsi="Times New Roman"/>
                <w:vertAlign w:val="subscript"/>
              </w:rPr>
              <w:t>S</w:t>
            </w:r>
          </w:p>
        </w:tc>
        <w:tc>
          <w:tcPr>
            <w:tcW w:w="7225" w:type="dxa"/>
            <w:tcBorders>
              <w:top w:val="nil"/>
              <w:left w:val="nil"/>
              <w:bottom w:val="nil"/>
              <w:right w:val="nil"/>
            </w:tcBorders>
          </w:tcPr>
          <w:p>
            <w:pPr>
              <w:ind w:left="420" w:hanging="420" w:hangingChars="200"/>
              <w:rPr>
                <w:rFonts w:ascii="Times New Roman" w:hAnsi="Times New Roman"/>
                <w:i/>
                <w:color w:val="000000"/>
              </w:rPr>
            </w:pPr>
            <w:r>
              <w:rPr>
                <w:rFonts w:ascii="Times New Roman" w:hAnsi="Times New Roman"/>
                <w:color w:val="000000"/>
              </w:rPr>
              <w:t>——</w:t>
            </w:r>
            <w:r>
              <w:rPr>
                <w:rFonts w:ascii="宋体" w:hAnsi="宋体"/>
                <w:color w:val="000000"/>
              </w:rPr>
              <w:t>腹杆钢筋与上（下）弦钢筋相邻焊点的中心间距；</w:t>
            </w:r>
          </w:p>
        </w:tc>
      </w:tr>
      <w:tr>
        <w:tblPrEx>
          <w:tblCellMar>
            <w:top w:w="0" w:type="dxa"/>
            <w:left w:w="0" w:type="dxa"/>
            <w:bottom w:w="0" w:type="dxa"/>
            <w:right w:w="0" w:type="dxa"/>
          </w:tblCellMar>
        </w:tblPrEx>
        <w:tc>
          <w:tcPr>
            <w:tcW w:w="1139" w:type="dxa"/>
            <w:tcBorders>
              <w:top w:val="nil"/>
              <w:left w:val="nil"/>
              <w:bottom w:val="nil"/>
              <w:right w:val="nil"/>
            </w:tcBorders>
          </w:tcPr>
          <w:p>
            <w:pPr>
              <w:jc w:val="right"/>
              <w:rPr>
                <w:rFonts w:ascii="Times New Roman" w:hAnsi="Times New Roman"/>
                <w:i/>
                <w:color w:val="000000"/>
              </w:rPr>
            </w:pPr>
            <w:r>
              <w:rPr>
                <w:rFonts w:ascii="Times New Roman" w:hAnsi="Times New Roman"/>
                <w:i/>
              </w:rPr>
              <w:t>d</w:t>
            </w:r>
          </w:p>
        </w:tc>
        <w:tc>
          <w:tcPr>
            <w:tcW w:w="7225" w:type="dxa"/>
            <w:tcBorders>
              <w:top w:val="nil"/>
              <w:left w:val="nil"/>
              <w:bottom w:val="nil"/>
              <w:right w:val="nil"/>
            </w:tcBorders>
          </w:tcPr>
          <w:p>
            <w:pPr>
              <w:ind w:left="420" w:hanging="420" w:hangingChars="200"/>
              <w:rPr>
                <w:rFonts w:ascii="Times New Roman" w:hAnsi="Times New Roman"/>
                <w:i/>
                <w:color w:val="000000"/>
              </w:rPr>
            </w:pPr>
            <w:r>
              <w:rPr>
                <w:rFonts w:ascii="Times New Roman" w:hAnsi="Times New Roman"/>
                <w:color w:val="000000"/>
              </w:rPr>
              <w:t>——</w:t>
            </w:r>
            <w:r>
              <w:rPr>
                <w:rFonts w:ascii="宋体" w:hAnsi="宋体"/>
                <w:color w:val="000000"/>
              </w:rPr>
              <w:t>钢筋公称直径（简称钢筋直径）；</w:t>
            </w:r>
          </w:p>
        </w:tc>
      </w:tr>
      <w:tr>
        <w:tblPrEx>
          <w:tblCellMar>
            <w:top w:w="0" w:type="dxa"/>
            <w:left w:w="0" w:type="dxa"/>
            <w:bottom w:w="0" w:type="dxa"/>
            <w:right w:w="0" w:type="dxa"/>
          </w:tblCellMar>
        </w:tblPrEx>
        <w:tc>
          <w:tcPr>
            <w:tcW w:w="1139" w:type="dxa"/>
            <w:tcBorders>
              <w:top w:val="nil"/>
              <w:left w:val="nil"/>
              <w:bottom w:val="nil"/>
              <w:right w:val="nil"/>
            </w:tcBorders>
          </w:tcPr>
          <w:p>
            <w:pPr>
              <w:jc w:val="right"/>
              <w:rPr>
                <w:rFonts w:ascii="Times New Roman" w:hAnsi="Times New Roman"/>
                <w:i/>
                <w:color w:val="000000"/>
              </w:rPr>
            </w:pPr>
            <w:r>
              <w:rPr>
                <w:rFonts w:ascii="Times New Roman" w:hAnsi="Times New Roman"/>
                <w:i/>
              </w:rPr>
              <w:t>h</w:t>
            </w:r>
            <w:r>
              <w:rPr>
                <w:rFonts w:hint="eastAsia" w:ascii="Times New Roman" w:hAnsi="Times New Roman"/>
              </w:rPr>
              <w:t>、</w:t>
            </w:r>
            <w:r>
              <w:rPr>
                <w:rFonts w:hint="eastAsia" w:ascii="Times New Roman" w:hAnsi="Times New Roman"/>
                <w:i/>
              </w:rPr>
              <w:t>h</w:t>
            </w:r>
            <w:r>
              <w:rPr>
                <w:rFonts w:ascii="Times New Roman" w:hAnsi="Times New Roman"/>
                <w:vertAlign w:val="subscript"/>
              </w:rPr>
              <w:t>1</w:t>
            </w:r>
            <w:r>
              <w:rPr>
                <w:rFonts w:hint="eastAsia" w:ascii="Times New Roman" w:hAnsi="Times New Roman"/>
              </w:rPr>
              <w:t>、</w:t>
            </w:r>
            <w:r>
              <w:rPr>
                <w:rFonts w:ascii="Times New Roman" w:hAnsi="Times New Roman"/>
                <w:i/>
              </w:rPr>
              <w:t>h</w:t>
            </w:r>
            <w:r>
              <w:rPr>
                <w:rFonts w:ascii="Times New Roman" w:hAnsi="Times New Roman"/>
                <w:vertAlign w:val="subscript"/>
              </w:rPr>
              <w:t>2</w:t>
            </w:r>
          </w:p>
        </w:tc>
        <w:tc>
          <w:tcPr>
            <w:tcW w:w="7225" w:type="dxa"/>
            <w:tcBorders>
              <w:top w:val="nil"/>
              <w:left w:val="nil"/>
              <w:bottom w:val="nil"/>
              <w:right w:val="nil"/>
            </w:tcBorders>
          </w:tcPr>
          <w:p>
            <w:pPr>
              <w:rPr>
                <w:rFonts w:ascii="Times New Roman" w:hAnsi="Times New Roman"/>
                <w:color w:val="000000"/>
              </w:rPr>
            </w:pPr>
            <w:r>
              <w:rPr>
                <w:rFonts w:ascii="Times New Roman" w:hAnsi="Times New Roman"/>
                <w:color w:val="000000"/>
                <w:kern w:val="0"/>
              </w:rPr>
              <w:t>——</w:t>
            </w:r>
            <w:r>
              <w:rPr>
                <w:rFonts w:ascii="Times New Roman" w:hAnsi="Times New Roman"/>
                <w:color w:val="000000"/>
              </w:rPr>
              <w:t>桁架叠合板、桁架预制板、后浇叠合层厚度；</w:t>
            </w:r>
          </w:p>
        </w:tc>
      </w:tr>
      <w:tr>
        <w:tblPrEx>
          <w:tblCellMar>
            <w:top w:w="0" w:type="dxa"/>
            <w:left w:w="0" w:type="dxa"/>
            <w:bottom w:w="0" w:type="dxa"/>
            <w:right w:w="0" w:type="dxa"/>
          </w:tblCellMar>
        </w:tblPrEx>
        <w:tc>
          <w:tcPr>
            <w:tcW w:w="1139" w:type="dxa"/>
            <w:tcBorders>
              <w:top w:val="nil"/>
              <w:left w:val="nil"/>
              <w:bottom w:val="nil"/>
              <w:right w:val="nil"/>
            </w:tcBorders>
          </w:tcPr>
          <w:p>
            <w:pPr>
              <w:jc w:val="right"/>
              <w:rPr>
                <w:rFonts w:ascii="Times New Roman" w:hAnsi="Times New Roman"/>
                <w:i/>
                <w:color w:val="000000"/>
              </w:rPr>
            </w:pPr>
            <w:r>
              <w:rPr>
                <w:rFonts w:ascii="Times New Roman" w:hAnsi="Times New Roman"/>
                <w:i/>
              </w:rPr>
              <w:t>l</w:t>
            </w:r>
            <w:r>
              <w:rPr>
                <w:rFonts w:ascii="Times New Roman" w:hAnsi="Times New Roman"/>
                <w:vertAlign w:val="subscript"/>
              </w:rPr>
              <w:t>a</w:t>
            </w:r>
          </w:p>
        </w:tc>
        <w:tc>
          <w:tcPr>
            <w:tcW w:w="7225" w:type="dxa"/>
            <w:tcBorders>
              <w:top w:val="nil"/>
              <w:left w:val="nil"/>
              <w:bottom w:val="nil"/>
              <w:right w:val="nil"/>
            </w:tcBorders>
          </w:tcPr>
          <w:p>
            <w:pPr>
              <w:ind w:left="420" w:hanging="420" w:hangingChars="200"/>
              <w:rPr>
                <w:rFonts w:ascii="Times New Roman" w:hAnsi="Times New Roman"/>
                <w:color w:val="000000"/>
                <w:kern w:val="0"/>
              </w:rPr>
            </w:pPr>
            <w:r>
              <w:rPr>
                <w:rFonts w:ascii="Times New Roman" w:hAnsi="Times New Roman"/>
                <w:color w:val="000000"/>
                <w:kern w:val="0"/>
              </w:rPr>
              <w:t>——</w:t>
            </w:r>
            <w:r>
              <w:rPr>
                <w:rFonts w:ascii="宋体" w:hAnsi="宋体"/>
                <w:color w:val="000000"/>
                <w:kern w:val="0"/>
              </w:rPr>
              <w:t>纵向受拉钢筋的锚固长度</w:t>
            </w:r>
            <w:r>
              <w:rPr>
                <w:rFonts w:ascii="Times New Roman" w:hAnsi="Times New Roman"/>
                <w:color w:val="000000"/>
              </w:rPr>
              <w:t>；</w:t>
            </w:r>
          </w:p>
        </w:tc>
      </w:tr>
      <w:tr>
        <w:tblPrEx>
          <w:tblCellMar>
            <w:top w:w="0" w:type="dxa"/>
            <w:left w:w="0" w:type="dxa"/>
            <w:bottom w:w="0" w:type="dxa"/>
            <w:right w:w="0" w:type="dxa"/>
          </w:tblCellMar>
        </w:tblPrEx>
        <w:tc>
          <w:tcPr>
            <w:tcW w:w="1139" w:type="dxa"/>
            <w:tcBorders>
              <w:top w:val="nil"/>
              <w:left w:val="nil"/>
              <w:bottom w:val="nil"/>
              <w:right w:val="nil"/>
            </w:tcBorders>
          </w:tcPr>
          <w:p>
            <w:pPr>
              <w:jc w:val="right"/>
              <w:rPr>
                <w:rFonts w:ascii="Times New Roman" w:hAnsi="Times New Roman"/>
                <w:i/>
                <w:color w:val="000000"/>
              </w:rPr>
            </w:pPr>
            <w:r>
              <w:rPr>
                <w:rFonts w:ascii="Times New Roman" w:hAnsi="Times New Roman"/>
                <w:i/>
              </w:rPr>
              <w:t>l</w:t>
            </w:r>
            <w:r>
              <w:rPr>
                <w:rFonts w:ascii="Times New Roman" w:hAnsi="Times New Roman"/>
                <w:vertAlign w:val="subscript"/>
              </w:rPr>
              <w:t>ab</w:t>
            </w:r>
          </w:p>
        </w:tc>
        <w:tc>
          <w:tcPr>
            <w:tcW w:w="7225" w:type="dxa"/>
            <w:tcBorders>
              <w:top w:val="nil"/>
              <w:left w:val="nil"/>
              <w:bottom w:val="nil"/>
              <w:right w:val="nil"/>
            </w:tcBorders>
          </w:tcPr>
          <w:p>
            <w:pPr>
              <w:ind w:left="420" w:hanging="420" w:hangingChars="200"/>
              <w:rPr>
                <w:rFonts w:ascii="Times New Roman" w:hAnsi="Times New Roman"/>
                <w:color w:val="000000"/>
                <w:kern w:val="0"/>
              </w:rPr>
            </w:pPr>
            <w:r>
              <w:rPr>
                <w:rFonts w:ascii="Times New Roman" w:hAnsi="Times New Roman"/>
                <w:color w:val="000000"/>
                <w:kern w:val="0"/>
              </w:rPr>
              <w:t>——</w:t>
            </w:r>
            <w:r>
              <w:rPr>
                <w:rFonts w:ascii="宋体" w:hAnsi="宋体"/>
                <w:color w:val="000000"/>
                <w:kern w:val="0"/>
              </w:rPr>
              <w:t>纵向受拉钢筋的基本锚固长度</w:t>
            </w:r>
            <w:r>
              <w:rPr>
                <w:rFonts w:ascii="Times New Roman" w:hAnsi="Times New Roman"/>
                <w:color w:val="000000"/>
              </w:rPr>
              <w:t>；</w:t>
            </w:r>
          </w:p>
        </w:tc>
      </w:tr>
      <w:tr>
        <w:tblPrEx>
          <w:tblCellMar>
            <w:top w:w="0" w:type="dxa"/>
            <w:left w:w="0" w:type="dxa"/>
            <w:bottom w:w="0" w:type="dxa"/>
            <w:right w:w="0" w:type="dxa"/>
          </w:tblCellMar>
        </w:tblPrEx>
        <w:tc>
          <w:tcPr>
            <w:tcW w:w="1139" w:type="dxa"/>
            <w:tcBorders>
              <w:top w:val="nil"/>
              <w:left w:val="nil"/>
              <w:bottom w:val="nil"/>
              <w:right w:val="nil"/>
            </w:tcBorders>
          </w:tcPr>
          <w:p>
            <w:pPr>
              <w:jc w:val="right"/>
              <w:rPr>
                <w:rFonts w:ascii="Times New Roman" w:hAnsi="Times New Roman"/>
                <w:i/>
                <w:color w:val="000000"/>
                <w:kern w:val="0"/>
              </w:rPr>
            </w:pPr>
            <w:r>
              <w:rPr>
                <w:rFonts w:ascii="Times New Roman" w:hAnsi="Times New Roman"/>
                <w:i/>
              </w:rPr>
              <w:t>l</w:t>
            </w:r>
            <w:r>
              <w:rPr>
                <w:rFonts w:ascii="Times New Roman" w:hAnsi="Times New Roman"/>
                <w:vertAlign w:val="subscript"/>
              </w:rPr>
              <w:t>l</w:t>
            </w:r>
          </w:p>
        </w:tc>
        <w:tc>
          <w:tcPr>
            <w:tcW w:w="7225" w:type="dxa"/>
            <w:tcBorders>
              <w:top w:val="nil"/>
              <w:left w:val="nil"/>
              <w:bottom w:val="nil"/>
              <w:right w:val="nil"/>
            </w:tcBorders>
          </w:tcPr>
          <w:p>
            <w:pPr>
              <w:adjustRightInd/>
              <w:ind w:left="420" w:hanging="420" w:hangingChars="200"/>
              <w:rPr>
                <w:rFonts w:ascii="Times New Roman" w:hAnsi="Times New Roman"/>
                <w:color w:val="000000"/>
                <w:kern w:val="0"/>
              </w:rPr>
            </w:pPr>
            <w:r>
              <w:rPr>
                <w:rFonts w:ascii="Times New Roman" w:hAnsi="Times New Roman"/>
                <w:color w:val="000000"/>
                <w:kern w:val="0"/>
              </w:rPr>
              <w:t>——</w:t>
            </w:r>
            <w:r>
              <w:rPr>
                <w:rFonts w:ascii="宋体" w:hAnsi="宋体"/>
                <w:color w:val="000000"/>
                <w:kern w:val="0"/>
              </w:rPr>
              <w:t>纵向受拉钢筋的搭接长度</w:t>
            </w:r>
            <w:r>
              <w:rPr>
                <w:rFonts w:ascii="Times New Roman" w:hAnsi="Times New Roman"/>
                <w:color w:val="000000"/>
              </w:rPr>
              <w:t>；</w:t>
            </w:r>
          </w:p>
        </w:tc>
      </w:tr>
      <w:tr>
        <w:tblPrEx>
          <w:tblCellMar>
            <w:top w:w="0" w:type="dxa"/>
            <w:left w:w="0" w:type="dxa"/>
            <w:bottom w:w="0" w:type="dxa"/>
            <w:right w:w="0" w:type="dxa"/>
          </w:tblCellMar>
        </w:tblPrEx>
        <w:tc>
          <w:tcPr>
            <w:tcW w:w="1139" w:type="dxa"/>
            <w:tcBorders>
              <w:top w:val="nil"/>
              <w:left w:val="nil"/>
              <w:bottom w:val="nil"/>
              <w:right w:val="nil"/>
            </w:tcBorders>
          </w:tcPr>
          <w:p>
            <w:pPr>
              <w:jc w:val="right"/>
              <w:rPr>
                <w:rFonts w:ascii="Times New Roman" w:hAnsi="Times New Roman"/>
                <w:color w:val="000000"/>
              </w:rPr>
            </w:pPr>
            <w:r>
              <w:rPr>
                <w:rFonts w:ascii="Times New Roman" w:hAnsi="Times New Roman"/>
                <w:i/>
                <w:color w:val="000000"/>
                <w:kern w:val="0"/>
              </w:rPr>
              <w:t>α</w:t>
            </w:r>
            <w:r>
              <w:rPr>
                <w:rFonts w:ascii="Times New Roman" w:hAnsi="Times New Roman"/>
                <w:color w:val="000000"/>
              </w:rPr>
              <w:t>、</w:t>
            </w:r>
            <w:r>
              <w:rPr>
                <w:rFonts w:ascii="Times New Roman" w:hAnsi="Times New Roman"/>
                <w:i/>
                <w:color w:val="000000"/>
                <w:kern w:val="0"/>
              </w:rPr>
              <w:t>β</w:t>
            </w:r>
          </w:p>
        </w:tc>
        <w:tc>
          <w:tcPr>
            <w:tcW w:w="7225" w:type="dxa"/>
            <w:tcBorders>
              <w:top w:val="nil"/>
              <w:left w:val="nil"/>
              <w:bottom w:val="nil"/>
              <w:right w:val="nil"/>
            </w:tcBorders>
          </w:tcPr>
          <w:p>
            <w:pPr>
              <w:adjustRightInd/>
              <w:ind w:left="420" w:hanging="420" w:hangingChars="200"/>
              <w:rPr>
                <w:rFonts w:ascii="Times New Roman" w:hAnsi="Times New Roman"/>
                <w:i/>
                <w:color w:val="000000"/>
              </w:rPr>
            </w:pPr>
            <w:r>
              <w:rPr>
                <w:rFonts w:ascii="Times New Roman" w:hAnsi="Times New Roman"/>
                <w:color w:val="000000"/>
                <w:kern w:val="0"/>
              </w:rPr>
              <w:t>——</w:t>
            </w:r>
            <w:r>
              <w:rPr>
                <w:rFonts w:ascii="Times New Roman" w:hAnsi="Times New Roman"/>
                <w:color w:val="000000"/>
              </w:rPr>
              <w:t>格构钢筋垂直桁架方向和平行桁架方向的倾角。</w:t>
            </w:r>
          </w:p>
        </w:tc>
      </w:tr>
    </w:tbl>
    <w:p>
      <w:pPr>
        <w:pStyle w:val="104"/>
        <w:spacing w:before="312" w:after="312"/>
      </w:pPr>
      <w:bookmarkStart w:id="58" w:name="_Toc69801871"/>
      <w:bookmarkStart w:id="59" w:name="_Toc69885184"/>
      <w:bookmarkStart w:id="60" w:name="_Toc69801752"/>
      <w:bookmarkStart w:id="61" w:name="_Toc69801765"/>
      <w:bookmarkStart w:id="62" w:name="_Toc69801808"/>
      <w:bookmarkStart w:id="63" w:name="_Toc69801703"/>
      <w:bookmarkStart w:id="64" w:name="_Toc69916872"/>
      <w:r>
        <w:rPr>
          <w:rFonts w:hint="eastAsia"/>
        </w:rPr>
        <w:t>总则</w:t>
      </w:r>
      <w:bookmarkEnd w:id="58"/>
      <w:bookmarkEnd w:id="59"/>
      <w:bookmarkEnd w:id="60"/>
      <w:bookmarkEnd w:id="61"/>
      <w:bookmarkEnd w:id="62"/>
      <w:bookmarkEnd w:id="63"/>
      <w:bookmarkEnd w:id="64"/>
    </w:p>
    <w:p>
      <w:pPr>
        <w:pStyle w:val="105"/>
        <w:spacing w:before="156" w:after="156"/>
        <w:outlineLvl w:val="9"/>
        <w:rPr>
          <w:rFonts w:ascii="宋体" w:hAnsi="宋体" w:eastAsia="宋体"/>
        </w:rPr>
      </w:pPr>
      <w:bookmarkStart w:id="65" w:name="_Toc69916873"/>
      <w:bookmarkStart w:id="66" w:name="_Toc69885185"/>
      <w:r>
        <w:rPr>
          <w:rFonts w:hint="eastAsia" w:ascii="宋体" w:hAnsi="宋体" w:eastAsia="宋体"/>
        </w:rPr>
        <w:t>本文件规定了桁架叠合板的设计、制作、施工及验收。</w:t>
      </w:r>
      <w:bookmarkEnd w:id="65"/>
      <w:bookmarkEnd w:id="66"/>
    </w:p>
    <w:p>
      <w:pPr>
        <w:pStyle w:val="105"/>
        <w:spacing w:before="156" w:after="156"/>
        <w:outlineLvl w:val="9"/>
        <w:rPr>
          <w:rFonts w:ascii="宋体" w:hAnsi="宋体" w:eastAsia="宋体"/>
        </w:rPr>
      </w:pPr>
      <w:bookmarkStart w:id="67" w:name="_Toc69885186"/>
      <w:bookmarkStart w:id="68" w:name="_Toc69916874"/>
      <w:r>
        <w:rPr>
          <w:rFonts w:hint="eastAsia" w:ascii="宋体" w:hAnsi="宋体" w:eastAsia="宋体"/>
        </w:rPr>
        <w:t>桁架叠合板的设计、制作、施工及验收除应符合本文件外，尚应符合现行国家、行业及地方有关标准的规定。</w:t>
      </w:r>
      <w:bookmarkEnd w:id="67"/>
      <w:bookmarkEnd w:id="68"/>
    </w:p>
    <w:p>
      <w:pPr>
        <w:pStyle w:val="104"/>
        <w:spacing w:before="312" w:after="312"/>
      </w:pPr>
      <w:bookmarkStart w:id="69" w:name="_Toc69885187"/>
      <w:bookmarkStart w:id="70" w:name="_Toc69916875"/>
      <w:r>
        <w:rPr>
          <w:rFonts w:hint="eastAsia"/>
        </w:rPr>
        <w:t>材料</w:t>
      </w:r>
      <w:bookmarkEnd w:id="69"/>
      <w:bookmarkEnd w:id="70"/>
    </w:p>
    <w:p>
      <w:pPr>
        <w:pStyle w:val="105"/>
        <w:spacing w:before="156" w:after="156"/>
      </w:pPr>
      <w:bookmarkStart w:id="71" w:name="_Toc69916876"/>
      <w:bookmarkStart w:id="72" w:name="_Toc69885188"/>
      <w:r>
        <w:rPr>
          <w:rFonts w:hint="eastAsia"/>
        </w:rPr>
        <w:t>混凝土</w:t>
      </w:r>
      <w:bookmarkEnd w:id="71"/>
      <w:bookmarkEnd w:id="72"/>
    </w:p>
    <w:p>
      <w:pPr>
        <w:pStyle w:val="65"/>
        <w:spacing w:before="156" w:after="156"/>
        <w:outlineLvl w:val="9"/>
        <w:rPr>
          <w:rFonts w:ascii="宋体" w:hAnsi="宋体" w:eastAsia="宋体"/>
        </w:rPr>
      </w:pPr>
      <w:bookmarkStart w:id="73" w:name="_Toc69801708"/>
      <w:bookmarkStart w:id="74" w:name="_Toc69801770"/>
      <w:bookmarkStart w:id="75" w:name="_Toc69801757"/>
      <w:r>
        <w:rPr>
          <w:rFonts w:hint="eastAsia" w:ascii="宋体" w:hAnsi="宋体" w:eastAsia="宋体"/>
        </w:rPr>
        <w:t>混凝土的力学性能指标和耐久性要求等应符合现行国家标准《混凝土结构设计规范》</w:t>
      </w:r>
      <w:r>
        <w:rPr>
          <w:rFonts w:ascii="Times New Roman" w:eastAsia="宋体"/>
        </w:rPr>
        <w:t>GB 50010</w:t>
      </w:r>
      <w:r>
        <w:rPr>
          <w:rFonts w:hint="eastAsia" w:ascii="宋体" w:hAnsi="宋体" w:eastAsia="宋体"/>
        </w:rPr>
        <w:t>的规定。</w:t>
      </w:r>
      <w:bookmarkEnd w:id="73"/>
      <w:bookmarkEnd w:id="74"/>
      <w:bookmarkEnd w:id="75"/>
    </w:p>
    <w:p>
      <w:pPr>
        <w:pStyle w:val="65"/>
        <w:spacing w:before="156" w:after="156"/>
        <w:outlineLvl w:val="9"/>
        <w:rPr>
          <w:rFonts w:ascii="宋体" w:hAnsi="宋体" w:eastAsia="宋体"/>
        </w:rPr>
      </w:pPr>
      <w:r>
        <w:rPr>
          <w:rFonts w:hint="eastAsia" w:ascii="宋体" w:hAnsi="宋体" w:eastAsia="宋体"/>
        </w:rPr>
        <w:t>桁架叠合板中，桁架预制板的混凝土强度等级不应低于</w:t>
      </w:r>
      <w:r>
        <w:rPr>
          <w:rFonts w:ascii="Times New Roman" w:eastAsia="宋体"/>
        </w:rPr>
        <w:t>C30</w:t>
      </w:r>
      <w:r>
        <w:rPr>
          <w:rFonts w:hint="eastAsia" w:ascii="宋体" w:hAnsi="宋体" w:eastAsia="宋体"/>
        </w:rPr>
        <w:t>，后浇混凝土强度等级不宜低于</w:t>
      </w:r>
      <w:r>
        <w:rPr>
          <w:rFonts w:ascii="Times New Roman" w:eastAsia="宋体"/>
        </w:rPr>
        <w:t>C30</w:t>
      </w:r>
      <w:r>
        <w:rPr>
          <w:rFonts w:hint="eastAsia" w:ascii="宋体" w:hAnsi="宋体" w:eastAsia="宋体"/>
        </w:rPr>
        <w:t>，不应低于</w:t>
      </w:r>
      <w:r>
        <w:rPr>
          <w:rFonts w:ascii="Times New Roman" w:eastAsia="宋体"/>
        </w:rPr>
        <w:t>C25</w:t>
      </w:r>
      <w:r>
        <w:rPr>
          <w:rFonts w:hint="eastAsia" w:ascii="宋体" w:hAnsi="宋体" w:eastAsia="宋体"/>
        </w:rPr>
        <w:t>。</w:t>
      </w:r>
    </w:p>
    <w:p>
      <w:pPr>
        <w:pStyle w:val="65"/>
        <w:spacing w:before="156" w:after="156"/>
        <w:outlineLvl w:val="9"/>
        <w:rPr>
          <w:rFonts w:ascii="宋体" w:hAnsi="宋体" w:eastAsia="宋体"/>
        </w:rPr>
      </w:pPr>
      <w:r>
        <w:rPr>
          <w:rFonts w:hint="eastAsia" w:ascii="宋体" w:hAnsi="宋体" w:eastAsia="宋体"/>
        </w:rPr>
        <w:t>桁架预制板所用混凝土中的粗骨料应采用连续级配，且最大粒径不宜大于</w:t>
      </w:r>
      <w:r>
        <w:rPr>
          <w:rFonts w:ascii="Times New Roman" w:eastAsia="宋体"/>
        </w:rPr>
        <w:t>20mm</w:t>
      </w:r>
      <w:r>
        <w:rPr>
          <w:rFonts w:hint="eastAsia" w:ascii="宋体" w:hAnsi="宋体" w:eastAsia="宋体"/>
        </w:rPr>
        <w:t>。</w:t>
      </w:r>
    </w:p>
    <w:p>
      <w:pPr>
        <w:pStyle w:val="105"/>
        <w:spacing w:before="156" w:after="156"/>
      </w:pPr>
      <w:bookmarkStart w:id="76" w:name="_Toc69885189"/>
      <w:bookmarkStart w:id="77" w:name="_Toc69916877"/>
      <w:r>
        <w:rPr>
          <w:rFonts w:hint="eastAsia"/>
        </w:rPr>
        <w:t>钢筋及连接材料</w:t>
      </w:r>
      <w:bookmarkEnd w:id="76"/>
      <w:bookmarkEnd w:id="77"/>
    </w:p>
    <w:p>
      <w:pPr>
        <w:pStyle w:val="65"/>
        <w:spacing w:before="156" w:after="156"/>
        <w:outlineLvl w:val="9"/>
        <w:rPr>
          <w:rFonts w:ascii="宋体" w:hAnsi="宋体" w:eastAsia="宋体"/>
        </w:rPr>
      </w:pPr>
      <w:r>
        <w:rPr>
          <w:rFonts w:hint="eastAsia" w:ascii="宋体" w:hAnsi="宋体" w:eastAsia="宋体"/>
        </w:rPr>
        <w:t>桁架叠合板中的纵向受力钢筋宜采用</w:t>
      </w:r>
      <w:r>
        <w:rPr>
          <w:rFonts w:ascii="Times New Roman" w:eastAsia="宋体"/>
        </w:rPr>
        <w:t>HRB400、HRB500</w:t>
      </w:r>
      <w:r>
        <w:rPr>
          <w:rFonts w:hint="eastAsia" w:ascii="宋体" w:hAnsi="宋体" w:eastAsia="宋体"/>
        </w:rPr>
        <w:t>钢筋，也可采用</w:t>
      </w:r>
      <w:r>
        <w:rPr>
          <w:rFonts w:ascii="Times New Roman" w:eastAsia="宋体"/>
        </w:rPr>
        <w:t>CRB550、CRB600H</w:t>
      </w:r>
      <w:r>
        <w:rPr>
          <w:rFonts w:hint="eastAsia" w:ascii="宋体" w:hAnsi="宋体" w:eastAsia="宋体"/>
        </w:rPr>
        <w:t>钢筋。钢筋桁架的上弦钢筋与下弦钢筋可采用</w:t>
      </w:r>
      <w:r>
        <w:rPr>
          <w:rFonts w:ascii="Times New Roman" w:eastAsia="宋体"/>
        </w:rPr>
        <w:t>HRB400、HRB500、CRB550或CRB600H钢筋；腹杆钢筋宜采用 HPB300、HRB400、HRB500、CRB550或CRB600H钢筋，也可采用CPB550钢筋。</w:t>
      </w:r>
    </w:p>
    <w:p>
      <w:pPr>
        <w:pStyle w:val="65"/>
        <w:spacing w:before="156" w:after="156"/>
        <w:outlineLvl w:val="9"/>
        <w:rPr>
          <w:rFonts w:ascii="宋体" w:hAnsi="宋体" w:eastAsia="宋体"/>
        </w:rPr>
      </w:pPr>
      <w:r>
        <w:rPr>
          <w:rFonts w:hint="eastAsia" w:ascii="宋体" w:hAnsi="宋体" w:eastAsia="宋体"/>
        </w:rPr>
        <w:t>桁架叠合板中钢筋的公称直径宜符合表1的规定。</w:t>
      </w:r>
    </w:p>
    <w:p>
      <w:pPr>
        <w:pStyle w:val="112"/>
        <w:spacing w:before="156" w:after="156"/>
      </w:pPr>
      <w:r>
        <w:rPr>
          <w:rFonts w:hint="eastAsia"/>
        </w:rPr>
        <w:t>桁架叠合板中钢筋的公称直径(mm)</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866"/>
        <w:gridCol w:w="1867"/>
        <w:gridCol w:w="1867"/>
        <w:gridCol w:w="1867"/>
        <w:gridCol w:w="186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3733" w:type="dxa"/>
            <w:gridSpan w:val="2"/>
            <w:tcBorders>
              <w:top w:val="single" w:color="auto" w:sz="8" w:space="0"/>
              <w:bottom w:val="single" w:color="auto" w:sz="8" w:space="0"/>
            </w:tcBorders>
            <w:shd w:val="clear" w:color="auto" w:fill="auto"/>
            <w:vAlign w:val="center"/>
          </w:tcPr>
          <w:p>
            <w:pPr>
              <w:pStyle w:val="178"/>
            </w:pPr>
            <w:r>
              <w:rPr>
                <w:rFonts w:hint="eastAsia"/>
              </w:rPr>
              <w:t>类  别</w:t>
            </w:r>
          </w:p>
        </w:tc>
        <w:tc>
          <w:tcPr>
            <w:tcW w:w="1867" w:type="dxa"/>
            <w:tcBorders>
              <w:top w:val="single" w:color="auto" w:sz="8" w:space="0"/>
              <w:bottom w:val="single" w:color="auto" w:sz="8" w:space="0"/>
            </w:tcBorders>
            <w:shd w:val="clear" w:color="auto" w:fill="auto"/>
            <w:vAlign w:val="center"/>
          </w:tcPr>
          <w:p>
            <w:pPr>
              <w:pStyle w:val="178"/>
            </w:pPr>
            <w:r>
              <w:rPr>
                <w:rFonts w:hint="eastAsia"/>
              </w:rPr>
              <w:t>热轧钢筋</w:t>
            </w:r>
          </w:p>
        </w:tc>
        <w:tc>
          <w:tcPr>
            <w:tcW w:w="1867" w:type="dxa"/>
            <w:tcBorders>
              <w:top w:val="single" w:color="auto" w:sz="8" w:space="0"/>
              <w:bottom w:val="single" w:color="auto" w:sz="8" w:space="0"/>
            </w:tcBorders>
            <w:shd w:val="clear" w:color="auto" w:fill="auto"/>
            <w:vAlign w:val="center"/>
          </w:tcPr>
          <w:p>
            <w:pPr>
              <w:pStyle w:val="178"/>
            </w:pPr>
            <w:r>
              <w:rPr>
                <w:rFonts w:hint="eastAsia"/>
              </w:rPr>
              <w:t>冷轧带肋钢筋</w:t>
            </w:r>
          </w:p>
        </w:tc>
        <w:tc>
          <w:tcPr>
            <w:tcW w:w="1867" w:type="dxa"/>
            <w:tcBorders>
              <w:top w:val="single" w:color="auto" w:sz="8" w:space="0"/>
              <w:bottom w:val="single" w:color="auto" w:sz="8" w:space="0"/>
            </w:tcBorders>
            <w:shd w:val="clear" w:color="auto" w:fill="auto"/>
            <w:vAlign w:val="center"/>
          </w:tcPr>
          <w:p>
            <w:pPr>
              <w:pStyle w:val="178"/>
            </w:pPr>
            <w:r>
              <w:rPr>
                <w:rFonts w:hint="eastAsia"/>
              </w:rPr>
              <w:t>冷拔光面钢筋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733" w:type="dxa"/>
            <w:gridSpan w:val="2"/>
            <w:tcBorders>
              <w:top w:val="single" w:color="auto" w:sz="8" w:space="0"/>
            </w:tcBorders>
            <w:shd w:val="clear" w:color="auto" w:fill="auto"/>
            <w:vAlign w:val="center"/>
          </w:tcPr>
          <w:p>
            <w:pPr>
              <w:pStyle w:val="178"/>
            </w:pPr>
            <w:r>
              <w:rPr>
                <w:rFonts w:hint="eastAsia"/>
              </w:rPr>
              <w:t>纵向钢筋</w:t>
            </w:r>
          </w:p>
        </w:tc>
        <w:tc>
          <w:tcPr>
            <w:tcW w:w="1867" w:type="dxa"/>
            <w:tcBorders>
              <w:top w:val="single" w:color="auto" w:sz="8" w:space="0"/>
            </w:tcBorders>
            <w:shd w:val="clear" w:color="auto" w:fill="auto"/>
            <w:vAlign w:val="center"/>
          </w:tcPr>
          <w:p>
            <w:pPr>
              <w:pStyle w:val="178"/>
              <w:rPr>
                <w:rFonts w:ascii="Times New Roman"/>
              </w:rPr>
            </w:pPr>
            <w:r>
              <w:rPr>
                <w:rFonts w:ascii="Times New Roman"/>
              </w:rPr>
              <w:t>6~16</w:t>
            </w:r>
          </w:p>
        </w:tc>
        <w:tc>
          <w:tcPr>
            <w:tcW w:w="1867" w:type="dxa"/>
            <w:tcBorders>
              <w:top w:val="single" w:color="auto" w:sz="8" w:space="0"/>
            </w:tcBorders>
            <w:shd w:val="clear" w:color="auto" w:fill="auto"/>
            <w:vAlign w:val="center"/>
          </w:tcPr>
          <w:p>
            <w:pPr>
              <w:pStyle w:val="178"/>
              <w:rPr>
                <w:rFonts w:ascii="Times New Roman"/>
              </w:rPr>
            </w:pPr>
            <w:r>
              <w:rPr>
                <w:rFonts w:ascii="Times New Roman"/>
              </w:rPr>
              <w:t>6~12</w:t>
            </w:r>
          </w:p>
        </w:tc>
        <w:tc>
          <w:tcPr>
            <w:tcW w:w="1867" w:type="dxa"/>
            <w:tcBorders>
              <w:top w:val="single" w:color="auto" w:sz="8" w:space="0"/>
            </w:tcBorders>
            <w:shd w:val="clear" w:color="auto" w:fill="auto"/>
            <w:vAlign w:val="center"/>
          </w:tcPr>
          <w:p>
            <w:pPr>
              <w:pStyle w:val="178"/>
              <w:rPr>
                <w:rFonts w:ascii="Times New Roman"/>
              </w:rPr>
            </w:pPr>
            <w:r>
              <w:rPr>
                <w:rFonts w:ascii="Times New Roma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866" w:type="dxa"/>
            <w:vMerge w:val="restart"/>
            <w:shd w:val="clear" w:color="auto" w:fill="auto"/>
            <w:vAlign w:val="center"/>
          </w:tcPr>
          <w:p>
            <w:pPr>
              <w:pStyle w:val="178"/>
            </w:pPr>
            <w:r>
              <w:rPr>
                <w:rFonts w:hint="eastAsia"/>
              </w:rPr>
              <w:t>钢筋桁架</w:t>
            </w:r>
          </w:p>
        </w:tc>
        <w:tc>
          <w:tcPr>
            <w:tcW w:w="1867" w:type="dxa"/>
            <w:shd w:val="clear" w:color="auto" w:fill="auto"/>
            <w:vAlign w:val="center"/>
          </w:tcPr>
          <w:p>
            <w:pPr>
              <w:pStyle w:val="178"/>
            </w:pPr>
            <w:r>
              <w:rPr>
                <w:rFonts w:hint="eastAsia"/>
              </w:rPr>
              <w:t>上弦钢筋</w:t>
            </w:r>
          </w:p>
        </w:tc>
        <w:tc>
          <w:tcPr>
            <w:tcW w:w="1867" w:type="dxa"/>
            <w:shd w:val="clear" w:color="auto" w:fill="auto"/>
            <w:vAlign w:val="center"/>
          </w:tcPr>
          <w:p>
            <w:pPr>
              <w:pStyle w:val="178"/>
              <w:rPr>
                <w:rFonts w:ascii="Times New Roman"/>
              </w:rPr>
            </w:pPr>
            <w:r>
              <w:rPr>
                <w:rFonts w:ascii="Times New Roman"/>
              </w:rPr>
              <w:t>8~16</w:t>
            </w:r>
          </w:p>
        </w:tc>
        <w:tc>
          <w:tcPr>
            <w:tcW w:w="1867" w:type="dxa"/>
            <w:shd w:val="clear" w:color="auto" w:fill="auto"/>
            <w:vAlign w:val="center"/>
          </w:tcPr>
          <w:p>
            <w:pPr>
              <w:pStyle w:val="178"/>
              <w:rPr>
                <w:rFonts w:ascii="Times New Roman"/>
              </w:rPr>
            </w:pPr>
            <w:r>
              <w:rPr>
                <w:rFonts w:ascii="Times New Roman"/>
              </w:rPr>
              <w:t>8~12</w:t>
            </w:r>
          </w:p>
        </w:tc>
        <w:tc>
          <w:tcPr>
            <w:tcW w:w="1867" w:type="dxa"/>
            <w:shd w:val="clear" w:color="auto" w:fill="auto"/>
            <w:vAlign w:val="center"/>
          </w:tcPr>
          <w:p>
            <w:pPr>
              <w:pStyle w:val="178"/>
              <w:rPr>
                <w:rFonts w:ascii="Times New Roman"/>
              </w:rPr>
            </w:pPr>
            <w:r>
              <w:rPr>
                <w:rFonts w:ascii="Times New Roma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866" w:type="dxa"/>
            <w:vMerge w:val="continue"/>
            <w:shd w:val="clear" w:color="auto" w:fill="auto"/>
            <w:vAlign w:val="center"/>
          </w:tcPr>
          <w:p>
            <w:pPr>
              <w:pStyle w:val="178"/>
            </w:pPr>
          </w:p>
        </w:tc>
        <w:tc>
          <w:tcPr>
            <w:tcW w:w="1867" w:type="dxa"/>
            <w:shd w:val="clear" w:color="auto" w:fill="auto"/>
            <w:vAlign w:val="center"/>
          </w:tcPr>
          <w:p>
            <w:pPr>
              <w:pStyle w:val="178"/>
            </w:pPr>
            <w:r>
              <w:rPr>
                <w:rFonts w:hint="eastAsia"/>
              </w:rPr>
              <w:t>下弦钢筋</w:t>
            </w:r>
          </w:p>
        </w:tc>
        <w:tc>
          <w:tcPr>
            <w:tcW w:w="1867" w:type="dxa"/>
            <w:shd w:val="clear" w:color="auto" w:fill="auto"/>
            <w:vAlign w:val="center"/>
          </w:tcPr>
          <w:p>
            <w:pPr>
              <w:pStyle w:val="178"/>
              <w:rPr>
                <w:rFonts w:ascii="Times New Roman"/>
              </w:rPr>
            </w:pPr>
            <w:r>
              <w:rPr>
                <w:rFonts w:ascii="Times New Roman"/>
              </w:rPr>
              <w:t>6~14</w:t>
            </w:r>
          </w:p>
        </w:tc>
        <w:tc>
          <w:tcPr>
            <w:tcW w:w="1867" w:type="dxa"/>
            <w:shd w:val="clear" w:color="auto" w:fill="auto"/>
            <w:vAlign w:val="center"/>
          </w:tcPr>
          <w:p>
            <w:pPr>
              <w:pStyle w:val="178"/>
              <w:rPr>
                <w:rFonts w:ascii="Times New Roman"/>
              </w:rPr>
            </w:pPr>
            <w:r>
              <w:rPr>
                <w:rFonts w:ascii="Times New Roman"/>
              </w:rPr>
              <w:t>6~12</w:t>
            </w:r>
          </w:p>
        </w:tc>
        <w:tc>
          <w:tcPr>
            <w:tcW w:w="1867" w:type="dxa"/>
            <w:shd w:val="clear" w:color="auto" w:fill="auto"/>
            <w:vAlign w:val="center"/>
          </w:tcPr>
          <w:p>
            <w:pPr>
              <w:pStyle w:val="178"/>
              <w:rPr>
                <w:rFonts w:ascii="Times New Roman"/>
              </w:rPr>
            </w:pPr>
            <w:r>
              <w:rPr>
                <w:rFonts w:ascii="Times New Roma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866" w:type="dxa"/>
            <w:vMerge w:val="continue"/>
            <w:shd w:val="clear" w:color="auto" w:fill="auto"/>
            <w:vAlign w:val="center"/>
          </w:tcPr>
          <w:p>
            <w:pPr>
              <w:pStyle w:val="178"/>
            </w:pPr>
          </w:p>
        </w:tc>
        <w:tc>
          <w:tcPr>
            <w:tcW w:w="1867" w:type="dxa"/>
            <w:shd w:val="clear" w:color="auto" w:fill="auto"/>
            <w:vAlign w:val="center"/>
          </w:tcPr>
          <w:p>
            <w:pPr>
              <w:pStyle w:val="178"/>
            </w:pPr>
            <w:r>
              <w:rPr>
                <w:rFonts w:hint="eastAsia"/>
              </w:rPr>
              <w:t>腹杆钢筋</w:t>
            </w:r>
          </w:p>
        </w:tc>
        <w:tc>
          <w:tcPr>
            <w:tcW w:w="1867" w:type="dxa"/>
            <w:shd w:val="clear" w:color="auto" w:fill="auto"/>
            <w:vAlign w:val="center"/>
          </w:tcPr>
          <w:p>
            <w:pPr>
              <w:pStyle w:val="178"/>
              <w:rPr>
                <w:rFonts w:ascii="Times New Roman"/>
              </w:rPr>
            </w:pPr>
            <w:r>
              <w:rPr>
                <w:rFonts w:ascii="Times New Roman"/>
              </w:rPr>
              <w:t>6~8</w:t>
            </w:r>
          </w:p>
        </w:tc>
        <w:tc>
          <w:tcPr>
            <w:tcW w:w="1867" w:type="dxa"/>
            <w:shd w:val="clear" w:color="auto" w:fill="auto"/>
            <w:vAlign w:val="center"/>
          </w:tcPr>
          <w:p>
            <w:pPr>
              <w:pStyle w:val="178"/>
              <w:rPr>
                <w:rFonts w:ascii="Times New Roman"/>
              </w:rPr>
            </w:pPr>
            <w:r>
              <w:rPr>
                <w:rFonts w:ascii="Times New Roman"/>
              </w:rPr>
              <w:t>6~8</w:t>
            </w:r>
          </w:p>
        </w:tc>
        <w:tc>
          <w:tcPr>
            <w:tcW w:w="1867" w:type="dxa"/>
            <w:shd w:val="clear" w:color="auto" w:fill="auto"/>
            <w:vAlign w:val="center"/>
          </w:tcPr>
          <w:p>
            <w:pPr>
              <w:pStyle w:val="178"/>
              <w:rPr>
                <w:rFonts w:ascii="Times New Roman"/>
              </w:rPr>
            </w:pPr>
            <w:r>
              <w:rPr>
                <w:rFonts w:ascii="Times New Roman"/>
              </w:rPr>
              <w:t>6~8</w:t>
            </w:r>
          </w:p>
        </w:tc>
      </w:tr>
    </w:tbl>
    <w:p>
      <w:pPr>
        <w:pStyle w:val="65"/>
        <w:spacing w:before="156" w:after="156"/>
        <w:outlineLvl w:val="9"/>
        <w:rPr>
          <w:rFonts w:ascii="宋体" w:hAnsi="宋体" w:eastAsia="宋体"/>
        </w:rPr>
      </w:pPr>
      <w:r>
        <w:rPr>
          <w:rFonts w:hint="eastAsia" w:ascii="宋体" w:hAnsi="宋体" w:eastAsia="宋体"/>
        </w:rPr>
        <w:t>桁架叠合板中钢筋的力学性能和工艺性能应符合下列规定：</w:t>
      </w:r>
    </w:p>
    <w:p>
      <w:pPr>
        <w:pStyle w:val="174"/>
      </w:pPr>
      <w:r>
        <w:rPr>
          <w:rFonts w:hint="eastAsia"/>
        </w:rPr>
        <w:t>热轧钢筋应符合现行国家标准《混凝土结构设计规</w:t>
      </w:r>
      <w:r>
        <w:rPr>
          <w:rFonts w:ascii="Times New Roman"/>
        </w:rPr>
        <w:t>范》GB 50010的有关</w:t>
      </w:r>
      <w:r>
        <w:rPr>
          <w:rFonts w:hint="eastAsia"/>
        </w:rPr>
        <w:t>规定；</w:t>
      </w:r>
    </w:p>
    <w:p>
      <w:pPr>
        <w:pStyle w:val="174"/>
      </w:pPr>
      <w:r>
        <w:rPr>
          <w:rFonts w:hint="eastAsia"/>
        </w:rPr>
        <w:t>冷轧带肋钢筋应符合现行行业标准《冷轧带肋钢筋混凝土结构技术文</w:t>
      </w:r>
      <w:r>
        <w:rPr>
          <w:rFonts w:ascii="Times New Roman"/>
        </w:rPr>
        <w:t>件》JGJ 95的有</w:t>
      </w:r>
      <w:r>
        <w:rPr>
          <w:rFonts w:hint="eastAsia"/>
        </w:rPr>
        <w:t>关规定；</w:t>
      </w:r>
    </w:p>
    <w:p>
      <w:pPr>
        <w:pStyle w:val="174"/>
      </w:pPr>
      <w:r>
        <w:rPr>
          <w:rFonts w:ascii="Times New Roman"/>
        </w:rPr>
        <w:t>CPB550钢筋应符合现行行业</w:t>
      </w:r>
      <w:r>
        <w:rPr>
          <w:rFonts w:hint="eastAsia"/>
        </w:rPr>
        <w:t>标准《钢筋焊接网混凝土结构技术文件</w:t>
      </w:r>
      <w:r>
        <w:rPr>
          <w:rFonts w:ascii="Times New Roman"/>
        </w:rPr>
        <w:t>》JGJ 114的</w:t>
      </w:r>
      <w:r>
        <w:rPr>
          <w:rFonts w:hint="eastAsia"/>
        </w:rPr>
        <w:t>有关规定。</w:t>
      </w:r>
    </w:p>
    <w:p>
      <w:pPr>
        <w:pStyle w:val="65"/>
        <w:spacing w:before="156" w:after="156"/>
        <w:outlineLvl w:val="9"/>
        <w:rPr>
          <w:rFonts w:ascii="宋体" w:hAnsi="宋体" w:eastAsia="宋体"/>
        </w:rPr>
      </w:pPr>
      <w:r>
        <w:rPr>
          <w:rFonts w:hint="eastAsia" w:ascii="宋体" w:hAnsi="宋体" w:eastAsia="宋体"/>
        </w:rPr>
        <w:t>预埋件锚板、锚筋及吊环材料应符合现行国家标准《混凝土结构设计</w:t>
      </w:r>
      <w:r>
        <w:rPr>
          <w:rFonts w:ascii="Times New Roman" w:eastAsia="宋体"/>
        </w:rPr>
        <w:t>规范》GB 50010</w:t>
      </w:r>
      <w:r>
        <w:rPr>
          <w:rFonts w:hint="eastAsia" w:ascii="宋体" w:hAnsi="宋体" w:eastAsia="宋体"/>
        </w:rPr>
        <w:t>的有关规定。</w:t>
      </w:r>
    </w:p>
    <w:p>
      <w:pPr>
        <w:pStyle w:val="105"/>
        <w:spacing w:before="156" w:after="156"/>
      </w:pPr>
      <w:bookmarkStart w:id="78" w:name="_Toc69916878"/>
      <w:bookmarkStart w:id="79" w:name="_Toc69885190"/>
      <w:r>
        <w:rPr>
          <w:rFonts w:hint="eastAsia"/>
        </w:rPr>
        <w:t>钢筋桁架</w:t>
      </w:r>
      <w:bookmarkEnd w:id="78"/>
      <w:bookmarkEnd w:id="79"/>
    </w:p>
    <w:p>
      <w:pPr>
        <w:pStyle w:val="65"/>
        <w:spacing w:before="156" w:after="156"/>
        <w:outlineLvl w:val="9"/>
        <w:rPr>
          <w:rFonts w:ascii="宋体" w:hAnsi="宋体" w:eastAsia="宋体"/>
        </w:rPr>
      </w:pPr>
      <w:r>
        <w:rPr>
          <w:rFonts w:hint="eastAsia" w:ascii="宋体" w:hAnsi="宋体" w:eastAsia="宋体"/>
        </w:rPr>
        <w:t>钢筋桁架的尺寸应符合下列规定：</w:t>
      </w:r>
    </w:p>
    <w:p>
      <w:pPr>
        <w:pStyle w:val="174"/>
        <w:numPr>
          <w:ilvl w:val="0"/>
          <w:numId w:val="32"/>
        </w:numPr>
        <w:rPr>
          <w:rFonts w:ascii="Times New Roman"/>
        </w:rPr>
      </w:pPr>
      <w:r>
        <w:rPr>
          <w:rFonts w:hint="eastAsia"/>
        </w:rPr>
        <w:t>钢筋桁架的设计高度不</w:t>
      </w:r>
      <w:r>
        <w:rPr>
          <w:rFonts w:ascii="Times New Roman"/>
        </w:rPr>
        <w:t xml:space="preserve">宜小70mm，不宜大于400mm，且宜以10mm为模数； </w:t>
      </w:r>
    </w:p>
    <w:p>
      <w:pPr>
        <w:pStyle w:val="174"/>
        <w:rPr>
          <w:rFonts w:ascii="Times New Roman"/>
        </w:rPr>
      </w:pPr>
      <w:r>
        <w:rPr>
          <w:rFonts w:ascii="Times New Roman"/>
        </w:rPr>
        <w:t>钢筋桁架设计宽度不宜小于60mm，不宜大于110mm，且宜以10mm为模数；</w:t>
      </w:r>
    </w:p>
    <w:p>
      <w:pPr>
        <w:pStyle w:val="174"/>
        <w:rPr>
          <w:rFonts w:ascii="Times New Roman"/>
        </w:rPr>
      </w:pPr>
      <w:r>
        <w:rPr>
          <w:rFonts w:ascii="Times New Roman"/>
        </w:rPr>
        <w:t>腹杆钢筋和上、下弦钢筋的焊点中心间距宜取200mm，且不宜大于200mm。</w:t>
      </w:r>
    </w:p>
    <w:p>
      <w:pPr>
        <w:pStyle w:val="65"/>
        <w:spacing w:before="156" w:after="156"/>
        <w:outlineLvl w:val="9"/>
        <w:rPr>
          <w:rFonts w:ascii="宋体" w:hAnsi="宋体" w:eastAsia="宋体"/>
        </w:rPr>
      </w:pPr>
      <w:r>
        <w:rPr>
          <w:rFonts w:hint="eastAsia" w:ascii="宋体" w:hAnsi="宋体" w:eastAsia="宋体"/>
        </w:rPr>
        <w:t>腹杆钢筋在上、下弦焊点处的弯弧内直径</w:t>
      </w:r>
      <w:r>
        <w:rPr>
          <w:rFonts w:ascii="Times New Roman" w:eastAsia="宋体"/>
          <w:i/>
        </w:rPr>
        <w:t>D</w:t>
      </w:r>
      <w:r>
        <w:rPr>
          <w:rFonts w:hint="eastAsia" w:ascii="宋体" w:hAnsi="宋体" w:eastAsia="宋体"/>
        </w:rPr>
        <w:t>不应小于</w:t>
      </w:r>
      <w:r>
        <w:rPr>
          <w:rFonts w:ascii="Times New Roman" w:eastAsia="宋体"/>
        </w:rPr>
        <w:t>4</w:t>
      </w:r>
      <w:r>
        <w:rPr>
          <w:rFonts w:ascii="Times New Roman" w:eastAsia="宋体"/>
          <w:i/>
        </w:rPr>
        <w:t>d</w:t>
      </w:r>
      <w:r>
        <w:rPr>
          <w:rFonts w:ascii="Times New Roman" w:eastAsia="宋体"/>
          <w:vertAlign w:val="subscript"/>
        </w:rPr>
        <w:t>f</w:t>
      </w:r>
      <w:r>
        <w:rPr>
          <w:rFonts w:ascii="Times New Roman" w:eastAsia="宋体"/>
        </w:rPr>
        <w:t>（</w:t>
      </w:r>
      <w:r>
        <w:rPr>
          <w:rFonts w:ascii="Times New Roman" w:eastAsia="宋体"/>
          <w:i/>
        </w:rPr>
        <w:t>d</w:t>
      </w:r>
      <w:r>
        <w:rPr>
          <w:rFonts w:ascii="Times New Roman" w:eastAsia="宋体"/>
          <w:vertAlign w:val="subscript"/>
        </w:rPr>
        <w:t>f</w:t>
      </w:r>
      <w:r>
        <w:rPr>
          <w:rFonts w:ascii="Times New Roman" w:eastAsia="宋体"/>
        </w:rPr>
        <w:t>为腹杆钢筋直径）</w:t>
      </w:r>
      <w:r>
        <w:rPr>
          <w:rFonts w:hint="eastAsia" w:ascii="宋体" w:hAnsi="宋体" w:eastAsia="宋体"/>
        </w:rPr>
        <w:t>。</w:t>
      </w:r>
    </w:p>
    <w:p>
      <w:pPr>
        <w:pStyle w:val="56"/>
        <w:ind w:firstLine="0" w:firstLineChars="0"/>
        <w:jc w:val="center"/>
      </w:pPr>
      <w:r>
        <w:drawing>
          <wp:inline distT="0" distB="0" distL="0" distR="0">
            <wp:extent cx="3333115" cy="1085850"/>
            <wp:effectExtent l="0" t="0" r="63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3333115" cy="1085850"/>
                    </a:xfrm>
                    <a:prstGeom prst="rect">
                      <a:avLst/>
                    </a:prstGeom>
                    <a:noFill/>
                  </pic:spPr>
                </pic:pic>
              </a:graphicData>
            </a:graphic>
          </wp:inline>
        </w:drawing>
      </w:r>
    </w:p>
    <w:p>
      <w:pPr>
        <w:pStyle w:val="114"/>
        <w:spacing w:before="156" w:after="156"/>
      </w:pPr>
      <w:r>
        <w:rPr>
          <w:rFonts w:hint="eastAsia"/>
        </w:rPr>
        <w:t>腹杆钢筋弯弧技术要求</w:t>
      </w:r>
    </w:p>
    <w:p>
      <w:pPr>
        <w:pStyle w:val="114"/>
        <w:numPr>
          <w:ilvl w:val="0"/>
          <w:numId w:val="33"/>
        </w:numPr>
        <w:spacing w:before="156" w:after="156"/>
      </w:pPr>
      <w:r>
        <w:rPr>
          <w:rFonts w:hint="eastAsia"/>
        </w:rPr>
        <w:t>上弦钢筋；2—下弦钢筋；3—腹杆钢筋</w:t>
      </w:r>
    </w:p>
    <w:p>
      <w:pPr>
        <w:pStyle w:val="105"/>
        <w:spacing w:before="156" w:after="156"/>
      </w:pPr>
      <w:bookmarkStart w:id="80" w:name="_Toc69916879"/>
      <w:bookmarkStart w:id="81" w:name="_Toc69885191"/>
      <w:r>
        <w:rPr>
          <w:rFonts w:hint="eastAsia"/>
        </w:rPr>
        <w:t>其他材料</w:t>
      </w:r>
      <w:bookmarkEnd w:id="80"/>
      <w:bookmarkEnd w:id="81"/>
    </w:p>
    <w:p>
      <w:pPr>
        <w:pStyle w:val="65"/>
        <w:spacing w:before="156" w:after="156"/>
        <w:outlineLvl w:val="9"/>
        <w:rPr>
          <w:rFonts w:ascii="宋体" w:hAnsi="宋体" w:eastAsia="宋体"/>
        </w:rPr>
      </w:pPr>
      <w:r>
        <w:rPr>
          <w:rFonts w:hint="eastAsia" w:ascii="宋体" w:hAnsi="宋体" w:eastAsia="宋体"/>
        </w:rPr>
        <w:t>密拼式接缝嵌缝用聚合物改性水泥砂浆的物理力学性能应满足</w:t>
      </w:r>
      <w:r>
        <w:rPr>
          <w:rFonts w:ascii="Times New Roman" w:eastAsia="宋体"/>
        </w:rPr>
        <w:t>表2</w:t>
      </w:r>
      <w:r>
        <w:rPr>
          <w:rFonts w:hint="eastAsia" w:ascii="宋体" w:hAnsi="宋体" w:eastAsia="宋体"/>
        </w:rPr>
        <w:t>的要求。</w:t>
      </w:r>
    </w:p>
    <w:p>
      <w:pPr>
        <w:pStyle w:val="112"/>
        <w:spacing w:before="156" w:after="156"/>
      </w:pPr>
      <w:r>
        <w:rPr>
          <w:rFonts w:hint="eastAsia"/>
        </w:rPr>
        <w:t>嵌缝用聚合物改性水泥砂浆物理力学性能</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111"/>
        <w:gridCol w:w="3112"/>
        <w:gridCol w:w="311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3111" w:type="dxa"/>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项目</w:t>
            </w:r>
          </w:p>
        </w:tc>
        <w:tc>
          <w:tcPr>
            <w:tcW w:w="3112" w:type="dxa"/>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技术指标</w:t>
            </w:r>
          </w:p>
        </w:tc>
        <w:tc>
          <w:tcPr>
            <w:tcW w:w="3111" w:type="dxa"/>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试验方法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1" w:type="dxa"/>
            <w:tcBorders>
              <w:top w:val="single" w:color="auto" w:sz="8" w:space="0"/>
            </w:tcBorders>
            <w:shd w:val="clear" w:color="auto" w:fill="auto"/>
            <w:vAlign w:val="center"/>
          </w:tcPr>
          <w:p>
            <w:pPr>
              <w:pStyle w:val="178"/>
              <w:rPr>
                <w:rFonts w:ascii="Times New Roman"/>
              </w:rPr>
            </w:pPr>
            <w:r>
              <w:rPr>
                <w:rFonts w:ascii="Times New Roman"/>
              </w:rPr>
              <w:t>保水率（%）</w:t>
            </w:r>
          </w:p>
        </w:tc>
        <w:tc>
          <w:tcPr>
            <w:tcW w:w="3112" w:type="dxa"/>
            <w:tcBorders>
              <w:top w:val="single" w:color="auto" w:sz="8" w:space="0"/>
            </w:tcBorders>
            <w:shd w:val="clear" w:color="auto" w:fill="auto"/>
            <w:vAlign w:val="center"/>
          </w:tcPr>
          <w:p>
            <w:pPr>
              <w:pStyle w:val="178"/>
              <w:rPr>
                <w:rFonts w:ascii="Times New Roman"/>
              </w:rPr>
            </w:pPr>
            <w:r>
              <w:rPr>
                <w:rFonts w:ascii="Times New Roman"/>
              </w:rPr>
              <w:t>≥92</w:t>
            </w:r>
          </w:p>
        </w:tc>
        <w:tc>
          <w:tcPr>
            <w:tcW w:w="3111" w:type="dxa"/>
            <w:vMerge w:val="restart"/>
            <w:tcBorders>
              <w:top w:val="single" w:color="auto" w:sz="8" w:space="0"/>
            </w:tcBorders>
            <w:shd w:val="clear" w:color="auto" w:fill="auto"/>
            <w:vAlign w:val="center"/>
          </w:tcPr>
          <w:p>
            <w:pPr>
              <w:pStyle w:val="178"/>
              <w:rPr>
                <w:rFonts w:ascii="Times New Roman"/>
              </w:rPr>
            </w:pPr>
            <w:r>
              <w:rPr>
                <w:rFonts w:ascii="Times New Roman"/>
              </w:rPr>
              <w:t>现行行业标准《建筑砂浆基本性能试验方法标准》JGJ/T 70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1" w:type="dxa"/>
            <w:shd w:val="clear" w:color="auto" w:fill="auto"/>
            <w:vAlign w:val="center"/>
          </w:tcPr>
          <w:p>
            <w:pPr>
              <w:pStyle w:val="178"/>
              <w:rPr>
                <w:rFonts w:ascii="Times New Roman"/>
              </w:rPr>
            </w:pPr>
            <w:r>
              <w:rPr>
                <w:rFonts w:ascii="Times New Roman"/>
              </w:rPr>
              <w:t>凝结时间（h）</w:t>
            </w:r>
          </w:p>
        </w:tc>
        <w:tc>
          <w:tcPr>
            <w:tcW w:w="3112" w:type="dxa"/>
            <w:shd w:val="clear" w:color="auto" w:fill="auto"/>
            <w:vAlign w:val="center"/>
          </w:tcPr>
          <w:p>
            <w:pPr>
              <w:pStyle w:val="178"/>
              <w:rPr>
                <w:rFonts w:ascii="Times New Roman"/>
              </w:rPr>
            </w:pPr>
            <w:r>
              <w:rPr>
                <w:rFonts w:ascii="Times New Roman"/>
              </w:rPr>
              <w:t>≤5</w:t>
            </w:r>
          </w:p>
        </w:tc>
        <w:tc>
          <w:tcPr>
            <w:tcW w:w="3111" w:type="dxa"/>
            <w:vMerge w:val="continue"/>
            <w:shd w:val="clear" w:color="auto" w:fill="auto"/>
            <w:vAlign w:val="center"/>
          </w:tcPr>
          <w:p>
            <w:pPr>
              <w:pStyle w:val="178"/>
              <w:rPr>
                <w:rFonts w:ascii="Times New Roma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1" w:type="dxa"/>
            <w:shd w:val="clear" w:color="auto" w:fill="auto"/>
            <w:vAlign w:val="center"/>
          </w:tcPr>
          <w:p>
            <w:pPr>
              <w:pStyle w:val="178"/>
              <w:rPr>
                <w:rFonts w:ascii="Times New Roman"/>
              </w:rPr>
            </w:pPr>
            <w:r>
              <w:rPr>
                <w:rFonts w:ascii="Times New Roman"/>
              </w:rPr>
              <w:t>2h稠度损失率（%）</w:t>
            </w:r>
          </w:p>
        </w:tc>
        <w:tc>
          <w:tcPr>
            <w:tcW w:w="3112" w:type="dxa"/>
            <w:shd w:val="clear" w:color="auto" w:fill="auto"/>
            <w:vAlign w:val="center"/>
          </w:tcPr>
          <w:p>
            <w:pPr>
              <w:pStyle w:val="178"/>
              <w:rPr>
                <w:rFonts w:ascii="Times New Roman"/>
              </w:rPr>
            </w:pPr>
            <w:r>
              <w:rPr>
                <w:rFonts w:ascii="Times New Roman"/>
              </w:rPr>
              <w:t>≤20</w:t>
            </w:r>
          </w:p>
        </w:tc>
        <w:tc>
          <w:tcPr>
            <w:tcW w:w="3111" w:type="dxa"/>
            <w:vMerge w:val="continue"/>
            <w:shd w:val="clear" w:color="auto" w:fill="auto"/>
            <w:vAlign w:val="center"/>
          </w:tcPr>
          <w:p>
            <w:pPr>
              <w:pStyle w:val="178"/>
              <w:rPr>
                <w:rFonts w:ascii="Times New Roma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1" w:type="dxa"/>
            <w:shd w:val="clear" w:color="auto" w:fill="auto"/>
            <w:vAlign w:val="center"/>
          </w:tcPr>
          <w:p>
            <w:pPr>
              <w:pStyle w:val="178"/>
              <w:rPr>
                <w:rFonts w:ascii="Times New Roman"/>
              </w:rPr>
            </w:pPr>
            <w:r>
              <w:rPr>
                <w:rFonts w:ascii="Times New Roman"/>
              </w:rPr>
              <w:t>14d拉伸粘结强度（MPa）</w:t>
            </w:r>
          </w:p>
        </w:tc>
        <w:tc>
          <w:tcPr>
            <w:tcW w:w="3112" w:type="dxa"/>
            <w:shd w:val="clear" w:color="auto" w:fill="auto"/>
            <w:vAlign w:val="center"/>
          </w:tcPr>
          <w:p>
            <w:pPr>
              <w:pStyle w:val="178"/>
              <w:rPr>
                <w:rFonts w:ascii="Times New Roman"/>
              </w:rPr>
            </w:pPr>
            <w:r>
              <w:rPr>
                <w:rFonts w:ascii="Times New Roman"/>
              </w:rPr>
              <w:t>≥0.6</w:t>
            </w:r>
          </w:p>
        </w:tc>
        <w:tc>
          <w:tcPr>
            <w:tcW w:w="3111" w:type="dxa"/>
            <w:vMerge w:val="continue"/>
            <w:shd w:val="clear" w:color="auto" w:fill="auto"/>
            <w:vAlign w:val="center"/>
          </w:tcPr>
          <w:p>
            <w:pPr>
              <w:pStyle w:val="178"/>
              <w:rPr>
                <w:rFonts w:ascii="Times New Roma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1" w:type="dxa"/>
            <w:shd w:val="clear" w:color="auto" w:fill="auto"/>
            <w:vAlign w:val="center"/>
          </w:tcPr>
          <w:p>
            <w:pPr>
              <w:pStyle w:val="178"/>
              <w:rPr>
                <w:rFonts w:ascii="Times New Roman"/>
              </w:rPr>
            </w:pPr>
            <w:r>
              <w:rPr>
                <w:rFonts w:ascii="Times New Roman"/>
              </w:rPr>
              <w:t>28d收缩率（%）</w:t>
            </w:r>
          </w:p>
        </w:tc>
        <w:tc>
          <w:tcPr>
            <w:tcW w:w="3112" w:type="dxa"/>
            <w:shd w:val="clear" w:color="auto" w:fill="auto"/>
            <w:vAlign w:val="center"/>
          </w:tcPr>
          <w:p>
            <w:pPr>
              <w:pStyle w:val="178"/>
              <w:rPr>
                <w:rFonts w:ascii="Times New Roman"/>
              </w:rPr>
            </w:pPr>
            <w:r>
              <w:rPr>
                <w:rFonts w:ascii="Times New Roman"/>
              </w:rPr>
              <w:t>≤0.12</w:t>
            </w:r>
          </w:p>
        </w:tc>
        <w:tc>
          <w:tcPr>
            <w:tcW w:w="3111" w:type="dxa"/>
            <w:vMerge w:val="continue"/>
            <w:shd w:val="clear" w:color="auto" w:fill="auto"/>
            <w:vAlign w:val="center"/>
          </w:tcPr>
          <w:p>
            <w:pPr>
              <w:pStyle w:val="178"/>
              <w:rPr>
                <w:rFonts w:ascii="Times New Roma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1" w:type="dxa"/>
            <w:shd w:val="clear" w:color="auto" w:fill="auto"/>
            <w:vAlign w:val="center"/>
          </w:tcPr>
          <w:p>
            <w:pPr>
              <w:pStyle w:val="178"/>
              <w:rPr>
                <w:rFonts w:ascii="Times New Roman"/>
              </w:rPr>
            </w:pPr>
            <w:r>
              <w:rPr>
                <w:rFonts w:ascii="Times New Roman"/>
              </w:rPr>
              <w:t>质量损失率（%）</w:t>
            </w:r>
          </w:p>
        </w:tc>
        <w:tc>
          <w:tcPr>
            <w:tcW w:w="3112" w:type="dxa"/>
            <w:shd w:val="clear" w:color="auto" w:fill="auto"/>
            <w:vAlign w:val="center"/>
          </w:tcPr>
          <w:p>
            <w:pPr>
              <w:pStyle w:val="178"/>
              <w:rPr>
                <w:rFonts w:ascii="Times New Roman"/>
              </w:rPr>
            </w:pPr>
            <w:r>
              <w:rPr>
                <w:rFonts w:ascii="Times New Roman"/>
              </w:rPr>
              <w:t>≤2</w:t>
            </w:r>
          </w:p>
        </w:tc>
        <w:tc>
          <w:tcPr>
            <w:tcW w:w="3111" w:type="dxa"/>
            <w:vMerge w:val="continue"/>
            <w:shd w:val="clear" w:color="auto" w:fill="auto"/>
            <w:vAlign w:val="center"/>
          </w:tcPr>
          <w:p>
            <w:pPr>
              <w:pStyle w:val="178"/>
              <w:rPr>
                <w:rFonts w:ascii="Times New Roma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1" w:type="dxa"/>
            <w:shd w:val="clear" w:color="auto" w:fill="auto"/>
            <w:vAlign w:val="center"/>
          </w:tcPr>
          <w:p>
            <w:pPr>
              <w:pStyle w:val="178"/>
              <w:rPr>
                <w:rFonts w:ascii="Times New Roman"/>
              </w:rPr>
            </w:pPr>
            <w:r>
              <w:rPr>
                <w:rFonts w:ascii="Times New Roman"/>
              </w:rPr>
              <w:t>28d抗压强度（MPa）</w:t>
            </w:r>
          </w:p>
        </w:tc>
        <w:tc>
          <w:tcPr>
            <w:tcW w:w="3112" w:type="dxa"/>
            <w:shd w:val="clear" w:color="auto" w:fill="auto"/>
            <w:vAlign w:val="center"/>
          </w:tcPr>
          <w:p>
            <w:pPr>
              <w:pStyle w:val="178"/>
              <w:rPr>
                <w:rFonts w:ascii="Times New Roman"/>
              </w:rPr>
            </w:pPr>
            <w:r>
              <w:rPr>
                <w:rFonts w:ascii="Times New Roman"/>
              </w:rPr>
              <w:t>≥20</w:t>
            </w:r>
          </w:p>
        </w:tc>
        <w:tc>
          <w:tcPr>
            <w:tcW w:w="3111" w:type="dxa"/>
            <w:vMerge w:val="continue"/>
            <w:shd w:val="clear" w:color="auto" w:fill="auto"/>
            <w:vAlign w:val="center"/>
          </w:tcPr>
          <w:p>
            <w:pPr>
              <w:pStyle w:val="178"/>
              <w:rPr>
                <w:rFonts w:ascii="Times New Roman"/>
              </w:rPr>
            </w:pPr>
          </w:p>
        </w:tc>
      </w:tr>
    </w:tbl>
    <w:p>
      <w:pPr>
        <w:pStyle w:val="104"/>
        <w:spacing w:before="312" w:after="312"/>
      </w:pPr>
      <w:bookmarkStart w:id="82" w:name="_Toc69885192"/>
      <w:bookmarkStart w:id="83" w:name="_Toc69916880"/>
      <w:r>
        <w:rPr>
          <w:rFonts w:hint="eastAsia"/>
        </w:rPr>
        <w:t>结构设计</w:t>
      </w:r>
      <w:bookmarkEnd w:id="82"/>
      <w:bookmarkEnd w:id="83"/>
    </w:p>
    <w:p>
      <w:pPr>
        <w:pStyle w:val="105"/>
        <w:spacing w:before="156" w:after="156"/>
      </w:pPr>
      <w:bookmarkStart w:id="84" w:name="_Toc69885193"/>
      <w:bookmarkStart w:id="85" w:name="_Toc69916881"/>
      <w:r>
        <w:rPr>
          <w:rFonts w:hint="eastAsia"/>
        </w:rPr>
        <w:t>一般规定</w:t>
      </w:r>
      <w:bookmarkEnd w:id="84"/>
      <w:bookmarkEnd w:id="85"/>
    </w:p>
    <w:p>
      <w:pPr>
        <w:pStyle w:val="65"/>
        <w:spacing w:before="156" w:after="156"/>
        <w:outlineLvl w:val="9"/>
        <w:rPr>
          <w:rFonts w:ascii="宋体" w:hAnsi="宋体" w:eastAsia="宋体"/>
        </w:rPr>
      </w:pPr>
      <w:r>
        <w:rPr>
          <w:rFonts w:hint="eastAsia" w:ascii="宋体" w:hAnsi="宋体" w:eastAsia="宋体"/>
        </w:rPr>
        <w:t>装配整体式结构的楼、屋盖宜采用叠合楼盖。但在结构转换层、平面凹凸不规则、楼板局部不连续的楼板薄弱部位、作为上部结构嵌固部位的地下室楼板等部位，不宜采用桁架叠合板，宜采用现浇楼盖；当采用时，应进行专项设计。</w:t>
      </w:r>
    </w:p>
    <w:p>
      <w:pPr>
        <w:pStyle w:val="65"/>
        <w:spacing w:before="156" w:after="156"/>
        <w:outlineLvl w:val="9"/>
        <w:rPr>
          <w:rFonts w:ascii="宋体" w:hAnsi="宋体" w:eastAsia="宋体"/>
        </w:rPr>
      </w:pPr>
      <w:r>
        <w:rPr>
          <w:rFonts w:hint="eastAsia" w:ascii="宋体" w:hAnsi="宋体" w:eastAsia="宋体"/>
        </w:rPr>
        <w:t>符合本文件的设计方法与构造措施的规定时，结构整体分析中桁架叠合板可采用与现浇混凝土板相同的方法进行模拟。</w:t>
      </w:r>
    </w:p>
    <w:p>
      <w:pPr>
        <w:pStyle w:val="65"/>
        <w:spacing w:before="156" w:after="156"/>
        <w:outlineLvl w:val="9"/>
        <w:rPr>
          <w:rFonts w:ascii="宋体" w:hAnsi="宋体" w:eastAsia="宋体"/>
        </w:rPr>
      </w:pPr>
      <w:r>
        <w:rPr>
          <w:rFonts w:hint="eastAsia" w:ascii="宋体" w:hAnsi="宋体" w:eastAsia="宋体"/>
        </w:rPr>
        <w:t>桁架叠合板应根据区格平面尺寸和桁架预制板生产、运输及吊装能力进行布置，并宜进行标准化设计。</w:t>
      </w:r>
    </w:p>
    <w:p>
      <w:pPr>
        <w:pStyle w:val="65"/>
        <w:spacing w:before="156" w:after="156"/>
        <w:outlineLvl w:val="9"/>
        <w:rPr>
          <w:rFonts w:ascii="宋体" w:hAnsi="宋体" w:eastAsia="宋体"/>
        </w:rPr>
      </w:pPr>
      <w:r>
        <w:rPr>
          <w:rFonts w:hint="eastAsia" w:ascii="宋体" w:hAnsi="宋体" w:eastAsia="宋体"/>
        </w:rPr>
        <w:t>区格内四边支承的桁架叠合板，其设计应符合下列规定：</w:t>
      </w:r>
    </w:p>
    <w:p>
      <w:pPr>
        <w:pStyle w:val="174"/>
        <w:numPr>
          <w:ilvl w:val="0"/>
          <w:numId w:val="34"/>
        </w:numPr>
      </w:pPr>
      <w:r>
        <w:rPr>
          <w:rFonts w:hint="eastAsia"/>
        </w:rPr>
        <w:t>区格长宽比</w:t>
      </w:r>
      <w:r>
        <w:rPr>
          <w:rFonts w:ascii="Times New Roman"/>
        </w:rPr>
        <w:t>大于2时，宜按单向板设计；区格长宽比不大于2时，宜</w:t>
      </w:r>
      <w:r>
        <w:rPr>
          <w:rFonts w:hint="eastAsia"/>
        </w:rPr>
        <w:t>按双向板设计；</w:t>
      </w:r>
    </w:p>
    <w:p>
      <w:pPr>
        <w:pStyle w:val="174"/>
      </w:pPr>
      <w:r>
        <w:rPr>
          <w:rFonts w:hint="eastAsia"/>
        </w:rPr>
        <w:t>当按单向板设计并设置接缝时，宜采用密拼式分离接缝并平行于短边方向布置；当按双向板设计并设置拼缝时，应采用后浇带式整体接缝或密拼式整体接缝。</w:t>
      </w:r>
    </w:p>
    <w:p>
      <w:pPr>
        <w:pStyle w:val="174"/>
        <w:numPr>
          <w:ilvl w:val="0"/>
          <w:numId w:val="0"/>
        </w:numPr>
        <w:ind w:left="851"/>
      </w:pPr>
    </w:p>
    <w:p>
      <w:pPr>
        <w:pStyle w:val="105"/>
        <w:spacing w:before="156" w:after="156"/>
      </w:pPr>
      <w:bookmarkStart w:id="86" w:name="_Toc69885194"/>
      <w:bookmarkStart w:id="87" w:name="_Toc69916882"/>
      <w:r>
        <w:rPr>
          <w:rFonts w:hint="eastAsia"/>
        </w:rPr>
        <w:t>构件设计及构造</w:t>
      </w:r>
      <w:bookmarkEnd w:id="86"/>
      <w:bookmarkEnd w:id="87"/>
    </w:p>
    <w:p>
      <w:pPr>
        <w:pStyle w:val="65"/>
        <w:spacing w:before="156" w:after="156"/>
        <w:outlineLvl w:val="9"/>
        <w:rPr>
          <w:rFonts w:ascii="宋体" w:hAnsi="宋体" w:eastAsia="宋体"/>
        </w:rPr>
      </w:pPr>
      <w:r>
        <w:rPr>
          <w:rFonts w:hint="eastAsia" w:ascii="宋体" w:hAnsi="宋体" w:eastAsia="宋体"/>
        </w:rPr>
        <w:t>桁架预制板的厚度不宜小</w:t>
      </w:r>
      <w:r>
        <w:rPr>
          <w:rFonts w:ascii="Times New Roman" w:eastAsia="宋体"/>
        </w:rPr>
        <w:t>于60mm，且不应小于50mm，后浇混凝土叠合层厚度不应小于60mm。</w:t>
      </w:r>
    </w:p>
    <w:p>
      <w:pPr>
        <w:pStyle w:val="65"/>
        <w:spacing w:before="156" w:after="156"/>
        <w:outlineLvl w:val="9"/>
        <w:rPr>
          <w:rFonts w:ascii="宋体" w:hAnsi="宋体" w:eastAsia="宋体"/>
        </w:rPr>
      </w:pPr>
      <w:r>
        <w:rPr>
          <w:rFonts w:hint="eastAsia" w:ascii="宋体" w:hAnsi="宋体" w:eastAsia="宋体"/>
        </w:rPr>
        <w:t>桁架预制板钢筋的混凝土保护层厚度应满足现行国家标准《混凝土结构</w:t>
      </w:r>
      <w:r>
        <w:rPr>
          <w:rFonts w:ascii="Times New Roman" w:eastAsia="宋体"/>
        </w:rPr>
        <w:t>设计规范》GB 50010</w:t>
      </w:r>
      <w:r>
        <w:rPr>
          <w:rFonts w:hint="eastAsia" w:ascii="宋体" w:hAnsi="宋体" w:eastAsia="宋体"/>
        </w:rPr>
        <w:t>的有关规定。</w:t>
      </w:r>
    </w:p>
    <w:p>
      <w:pPr>
        <w:pStyle w:val="65"/>
        <w:spacing w:before="156" w:after="156"/>
        <w:outlineLvl w:val="9"/>
        <w:rPr>
          <w:rFonts w:ascii="宋体" w:hAnsi="宋体" w:eastAsia="宋体"/>
        </w:rPr>
      </w:pPr>
      <w:r>
        <w:rPr>
          <w:rFonts w:hint="eastAsia" w:ascii="宋体" w:hAnsi="宋体" w:eastAsia="宋体"/>
        </w:rPr>
        <w:t>桁架叠合板中的纵向钢筋宜采用钢筋焊接网。当采用钢筋焊接网时，应符合现行行业标准《钢筋焊接网混凝土结构技术文件》</w:t>
      </w:r>
      <w:r>
        <w:rPr>
          <w:rFonts w:ascii="Times New Roman" w:eastAsia="宋体"/>
        </w:rPr>
        <w:t>JGJ 114</w:t>
      </w:r>
      <w:r>
        <w:rPr>
          <w:rFonts w:hint="eastAsia" w:ascii="宋体" w:hAnsi="宋体" w:eastAsia="宋体"/>
        </w:rPr>
        <w:t>的有关规定。</w:t>
      </w:r>
    </w:p>
    <w:p>
      <w:pPr>
        <w:pStyle w:val="65"/>
        <w:spacing w:before="156" w:after="156"/>
        <w:outlineLvl w:val="9"/>
        <w:rPr>
          <w:rFonts w:ascii="宋体" w:hAnsi="宋体" w:eastAsia="宋体"/>
        </w:rPr>
      </w:pPr>
      <w:r>
        <w:rPr>
          <w:rFonts w:hint="eastAsia" w:ascii="宋体" w:hAnsi="宋体" w:eastAsia="宋体"/>
        </w:rPr>
        <w:t>桁架预制板板边第一道纵向钢筋中线至板边的距离不宜大于</w:t>
      </w:r>
      <w:r>
        <w:rPr>
          <w:rFonts w:ascii="Times New Roman" w:eastAsia="宋体"/>
        </w:rPr>
        <w:t>50mm</w:t>
      </w:r>
      <w:r>
        <w:rPr>
          <w:rFonts w:hint="eastAsia" w:ascii="宋体" w:hAnsi="宋体" w:eastAsia="宋体"/>
        </w:rPr>
        <w:t>。</w:t>
      </w:r>
    </w:p>
    <w:p>
      <w:pPr>
        <w:pStyle w:val="65"/>
        <w:spacing w:before="156" w:after="156"/>
        <w:outlineLvl w:val="9"/>
        <w:rPr>
          <w:rFonts w:ascii="宋体" w:hAnsi="宋体" w:eastAsia="宋体"/>
        </w:rPr>
      </w:pPr>
      <w:r>
        <w:rPr>
          <w:rFonts w:hint="eastAsia" w:ascii="宋体" w:hAnsi="宋体" w:eastAsia="宋体"/>
        </w:rPr>
        <w:t>钢筋桁架的布置应符合下列规定：</w:t>
      </w:r>
    </w:p>
    <w:p>
      <w:pPr>
        <w:pStyle w:val="174"/>
        <w:numPr>
          <w:ilvl w:val="0"/>
          <w:numId w:val="35"/>
        </w:numPr>
      </w:pPr>
      <w:r>
        <w:rPr>
          <w:rFonts w:hint="eastAsia"/>
        </w:rPr>
        <w:t>钢筋桁架宜沿桁架预制板的长边方向布置；</w:t>
      </w:r>
    </w:p>
    <w:p>
      <w:pPr>
        <w:pStyle w:val="174"/>
        <w:rPr>
          <w:rFonts w:ascii="Times New Roman"/>
        </w:rPr>
      </w:pPr>
      <w:r>
        <w:rPr>
          <w:rFonts w:hint="eastAsia"/>
        </w:rPr>
        <w:t>钢筋桁架上弦筋至桁架预制板板</w:t>
      </w:r>
      <w:r>
        <w:rPr>
          <w:rFonts w:ascii="Times New Roman"/>
        </w:rPr>
        <w:t>边的水平距离不宜大于300mm；钢筋桁架上弦筋的间距不宜大于600mm（图2）</w:t>
      </w:r>
      <w:r>
        <w:rPr>
          <w:rFonts w:hint="eastAsia" w:ascii="Times New Roman"/>
        </w:rPr>
        <w:t>；</w:t>
      </w:r>
    </w:p>
    <w:p>
      <w:pPr>
        <w:pStyle w:val="174"/>
        <w:rPr>
          <w:rFonts w:ascii="Times New Roman"/>
        </w:rPr>
      </w:pPr>
      <w:r>
        <w:rPr>
          <w:rFonts w:ascii="Times New Roman"/>
        </w:rPr>
        <w:t>钢筋桁架下弦钢筋下表面距离桁架预制板叠合面不应小于35mm，钢筋桁架上弦钢筋上表面距离桁架预制板叠合面不应小于35mm（图3）</w:t>
      </w:r>
      <w:r>
        <w:rPr>
          <w:rFonts w:hint="eastAsia" w:ascii="Times New Roman"/>
        </w:rPr>
        <w:t>；</w:t>
      </w:r>
    </w:p>
    <w:p>
      <w:pPr>
        <w:pStyle w:val="174"/>
      </w:pPr>
      <w:r>
        <w:rPr>
          <w:rFonts w:hint="eastAsia"/>
        </w:rPr>
        <w:t>在持久设计状况下，钢筋桁架上弦钢筋参与受力计算时，上弦钢筋宜与桁架叠合板内同方向受力钢筋位于同一平面；</w:t>
      </w:r>
    </w:p>
    <w:p>
      <w:pPr>
        <w:pStyle w:val="174"/>
      </w:pPr>
      <w:r>
        <w:rPr>
          <w:rFonts w:hint="eastAsia"/>
        </w:rPr>
        <w:t>当采用密拼式整体接缝时，钢筋桁架的布置尚应符合本文件第</w:t>
      </w:r>
      <w:r>
        <w:rPr>
          <w:rFonts w:ascii="Times New Roman"/>
        </w:rPr>
        <w:t>6.3.2</w:t>
      </w:r>
      <w:r>
        <w:rPr>
          <w:rFonts w:hint="eastAsia"/>
        </w:rPr>
        <w:t>条第</w:t>
      </w:r>
      <w:r>
        <w:rPr>
          <w:rFonts w:ascii="Times New Roman"/>
        </w:rPr>
        <w:t>d）</w:t>
      </w:r>
      <w:r>
        <w:rPr>
          <w:rFonts w:hint="eastAsia"/>
        </w:rPr>
        <w:t>款的规定。</w:t>
      </w:r>
    </w:p>
    <w:p>
      <w:pPr>
        <w:pStyle w:val="56"/>
        <w:ind w:firstLine="0" w:firstLineChars="0"/>
        <w:jc w:val="center"/>
      </w:pPr>
      <w:r>
        <w:drawing>
          <wp:inline distT="0" distB="0" distL="0" distR="0">
            <wp:extent cx="4418965" cy="2352675"/>
            <wp:effectExtent l="0" t="0" r="63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418965" cy="2352675"/>
                    </a:xfrm>
                    <a:prstGeom prst="rect">
                      <a:avLst/>
                    </a:prstGeom>
                    <a:noFill/>
                  </pic:spPr>
                </pic:pic>
              </a:graphicData>
            </a:graphic>
          </wp:inline>
        </w:drawing>
      </w:r>
    </w:p>
    <w:p>
      <w:pPr>
        <w:pStyle w:val="114"/>
        <w:spacing w:before="156" w:after="156"/>
      </w:pPr>
      <w:r>
        <w:rPr>
          <w:rFonts w:hint="eastAsia"/>
        </w:rPr>
        <w:t>钢筋桁架边距与间距示意</w:t>
      </w:r>
    </w:p>
    <w:p>
      <w:pPr>
        <w:pStyle w:val="114"/>
        <w:numPr>
          <w:ilvl w:val="0"/>
          <w:numId w:val="0"/>
        </w:numPr>
        <w:spacing w:before="156" w:after="156"/>
      </w:pPr>
      <w:r>
        <w:rPr>
          <w:rFonts w:hint="eastAsia"/>
        </w:rPr>
        <w:t>1－桁架预制板；2－钢筋桁架</w:t>
      </w:r>
    </w:p>
    <w:p>
      <w:pPr>
        <w:pStyle w:val="56"/>
        <w:ind w:firstLine="0" w:firstLineChars="0"/>
        <w:jc w:val="center"/>
      </w:pPr>
      <w:r>
        <w:drawing>
          <wp:inline distT="0" distB="0" distL="0" distR="0">
            <wp:extent cx="1943100" cy="11620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1943100" cy="1162050"/>
                    </a:xfrm>
                    <a:prstGeom prst="rect">
                      <a:avLst/>
                    </a:prstGeom>
                    <a:noFill/>
                  </pic:spPr>
                </pic:pic>
              </a:graphicData>
            </a:graphic>
          </wp:inline>
        </w:drawing>
      </w:r>
    </w:p>
    <w:p>
      <w:pPr>
        <w:pStyle w:val="114"/>
        <w:spacing w:before="156" w:after="156"/>
      </w:pPr>
      <w:r>
        <w:rPr>
          <w:rFonts w:hint="eastAsia"/>
        </w:rPr>
        <w:t>钢筋桁架埋深示意</w:t>
      </w:r>
    </w:p>
    <w:p>
      <w:pPr>
        <w:pStyle w:val="114"/>
        <w:numPr>
          <w:ilvl w:val="0"/>
          <w:numId w:val="0"/>
        </w:numPr>
        <w:spacing w:before="156" w:after="156"/>
      </w:pPr>
      <w:r>
        <w:rPr>
          <w:rFonts w:hint="eastAsia"/>
        </w:rPr>
        <w:t>1－桁架预制板；2－钢筋桁架</w:t>
      </w:r>
    </w:p>
    <w:p>
      <w:pPr>
        <w:pStyle w:val="65"/>
        <w:spacing w:before="156" w:after="156"/>
        <w:outlineLvl w:val="9"/>
        <w:rPr>
          <w:rFonts w:ascii="宋体" w:hAnsi="宋体" w:eastAsia="宋体"/>
        </w:rPr>
      </w:pPr>
      <w:r>
        <w:rPr>
          <w:rFonts w:hint="eastAsia" w:ascii="宋体" w:hAnsi="宋体" w:eastAsia="宋体"/>
        </w:rPr>
        <w:t xml:space="preserve">当桁架叠合板开洞时，应符合下列规定： </w:t>
      </w:r>
    </w:p>
    <w:p>
      <w:pPr>
        <w:pStyle w:val="174"/>
        <w:numPr>
          <w:ilvl w:val="0"/>
          <w:numId w:val="36"/>
        </w:numPr>
      </w:pPr>
      <w:r>
        <w:rPr>
          <w:rFonts w:hint="eastAsia"/>
        </w:rPr>
        <w:t xml:space="preserve">洞口大小、位置及洞口周边加强措施应符合现行国家相关标准的规定； </w:t>
      </w:r>
    </w:p>
    <w:p>
      <w:pPr>
        <w:pStyle w:val="174"/>
      </w:pPr>
      <w:r>
        <w:rPr>
          <w:rFonts w:hint="eastAsia"/>
        </w:rPr>
        <w:t>桁架预制板中钢筋桁架宜避开楼板开洞位置。</w:t>
      </w:r>
    </w:p>
    <w:p>
      <w:pPr>
        <w:pStyle w:val="65"/>
        <w:spacing w:before="156" w:after="156"/>
        <w:outlineLvl w:val="9"/>
        <w:rPr>
          <w:rFonts w:ascii="宋体" w:hAnsi="宋体" w:eastAsia="宋体"/>
        </w:rPr>
      </w:pPr>
      <w:r>
        <w:rPr>
          <w:rFonts w:hint="eastAsia" w:ascii="宋体" w:hAnsi="宋体" w:eastAsia="宋体"/>
        </w:rPr>
        <w:t xml:space="preserve">桁架预制板与后浇混凝土之间的结合面应符合下列规定： </w:t>
      </w:r>
    </w:p>
    <w:p>
      <w:pPr>
        <w:pStyle w:val="174"/>
        <w:numPr>
          <w:ilvl w:val="0"/>
          <w:numId w:val="37"/>
        </w:numPr>
      </w:pPr>
      <w:r>
        <w:rPr>
          <w:rFonts w:hint="eastAsia"/>
        </w:rPr>
        <w:t xml:space="preserve">桁架预制板与后浇混凝土叠合层之间的结合面应设置粗糙面； </w:t>
      </w:r>
    </w:p>
    <w:p>
      <w:pPr>
        <w:pStyle w:val="174"/>
      </w:pPr>
      <w:r>
        <w:rPr>
          <w:rFonts w:hint="eastAsia"/>
        </w:rPr>
        <w:t xml:space="preserve">采用后浇带式整体接缝时，接缝处桁架预制板板侧与后浇混凝土之间的结合面宜设置粗糙面； </w:t>
      </w:r>
    </w:p>
    <w:p>
      <w:pPr>
        <w:pStyle w:val="174"/>
      </w:pPr>
      <w:r>
        <w:rPr>
          <w:rFonts w:hint="eastAsia"/>
        </w:rPr>
        <w:t>板端支座处桁架预制板侧面宜设置粗糙面；</w:t>
      </w:r>
    </w:p>
    <w:p>
      <w:pPr>
        <w:pStyle w:val="174"/>
      </w:pPr>
      <w:r>
        <w:rPr>
          <w:rFonts w:hint="eastAsia"/>
        </w:rPr>
        <w:t>粗糙面面积不宜小于结合面的</w:t>
      </w:r>
      <w:r>
        <w:rPr>
          <w:rFonts w:ascii="Times New Roman"/>
        </w:rPr>
        <w:t>80%，凹凸深度不应小于4mm</w:t>
      </w:r>
      <w:r>
        <w:rPr>
          <w:rFonts w:hint="eastAsia"/>
        </w:rPr>
        <w:t>。</w:t>
      </w:r>
    </w:p>
    <w:p>
      <w:pPr>
        <w:pStyle w:val="65"/>
        <w:spacing w:before="156" w:after="156"/>
        <w:outlineLvl w:val="9"/>
        <w:rPr>
          <w:rFonts w:ascii="宋体" w:hAnsi="宋体" w:eastAsia="宋体"/>
        </w:rPr>
      </w:pPr>
      <w:r>
        <w:rPr>
          <w:rFonts w:hint="eastAsia" w:ascii="宋体" w:hAnsi="宋体" w:eastAsia="宋体"/>
        </w:rPr>
        <w:t>桁架预制板的吊点数量及布置应根据桁架预制板尺寸、重量及起吊方式通过计算确定，吊点宜对称布置且不应少于</w:t>
      </w:r>
      <w:r>
        <w:rPr>
          <w:rFonts w:ascii="Times New Roman" w:eastAsia="宋体"/>
        </w:rPr>
        <w:t>4</w:t>
      </w:r>
      <w:r>
        <w:rPr>
          <w:rFonts w:hint="eastAsia" w:ascii="宋体" w:hAnsi="宋体" w:eastAsia="宋体"/>
        </w:rPr>
        <w:t>个。</w:t>
      </w:r>
    </w:p>
    <w:p>
      <w:pPr>
        <w:pStyle w:val="65"/>
        <w:spacing w:before="156" w:after="156"/>
        <w:outlineLvl w:val="9"/>
        <w:rPr>
          <w:rFonts w:ascii="宋体" w:hAnsi="宋体" w:eastAsia="宋体"/>
        </w:rPr>
      </w:pPr>
      <w:r>
        <w:rPr>
          <w:rFonts w:hint="eastAsia" w:ascii="宋体" w:hAnsi="宋体" w:eastAsia="宋体"/>
        </w:rPr>
        <w:t>桁架预制板宜将钢筋桁架兼作吊点。钢筋桁架兼作吊点时，吊点承载力标准值可按表</w:t>
      </w:r>
      <w:r>
        <w:rPr>
          <w:rFonts w:ascii="Times New Roman" w:eastAsia="宋体"/>
        </w:rPr>
        <w:t>3</w:t>
      </w:r>
      <w:r>
        <w:rPr>
          <w:rFonts w:hint="eastAsia" w:ascii="宋体" w:hAnsi="宋体" w:eastAsia="宋体"/>
        </w:rPr>
        <w:t xml:space="preserve">采用，并应符合下列规定： </w:t>
      </w:r>
    </w:p>
    <w:p>
      <w:pPr>
        <w:pStyle w:val="174"/>
        <w:numPr>
          <w:ilvl w:val="0"/>
          <w:numId w:val="38"/>
        </w:numPr>
      </w:pPr>
      <w:r>
        <w:rPr>
          <w:rFonts w:hint="eastAsia"/>
        </w:rPr>
        <w:t xml:space="preserve">吊点应选择在上弦钢筋焊点所在位置，焊点不应脱焊；吊点位置应设置明显标识； </w:t>
      </w:r>
    </w:p>
    <w:p>
      <w:pPr>
        <w:pStyle w:val="174"/>
      </w:pPr>
      <w:r>
        <w:rPr>
          <w:rFonts w:hint="eastAsia"/>
        </w:rPr>
        <w:t>起吊时，吊钩应穿过上弦钢筋和两侧腹杆钢筋，吊索与桁架预制板水平夹角不应小于</w:t>
      </w:r>
      <w:r>
        <w:rPr>
          <w:rFonts w:ascii="Times New Roman"/>
        </w:rPr>
        <w:t>60°</w:t>
      </w:r>
      <w:r>
        <w:rPr>
          <w:rFonts w:hint="eastAsia"/>
        </w:rPr>
        <w:t xml:space="preserve">； </w:t>
      </w:r>
    </w:p>
    <w:p>
      <w:pPr>
        <w:pStyle w:val="174"/>
      </w:pPr>
      <w:r>
        <w:rPr>
          <w:rFonts w:hint="eastAsia"/>
        </w:rPr>
        <w:t>当钢筋桁架下弦钢筋位于板内纵向钢筋上方时，应在吊点位置钢筋桁架下弦钢筋上方设置至少两根附加钢筋，附加钢筋直径不宜小于</w:t>
      </w:r>
      <w:r>
        <w:rPr>
          <w:rFonts w:ascii="Times New Roman"/>
        </w:rPr>
        <w:t>8mm，在吊点两侧的长度不宜小于150mm（图4）</w:t>
      </w:r>
      <w:r>
        <w:rPr>
          <w:rFonts w:hint="eastAsia"/>
        </w:rPr>
        <w:t xml:space="preserve">； </w:t>
      </w:r>
    </w:p>
    <w:p>
      <w:pPr>
        <w:pStyle w:val="174"/>
      </w:pPr>
      <w:r>
        <w:rPr>
          <w:rFonts w:hint="eastAsia"/>
        </w:rPr>
        <w:t>起吊时，同条件养护的混凝土立方体试块抗压强度不应低于</w:t>
      </w:r>
      <w:r>
        <w:rPr>
          <w:rFonts w:ascii="Times New Roman"/>
        </w:rPr>
        <w:t>20MPa</w:t>
      </w:r>
      <w:r>
        <w:rPr>
          <w:rFonts w:hint="eastAsia"/>
        </w:rPr>
        <w:t>；</w:t>
      </w:r>
    </w:p>
    <w:p>
      <w:pPr>
        <w:pStyle w:val="174"/>
      </w:pPr>
      <w:r>
        <w:rPr>
          <w:rFonts w:hint="eastAsia"/>
        </w:rPr>
        <w:t>施工安全系数</w:t>
      </w:r>
      <w:r>
        <w:rPr>
          <w:rFonts w:ascii="Times New Roman"/>
          <w:i/>
        </w:rPr>
        <w:t>K</w:t>
      </w:r>
      <w:r>
        <w:rPr>
          <w:rFonts w:ascii="Times New Roman"/>
          <w:vertAlign w:val="subscript"/>
        </w:rPr>
        <w:t>C</w:t>
      </w:r>
      <w:r>
        <w:rPr>
          <w:rFonts w:ascii="Times New Roman"/>
        </w:rPr>
        <w:t>不应小于4.0</w:t>
      </w:r>
      <w:r>
        <w:rPr>
          <w:rFonts w:hint="eastAsia"/>
        </w:rPr>
        <w:t>；</w:t>
      </w:r>
    </w:p>
    <w:p>
      <w:pPr>
        <w:pStyle w:val="174"/>
      </w:pPr>
      <w:r>
        <w:rPr>
          <w:rFonts w:hint="eastAsia"/>
        </w:rPr>
        <w:t>当不符合本条第</w:t>
      </w:r>
      <w:r>
        <w:rPr>
          <w:rFonts w:ascii="Times New Roman"/>
        </w:rPr>
        <w:t>1款~第4款</w:t>
      </w:r>
      <w:r>
        <w:rPr>
          <w:rFonts w:hint="eastAsia"/>
        </w:rPr>
        <w:t>的规定时，吊点的承载力应通过试验确定。</w:t>
      </w:r>
    </w:p>
    <w:p>
      <w:pPr>
        <w:pStyle w:val="56"/>
        <w:ind w:firstLine="0" w:firstLineChars="0"/>
        <w:jc w:val="center"/>
      </w:pPr>
      <w:r>
        <w:drawing>
          <wp:inline distT="0" distB="0" distL="0" distR="0">
            <wp:extent cx="2837815" cy="1190625"/>
            <wp:effectExtent l="0" t="0" r="63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837815" cy="1190625"/>
                    </a:xfrm>
                    <a:prstGeom prst="rect">
                      <a:avLst/>
                    </a:prstGeom>
                    <a:noFill/>
                  </pic:spPr>
                </pic:pic>
              </a:graphicData>
            </a:graphic>
          </wp:inline>
        </w:drawing>
      </w:r>
    </w:p>
    <w:p>
      <w:pPr>
        <w:pStyle w:val="114"/>
        <w:spacing w:before="156" w:after="156"/>
      </w:pPr>
      <w:r>
        <w:rPr>
          <w:rFonts w:hint="eastAsia"/>
        </w:rPr>
        <w:t>吊点处附加钢筋示意</w:t>
      </w:r>
    </w:p>
    <w:p>
      <w:pPr>
        <w:pStyle w:val="114"/>
        <w:numPr>
          <w:ilvl w:val="0"/>
          <w:numId w:val="39"/>
        </w:numPr>
        <w:spacing w:before="156" w:after="156"/>
      </w:pPr>
      <w:r>
        <w:rPr>
          <w:rFonts w:hint="eastAsia"/>
        </w:rPr>
        <w:t>预制板；2—预制板内纵向钢筋；3—下弦钢筋；4—附加钢筋</w:t>
      </w:r>
    </w:p>
    <w:p>
      <w:pPr>
        <w:pStyle w:val="56"/>
        <w:ind w:left="360" w:firstLine="0" w:firstLineChars="0"/>
      </w:pPr>
    </w:p>
    <w:p>
      <w:pPr>
        <w:pStyle w:val="112"/>
        <w:spacing w:before="156" w:after="156"/>
      </w:pPr>
      <w:r>
        <w:rPr>
          <w:rFonts w:hint="eastAsia"/>
        </w:rPr>
        <w:t>吊点承载力标准值</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667"/>
        <w:gridCol w:w="466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4667" w:type="dxa"/>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腹杆钢筋类别</w:t>
            </w:r>
          </w:p>
        </w:tc>
        <w:tc>
          <w:tcPr>
            <w:tcW w:w="4667" w:type="dxa"/>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承载力标准值（kN）</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tcBorders>
              <w:top w:val="single" w:color="auto" w:sz="8" w:space="0"/>
            </w:tcBorders>
            <w:shd w:val="clear" w:color="auto" w:fill="auto"/>
            <w:vAlign w:val="center"/>
          </w:tcPr>
          <w:p>
            <w:pPr>
              <w:pStyle w:val="178"/>
              <w:rPr>
                <w:rFonts w:ascii="Times New Roman"/>
              </w:rPr>
            </w:pPr>
            <w:r>
              <w:rPr>
                <w:rFonts w:ascii="Times New Roman"/>
              </w:rPr>
              <w:t>HRB400、HRB500、CRB550 或 CRB600H</w:t>
            </w:r>
          </w:p>
        </w:tc>
        <w:tc>
          <w:tcPr>
            <w:tcW w:w="4667" w:type="dxa"/>
            <w:tcBorders>
              <w:top w:val="single" w:color="auto" w:sz="8" w:space="0"/>
            </w:tcBorders>
            <w:shd w:val="clear" w:color="auto" w:fill="auto"/>
            <w:vAlign w:val="center"/>
          </w:tcPr>
          <w:p>
            <w:pPr>
              <w:pStyle w:val="178"/>
              <w:rPr>
                <w:rFonts w:ascii="Times New Roman"/>
              </w:rPr>
            </w:pPr>
            <w:r>
              <w:rPr>
                <w:rFonts w:ascii="Times New Roman"/>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vAlign w:val="center"/>
          </w:tcPr>
          <w:p>
            <w:pPr>
              <w:pStyle w:val="178"/>
              <w:rPr>
                <w:rFonts w:ascii="Times New Roman"/>
              </w:rPr>
            </w:pPr>
            <w:r>
              <w:rPr>
                <w:rFonts w:ascii="Times New Roman"/>
              </w:rPr>
              <w:t>HPB300、CPB550</w:t>
            </w:r>
          </w:p>
        </w:tc>
        <w:tc>
          <w:tcPr>
            <w:tcW w:w="4667" w:type="dxa"/>
            <w:shd w:val="clear" w:color="auto" w:fill="auto"/>
            <w:vAlign w:val="center"/>
          </w:tcPr>
          <w:p>
            <w:pPr>
              <w:pStyle w:val="178"/>
              <w:rPr>
                <w:rFonts w:ascii="Times New Roman"/>
              </w:rPr>
            </w:pPr>
            <w:r>
              <w:rPr>
                <w:rFonts w:ascii="Times New Roman"/>
              </w:rPr>
              <w:t>15</w:t>
            </w:r>
          </w:p>
        </w:tc>
      </w:tr>
    </w:tbl>
    <w:p>
      <w:pPr>
        <w:pStyle w:val="65"/>
        <w:spacing w:before="156" w:after="156"/>
        <w:outlineLvl w:val="9"/>
        <w:rPr>
          <w:rFonts w:ascii="宋体" w:hAnsi="宋体" w:eastAsia="宋体"/>
        </w:rPr>
      </w:pPr>
      <w:r>
        <w:rPr>
          <w:rFonts w:hint="eastAsia" w:ascii="宋体" w:hAnsi="宋体" w:eastAsia="宋体"/>
        </w:rPr>
        <w:t>桁架预制板应进行短暂设计状况下的承载力、挠度及抗裂验算，并应符合附录</w:t>
      </w:r>
      <w:r>
        <w:rPr>
          <w:rFonts w:ascii="Times New Roman" w:eastAsia="宋体"/>
        </w:rPr>
        <w:t>C</w:t>
      </w:r>
      <w:r>
        <w:rPr>
          <w:rFonts w:hint="eastAsia" w:ascii="宋体" w:hAnsi="宋体" w:eastAsia="宋体"/>
        </w:rPr>
        <w:t>的有关规定。</w:t>
      </w:r>
    </w:p>
    <w:p>
      <w:pPr>
        <w:pStyle w:val="65"/>
        <w:spacing w:before="156" w:after="156"/>
        <w:outlineLvl w:val="9"/>
        <w:rPr>
          <w:rFonts w:ascii="宋体" w:hAnsi="宋体" w:eastAsia="宋体"/>
        </w:rPr>
      </w:pPr>
      <w:r>
        <w:rPr>
          <w:rFonts w:hint="eastAsia" w:ascii="宋体" w:hAnsi="宋体" w:eastAsia="宋体"/>
        </w:rPr>
        <w:t>施工阶段桁架预制板下方临时支撑布置应满足本文件附录</w:t>
      </w:r>
      <w:r>
        <w:rPr>
          <w:rFonts w:ascii="Times New Roman" w:eastAsia="宋体"/>
        </w:rPr>
        <w:t>C</w:t>
      </w:r>
      <w:r>
        <w:rPr>
          <w:rFonts w:hint="eastAsia" w:ascii="宋体" w:hAnsi="宋体" w:eastAsia="宋体"/>
        </w:rPr>
        <w:t xml:space="preserve">的有关要求，并应符合下列规定： </w:t>
      </w:r>
    </w:p>
    <w:p>
      <w:pPr>
        <w:pStyle w:val="174"/>
        <w:numPr>
          <w:ilvl w:val="0"/>
          <w:numId w:val="40"/>
        </w:numPr>
      </w:pPr>
      <w:r>
        <w:rPr>
          <w:rFonts w:hint="eastAsia"/>
        </w:rPr>
        <w:t xml:space="preserve">桁架预制板两端应支承于支座构件或临时支撑上； </w:t>
      </w:r>
    </w:p>
    <w:p>
      <w:pPr>
        <w:pStyle w:val="174"/>
      </w:pPr>
      <w:r>
        <w:rPr>
          <w:rFonts w:hint="eastAsia"/>
        </w:rPr>
        <w:t>当桁架预制板跨中不加临时支撑时，应按现行国家标准《混凝土结构</w:t>
      </w:r>
      <w:r>
        <w:rPr>
          <w:rFonts w:ascii="Times New Roman"/>
        </w:rPr>
        <w:t>设计规范》GB 50010</w:t>
      </w:r>
      <w:r>
        <w:rPr>
          <w:rFonts w:hint="eastAsia"/>
        </w:rPr>
        <w:t>的有关规定对桁架叠合板进行二阶段受力计算。</w:t>
      </w:r>
    </w:p>
    <w:p>
      <w:pPr>
        <w:pStyle w:val="65"/>
        <w:spacing w:before="156" w:after="156"/>
        <w:outlineLvl w:val="9"/>
        <w:rPr>
          <w:rFonts w:ascii="宋体" w:hAnsi="宋体" w:eastAsia="宋体"/>
        </w:rPr>
      </w:pPr>
      <w:r>
        <w:rPr>
          <w:rFonts w:hint="eastAsia" w:ascii="宋体" w:hAnsi="宋体" w:eastAsia="宋体"/>
        </w:rPr>
        <w:t>桁架叠合板正常使用极限状态下的验算应符合现行国家标准《混凝土结构设计规范</w:t>
      </w:r>
      <w:r>
        <w:rPr>
          <w:rFonts w:ascii="Times New Roman" w:eastAsia="宋体"/>
        </w:rPr>
        <w:t>》GB 50010</w:t>
      </w:r>
      <w:r>
        <w:rPr>
          <w:rFonts w:hint="eastAsia" w:ascii="宋体" w:hAnsi="宋体" w:eastAsia="宋体"/>
        </w:rPr>
        <w:t xml:space="preserve"> 的有关规定。</w:t>
      </w:r>
    </w:p>
    <w:p>
      <w:pPr>
        <w:pStyle w:val="65"/>
        <w:spacing w:before="156" w:after="156"/>
        <w:outlineLvl w:val="9"/>
        <w:rPr>
          <w:rFonts w:ascii="宋体" w:hAnsi="宋体" w:eastAsia="宋体"/>
        </w:rPr>
      </w:pPr>
      <w:r>
        <w:rPr>
          <w:rFonts w:hint="eastAsia" w:ascii="宋体" w:hAnsi="宋体" w:eastAsia="宋体"/>
        </w:rPr>
        <w:t>桁架叠合板的正截面受弯承载力应符合现行国家标准《混凝土结构设计规范》</w:t>
      </w:r>
      <w:r>
        <w:rPr>
          <w:rFonts w:ascii="Times New Roman" w:eastAsia="宋体"/>
        </w:rPr>
        <w:t>GB 50010</w:t>
      </w:r>
      <w:r>
        <w:rPr>
          <w:rFonts w:hint="eastAsia" w:ascii="宋体" w:hAnsi="宋体" w:eastAsia="宋体"/>
        </w:rPr>
        <w:t xml:space="preserve">的有关规定，并应符合下列规定： </w:t>
      </w:r>
    </w:p>
    <w:p>
      <w:pPr>
        <w:pStyle w:val="174"/>
        <w:numPr>
          <w:ilvl w:val="0"/>
          <w:numId w:val="41"/>
        </w:numPr>
      </w:pPr>
      <w:r>
        <w:rPr>
          <w:rFonts w:hint="eastAsia"/>
        </w:rPr>
        <w:t xml:space="preserve">当桁架预制板与后浇叠合层的混凝土强度等级不相同时，应按受压区位置处混凝土的强度等级计算受弯承载力； </w:t>
      </w:r>
    </w:p>
    <w:p>
      <w:pPr>
        <w:pStyle w:val="174"/>
      </w:pPr>
      <w:r>
        <w:rPr>
          <w:rFonts w:hint="eastAsia"/>
        </w:rPr>
        <w:t>整体式接缝处的受弯承载力不应低于接缝处的设计弯矩。</w:t>
      </w:r>
    </w:p>
    <w:p>
      <w:pPr>
        <w:pStyle w:val="105"/>
        <w:spacing w:before="156" w:after="156"/>
      </w:pPr>
      <w:bookmarkStart w:id="88" w:name="_Toc69916883"/>
      <w:bookmarkStart w:id="89" w:name="_Toc69885195"/>
      <w:r>
        <w:rPr>
          <w:rFonts w:hint="eastAsia"/>
        </w:rPr>
        <w:t>板缝节点设计及构造</w:t>
      </w:r>
      <w:bookmarkEnd w:id="88"/>
      <w:bookmarkEnd w:id="89"/>
    </w:p>
    <w:p>
      <w:pPr>
        <w:pStyle w:val="65"/>
        <w:spacing w:before="156" w:after="156"/>
        <w:outlineLvl w:val="9"/>
        <w:rPr>
          <w:rFonts w:ascii="宋体" w:hAnsi="宋体" w:eastAsia="宋体"/>
        </w:rPr>
      </w:pPr>
      <w:r>
        <w:rPr>
          <w:rFonts w:hint="eastAsia" w:ascii="宋体" w:hAnsi="宋体" w:eastAsia="宋体"/>
        </w:rPr>
        <w:t>桁架预制板之间采用后浇带式整体接缝连接时，后浇带宽度不宜小于</w:t>
      </w:r>
      <w:r>
        <w:rPr>
          <w:rFonts w:ascii="Times New Roman" w:eastAsia="宋体"/>
        </w:rPr>
        <w:t>200mm</w:t>
      </w:r>
      <w:r>
        <w:rPr>
          <w:rFonts w:hint="eastAsia" w:ascii="宋体" w:hAnsi="宋体" w:eastAsia="宋体"/>
        </w:rPr>
        <w:t>，并应符合下列规定：</w:t>
      </w:r>
    </w:p>
    <w:p>
      <w:pPr>
        <w:pStyle w:val="94"/>
        <w:spacing w:before="156" w:after="156"/>
        <w:ind w:left="0"/>
        <w:outlineLvl w:val="9"/>
        <w:rPr>
          <w:rFonts w:ascii="宋体" w:hAnsi="宋体" w:eastAsia="宋体"/>
        </w:rPr>
      </w:pPr>
      <w:r>
        <w:rPr>
          <w:rFonts w:hint="eastAsia" w:ascii="宋体" w:hAnsi="宋体" w:eastAsia="宋体"/>
        </w:rPr>
        <w:t>后浇带两侧板底纵向受力钢筋可在后浇带中焊接或搭接连接。</w:t>
      </w:r>
    </w:p>
    <w:p>
      <w:pPr>
        <w:pStyle w:val="94"/>
        <w:spacing w:before="156" w:after="156"/>
        <w:ind w:left="0"/>
        <w:outlineLvl w:val="9"/>
        <w:rPr>
          <w:rFonts w:ascii="宋体" w:hAnsi="宋体" w:eastAsia="宋体"/>
        </w:rPr>
      </w:pPr>
      <w:r>
        <w:rPr>
          <w:rFonts w:hint="eastAsia" w:ascii="宋体" w:hAnsi="宋体" w:eastAsia="宋体"/>
        </w:rPr>
        <w:t>后浇带两侧板底纵向受力钢筋在后浇带中焊接连接时，应符合现行行业标准《钢筋焊接及验收文件》</w:t>
      </w:r>
      <w:r>
        <w:rPr>
          <w:rFonts w:ascii="Times New Roman" w:eastAsia="宋体"/>
        </w:rPr>
        <w:t>JGJ 18</w:t>
      </w:r>
      <w:r>
        <w:rPr>
          <w:rFonts w:hint="eastAsia" w:ascii="宋体" w:hAnsi="宋体" w:eastAsia="宋体"/>
        </w:rPr>
        <w:t>的有关规定。</w:t>
      </w:r>
    </w:p>
    <w:p>
      <w:pPr>
        <w:pStyle w:val="94"/>
        <w:spacing w:before="156" w:after="156"/>
        <w:ind w:left="0"/>
        <w:outlineLvl w:val="9"/>
        <w:rPr>
          <w:rFonts w:ascii="宋体" w:hAnsi="宋体" w:eastAsia="宋体"/>
        </w:rPr>
      </w:pPr>
      <w:r>
        <w:rPr>
          <w:rFonts w:hint="eastAsia" w:ascii="宋体" w:hAnsi="宋体" w:eastAsia="宋体"/>
        </w:rPr>
        <w:t>后浇带两侧板底纵向受力钢筋在后浇带中搭接连</w:t>
      </w:r>
      <w:r>
        <w:rPr>
          <w:rFonts w:ascii="Times New Roman" w:eastAsia="宋体"/>
        </w:rPr>
        <w:t>接时（图5），应符</w:t>
      </w:r>
      <w:r>
        <w:rPr>
          <w:rFonts w:hint="eastAsia" w:ascii="宋体" w:hAnsi="宋体" w:eastAsia="宋体"/>
        </w:rPr>
        <w:t xml:space="preserve">合下列规定： </w:t>
      </w:r>
    </w:p>
    <w:p>
      <w:pPr>
        <w:pStyle w:val="174"/>
        <w:numPr>
          <w:ilvl w:val="0"/>
          <w:numId w:val="42"/>
        </w:numPr>
      </w:pPr>
      <w:r>
        <w:rPr>
          <w:rFonts w:hint="eastAsia"/>
        </w:rPr>
        <w:t>接缝处板底外伸钢筋的锚固长度</w:t>
      </w:r>
      <w:r>
        <w:rPr>
          <w:rFonts w:ascii="Times New Roman"/>
          <w:i/>
        </w:rPr>
        <w:t>l</w:t>
      </w:r>
      <w:r>
        <w:rPr>
          <w:rFonts w:ascii="Times New Roman"/>
          <w:vertAlign w:val="subscript"/>
        </w:rPr>
        <w:t>a</w:t>
      </w:r>
      <w:r>
        <w:rPr>
          <w:rFonts w:hint="eastAsia"/>
        </w:rPr>
        <w:t>、搭接长度</w:t>
      </w:r>
      <w:r>
        <w:rPr>
          <w:rFonts w:ascii="Times New Roman"/>
          <w:i/>
        </w:rPr>
        <w:t>l</w:t>
      </w:r>
      <w:r>
        <w:rPr>
          <w:rFonts w:ascii="Times New Roman"/>
          <w:vertAlign w:val="subscript"/>
        </w:rPr>
        <w:t>l</w:t>
      </w:r>
      <w:r>
        <w:rPr>
          <w:rFonts w:hint="eastAsia"/>
        </w:rPr>
        <w:t>和端部弯钩构造应符合现行国家标准《混凝土结构设计规范》</w:t>
      </w:r>
      <w:r>
        <w:rPr>
          <w:rFonts w:ascii="Times New Roman"/>
        </w:rPr>
        <w:t>GB 50010</w:t>
      </w:r>
      <w:r>
        <w:rPr>
          <w:rFonts w:hint="eastAsia"/>
        </w:rPr>
        <w:t>的有关规定；</w:t>
      </w:r>
    </w:p>
    <w:p>
      <w:pPr>
        <w:pStyle w:val="174"/>
        <w:rPr>
          <w:rFonts w:ascii="Times New Roman"/>
        </w:rPr>
      </w:pPr>
      <w:r>
        <w:rPr>
          <w:rFonts w:hint="eastAsia"/>
        </w:rPr>
        <w:t>桁架预制板板底外伸钢筋可为直线形</w:t>
      </w:r>
      <w:r>
        <w:rPr>
          <w:rFonts w:ascii="Times New Roman"/>
        </w:rPr>
        <w:t>（图5a），也可采用端部带90°或135°弯钩的锚固形式（图5b、图5c）；当外伸钢筋端部带弯钩时，接缝处的直线段钢筋搭接长度可取为钢筋的锚固长度</w:t>
      </w:r>
      <w:r>
        <w:rPr>
          <w:rFonts w:ascii="Times New Roman"/>
          <w:i/>
        </w:rPr>
        <w:t>l</w:t>
      </w:r>
      <w:r>
        <w:rPr>
          <w:rFonts w:ascii="Times New Roman"/>
          <w:vertAlign w:val="subscript"/>
        </w:rPr>
        <w:t>a</w:t>
      </w:r>
      <w:r>
        <w:rPr>
          <w:rFonts w:ascii="Times New Roman"/>
        </w:rPr>
        <w:t>，且在确定</w:t>
      </w:r>
      <w:r>
        <w:rPr>
          <w:rFonts w:ascii="Times New Roman"/>
          <w:i/>
        </w:rPr>
        <w:t>l</w:t>
      </w:r>
      <w:r>
        <w:rPr>
          <w:rFonts w:ascii="Times New Roman"/>
          <w:vertAlign w:val="subscript"/>
        </w:rPr>
        <w:t>a</w:t>
      </w:r>
      <w:r>
        <w:rPr>
          <w:rFonts w:ascii="Times New Roman"/>
        </w:rPr>
        <w:t>时，锚固长度修正系数不应小于1.0</w:t>
      </w:r>
      <w:r>
        <w:rPr>
          <w:rFonts w:hint="eastAsia" w:ascii="Times New Roman"/>
        </w:rPr>
        <w:t>；</w:t>
      </w:r>
    </w:p>
    <w:p>
      <w:pPr>
        <w:pStyle w:val="174"/>
      </w:pPr>
      <w:r>
        <w:rPr>
          <w:rFonts w:hint="eastAsia"/>
        </w:rPr>
        <w:t>设计后浇带宽度</w:t>
      </w:r>
      <w:r>
        <w:rPr>
          <w:rFonts w:ascii="Times New Roman"/>
          <w:i/>
        </w:rPr>
        <w:t>l</w:t>
      </w:r>
      <w:r>
        <w:rPr>
          <w:rFonts w:ascii="Times New Roman"/>
          <w:vertAlign w:val="subscript"/>
        </w:rPr>
        <w:t>h</w:t>
      </w:r>
      <w:r>
        <w:rPr>
          <w:rFonts w:hint="eastAsia"/>
        </w:rPr>
        <w:t>时，应计入钢筋下料长度、构件安装位置等施工偏差的影响，每侧预留的施工偏差不应小于</w:t>
      </w:r>
      <w:r>
        <w:rPr>
          <w:rFonts w:ascii="Times New Roman"/>
        </w:rPr>
        <w:t>10mm。</w:t>
      </w:r>
    </w:p>
    <w:p>
      <w:pPr>
        <w:pStyle w:val="174"/>
        <w:numPr>
          <w:ilvl w:val="0"/>
          <w:numId w:val="0"/>
        </w:numPr>
        <w:ind w:left="851"/>
      </w:pPr>
    </w:p>
    <w:p>
      <w:pPr>
        <w:pStyle w:val="56"/>
        <w:ind w:firstLine="0" w:firstLineChars="0"/>
        <w:jc w:val="center"/>
      </w:pPr>
      <w:r>
        <w:drawing>
          <wp:inline distT="0" distB="0" distL="0" distR="0">
            <wp:extent cx="2914015" cy="971550"/>
            <wp:effectExtent l="0" t="0" r="63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914015" cy="971550"/>
                    </a:xfrm>
                    <a:prstGeom prst="rect">
                      <a:avLst/>
                    </a:prstGeom>
                    <a:noFill/>
                  </pic:spPr>
                </pic:pic>
              </a:graphicData>
            </a:graphic>
          </wp:inline>
        </w:drawing>
      </w:r>
    </w:p>
    <w:p>
      <w:pPr>
        <w:pStyle w:val="56"/>
        <w:ind w:firstLine="0" w:firstLineChars="0"/>
        <w:jc w:val="center"/>
        <w:rPr>
          <w:rFonts w:ascii="黑体" w:hAnsi="黑体" w:eastAsia="黑体"/>
          <w:sz w:val="18"/>
          <w:szCs w:val="18"/>
        </w:rPr>
      </w:pPr>
      <w:r>
        <w:rPr>
          <w:rFonts w:hint="eastAsia" w:ascii="黑体" w:hAnsi="黑体" w:eastAsia="黑体"/>
          <w:sz w:val="18"/>
          <w:szCs w:val="18"/>
        </w:rPr>
        <w:t>（a）板底纵筋直线搭接</w:t>
      </w:r>
    </w:p>
    <w:p>
      <w:pPr>
        <w:pStyle w:val="56"/>
        <w:ind w:firstLine="0" w:firstLineChars="0"/>
        <w:jc w:val="center"/>
      </w:pPr>
      <w:r>
        <w:drawing>
          <wp:inline distT="0" distB="0" distL="0" distR="0">
            <wp:extent cx="3409315" cy="1133475"/>
            <wp:effectExtent l="0" t="0" r="635"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3409315" cy="1133475"/>
                    </a:xfrm>
                    <a:prstGeom prst="rect">
                      <a:avLst/>
                    </a:prstGeom>
                    <a:noFill/>
                  </pic:spPr>
                </pic:pic>
              </a:graphicData>
            </a:graphic>
          </wp:inline>
        </w:drawing>
      </w:r>
    </w:p>
    <w:p>
      <w:pPr>
        <w:pStyle w:val="56"/>
        <w:ind w:firstLine="0" w:firstLineChars="0"/>
        <w:jc w:val="center"/>
      </w:pPr>
      <w:r>
        <w:rPr>
          <w:rFonts w:hint="eastAsia" w:ascii="黑体" w:hAnsi="黑体" w:eastAsia="黑体"/>
          <w:kern w:val="2"/>
          <w:sz w:val="18"/>
          <w:szCs w:val="21"/>
        </w:rPr>
        <w:t>（b）板底纵筋末端带 90°弯钩搭接</w:t>
      </w:r>
    </w:p>
    <w:p>
      <w:pPr>
        <w:pStyle w:val="56"/>
        <w:ind w:firstLine="0" w:firstLineChars="0"/>
        <w:jc w:val="center"/>
      </w:pPr>
      <w:r>
        <w:drawing>
          <wp:inline distT="0" distB="0" distL="0" distR="0">
            <wp:extent cx="3371215" cy="1123950"/>
            <wp:effectExtent l="0" t="0" r="63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3371215" cy="1123950"/>
                    </a:xfrm>
                    <a:prstGeom prst="rect">
                      <a:avLst/>
                    </a:prstGeom>
                    <a:noFill/>
                  </pic:spPr>
                </pic:pic>
              </a:graphicData>
            </a:graphic>
          </wp:inline>
        </w:drawing>
      </w:r>
    </w:p>
    <w:p>
      <w:pPr>
        <w:pStyle w:val="56"/>
        <w:ind w:firstLine="0" w:firstLineChars="0"/>
        <w:jc w:val="center"/>
        <w:rPr>
          <w:rFonts w:ascii="黑体" w:hAnsi="黑体" w:eastAsia="黑体"/>
          <w:sz w:val="18"/>
          <w:szCs w:val="18"/>
        </w:rPr>
      </w:pPr>
      <w:r>
        <w:rPr>
          <w:rFonts w:hint="eastAsia" w:ascii="黑体" w:hAnsi="黑体" w:eastAsia="黑体"/>
          <w:sz w:val="18"/>
          <w:szCs w:val="18"/>
        </w:rPr>
        <w:t>（c）板底纵筋末端带 135°弯钩搭接</w:t>
      </w:r>
    </w:p>
    <w:p>
      <w:pPr>
        <w:pStyle w:val="114"/>
        <w:spacing w:before="156" w:after="156"/>
      </w:pPr>
      <w:r>
        <w:rPr>
          <w:rFonts w:hint="eastAsia"/>
        </w:rPr>
        <w:t>双向叠合板后浇带接缝构造示意</w:t>
      </w:r>
    </w:p>
    <w:p>
      <w:pPr>
        <w:pStyle w:val="94"/>
        <w:spacing w:before="156" w:after="156"/>
        <w:ind w:left="0"/>
        <w:outlineLvl w:val="9"/>
        <w:rPr>
          <w:rFonts w:ascii="宋体" w:hAnsi="宋体" w:eastAsia="宋体"/>
        </w:rPr>
      </w:pPr>
      <w:r>
        <w:rPr>
          <w:rFonts w:hint="eastAsia" w:ascii="宋体" w:hAnsi="宋体" w:eastAsia="宋体"/>
        </w:rPr>
        <w:t>接缝处顺缝板底纵筋的配筋率不应小于板缝两侧预制板板底配筋率的较大值。</w:t>
      </w:r>
    </w:p>
    <w:p>
      <w:pPr>
        <w:pStyle w:val="65"/>
        <w:spacing w:before="156" w:after="156"/>
        <w:outlineLvl w:val="9"/>
        <w:rPr>
          <w:rFonts w:ascii="宋体" w:hAnsi="宋体" w:eastAsia="宋体"/>
        </w:rPr>
      </w:pPr>
      <w:r>
        <w:rPr>
          <w:rFonts w:hint="eastAsia" w:ascii="宋体" w:hAnsi="宋体" w:eastAsia="宋体"/>
        </w:rPr>
        <w:t>桁架预制板之间采用密拼式整体接缝连</w:t>
      </w:r>
      <w:r>
        <w:rPr>
          <w:rFonts w:ascii="Times New Roman" w:eastAsia="宋体"/>
        </w:rPr>
        <w:t>接时（图6）</w:t>
      </w:r>
      <w:r>
        <w:rPr>
          <w:rFonts w:hint="eastAsia" w:ascii="宋体" w:hAnsi="宋体" w:eastAsia="宋体"/>
        </w:rPr>
        <w:t>，应符合下列规定：</w:t>
      </w:r>
    </w:p>
    <w:p>
      <w:pPr>
        <w:pStyle w:val="174"/>
        <w:numPr>
          <w:ilvl w:val="0"/>
          <w:numId w:val="43"/>
        </w:numPr>
        <w:rPr>
          <w:rFonts w:ascii="Times New Roman"/>
        </w:rPr>
      </w:pPr>
      <w:r>
        <w:rPr>
          <w:rFonts w:hint="eastAsia"/>
        </w:rPr>
        <w:t>后浇混凝土叠合层厚度不宜小于桁架预制板</w:t>
      </w:r>
      <w:r>
        <w:rPr>
          <w:rFonts w:ascii="Times New Roman"/>
        </w:rPr>
        <w:t>厚度的1.5倍，且不应小于75mm</w:t>
      </w:r>
      <w:r>
        <w:rPr>
          <w:rFonts w:hint="eastAsia" w:ascii="Times New Roman"/>
        </w:rPr>
        <w:t>；</w:t>
      </w:r>
    </w:p>
    <w:p>
      <w:pPr>
        <w:pStyle w:val="174"/>
        <w:rPr>
          <w:rFonts w:ascii="Times New Roman"/>
        </w:rPr>
      </w:pPr>
      <w:r>
        <w:rPr>
          <w:rFonts w:ascii="Times New Roman"/>
        </w:rPr>
        <w:t>接缝处应设置垂直于接缝的搭接钢筋，搭接钢筋总受拉承载力设计值不应小于桁架预制板底纵向钢筋总受拉承载力设计值，直径不应小于8mm，且不应大于14mm；接缝处搭接钢筋与桁架预制板底板纵向钢筋对应布置，搭接长度不应小于1.6</w:t>
      </w:r>
      <w:r>
        <w:rPr>
          <w:rFonts w:ascii="Times New Roman"/>
          <w:i/>
        </w:rPr>
        <w:t>l</w:t>
      </w:r>
      <w:r>
        <w:rPr>
          <w:rFonts w:ascii="Times New Roman"/>
          <w:vertAlign w:val="subscript"/>
        </w:rPr>
        <w:t>a</w:t>
      </w:r>
      <w:r>
        <w:rPr>
          <w:rFonts w:ascii="Times New Roman"/>
        </w:rPr>
        <w:t>（</w:t>
      </w:r>
      <w:r>
        <w:rPr>
          <w:rFonts w:ascii="Times New Roman"/>
          <w:i/>
        </w:rPr>
        <w:t>l</w:t>
      </w:r>
      <w:r>
        <w:rPr>
          <w:rFonts w:ascii="Times New Roman"/>
          <w:vertAlign w:val="subscript"/>
        </w:rPr>
        <w:t>a</w:t>
      </w:r>
      <w:r>
        <w:rPr>
          <w:rFonts w:ascii="Times New Roman"/>
        </w:rPr>
        <w:t>为按较小直径钢筋计算的受拉钢筋锚固长度），且搭接长度应从距离接缝最近一道钢筋桁架的腹杆钢筋与下弦钢筋交点起算</w:t>
      </w:r>
      <w:r>
        <w:rPr>
          <w:rFonts w:hint="eastAsia" w:ascii="Times New Roman"/>
        </w:rPr>
        <w:t>；</w:t>
      </w:r>
      <w:r>
        <w:rPr>
          <w:rFonts w:ascii="Times New Roman"/>
        </w:rPr>
        <w:t xml:space="preserve"> </w:t>
      </w:r>
    </w:p>
    <w:p>
      <w:pPr>
        <w:pStyle w:val="174"/>
        <w:rPr>
          <w:rFonts w:ascii="Times New Roman"/>
        </w:rPr>
      </w:pPr>
      <w:r>
        <w:rPr>
          <w:rFonts w:ascii="Times New Roman"/>
        </w:rPr>
        <w:t>垂直于搭接钢筋的方向应布置横向分布钢筋，在搭接范围内不宜少于2根，且钢筋直径不宜小于6mm，间距不宜大于250mm</w:t>
      </w:r>
      <w:r>
        <w:rPr>
          <w:rFonts w:hint="eastAsia" w:ascii="Times New Roman"/>
        </w:rPr>
        <w:t>；</w:t>
      </w:r>
      <w:r>
        <w:rPr>
          <w:rFonts w:ascii="Times New Roman"/>
        </w:rPr>
        <w:t xml:space="preserve"> </w:t>
      </w:r>
    </w:p>
    <w:p>
      <w:pPr>
        <w:pStyle w:val="174"/>
        <w:rPr>
          <w:rFonts w:ascii="Times New Roman"/>
        </w:rPr>
      </w:pPr>
      <w:r>
        <w:rPr>
          <w:rFonts w:ascii="Times New Roman"/>
        </w:rPr>
        <w:t>接缝处的钢筋桁架应平行于接缝布置，在一侧纵向钢筋的搭接范围内，应设置不少于2道钢筋桁架，且上弦钢筋的间距不宜大于桁架叠合板板厚的2倍，且不宜大于400mm；靠近接缝的桁架上弦钢筋到桁架预制板接缝边的距离不宜大于桁架叠合板板厚，且不宜大于200mm</w:t>
      </w:r>
      <w:r>
        <w:rPr>
          <w:rFonts w:hint="eastAsia" w:ascii="Times New Roman"/>
        </w:rPr>
        <w:t>；</w:t>
      </w:r>
      <w:r>
        <w:rPr>
          <w:rFonts w:ascii="Times New Roman"/>
        </w:rPr>
        <w:t xml:space="preserve"> </w:t>
      </w:r>
    </w:p>
    <w:p>
      <w:pPr>
        <w:pStyle w:val="174"/>
        <w:rPr>
          <w:rFonts w:ascii="Times New Roman"/>
        </w:rPr>
      </w:pPr>
      <w:r>
        <w:rPr>
          <w:rFonts w:ascii="Times New Roman"/>
        </w:rPr>
        <w:t>接缝两侧钢筋桁架的腹杆钢筋尚应符合本文件第6.3.3条的规定。</w:t>
      </w:r>
    </w:p>
    <w:p>
      <w:pPr>
        <w:pStyle w:val="174"/>
        <w:numPr>
          <w:ilvl w:val="0"/>
          <w:numId w:val="0"/>
        </w:numPr>
        <w:ind w:left="425"/>
        <w:jc w:val="center"/>
      </w:pPr>
      <w:r>
        <w:drawing>
          <wp:inline distT="0" distB="0" distL="0" distR="0">
            <wp:extent cx="3676015" cy="1638300"/>
            <wp:effectExtent l="0" t="0" r="63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3676015" cy="1638300"/>
                    </a:xfrm>
                    <a:prstGeom prst="rect">
                      <a:avLst/>
                    </a:prstGeom>
                    <a:noFill/>
                  </pic:spPr>
                </pic:pic>
              </a:graphicData>
            </a:graphic>
          </wp:inline>
        </w:drawing>
      </w:r>
    </w:p>
    <w:p>
      <w:pPr>
        <w:pStyle w:val="114"/>
        <w:spacing w:before="156" w:after="156"/>
      </w:pPr>
      <w:r>
        <w:rPr>
          <w:rFonts w:hint="eastAsia"/>
        </w:rPr>
        <w:t>钢筋桁架平行于接缝的构造示意</w:t>
      </w:r>
    </w:p>
    <w:p>
      <w:pPr>
        <w:pStyle w:val="114"/>
        <w:numPr>
          <w:ilvl w:val="0"/>
          <w:numId w:val="44"/>
        </w:numPr>
        <w:spacing w:before="156" w:after="156"/>
      </w:pPr>
      <w:r>
        <w:rPr>
          <w:rFonts w:hint="eastAsia"/>
        </w:rPr>
        <w:t>桁架预制板；2—后浇叠合层；3—钢筋桁架；4—接缝处的搭接钢筋；5—横向分布钢筋</w:t>
      </w:r>
    </w:p>
    <w:p>
      <w:pPr>
        <w:pStyle w:val="65"/>
        <w:spacing w:before="156" w:after="156"/>
        <w:outlineLvl w:val="9"/>
        <w:rPr>
          <w:rFonts w:ascii="宋体" w:hAnsi="宋体" w:eastAsia="宋体"/>
        </w:rPr>
      </w:pPr>
      <w:r>
        <w:rPr>
          <w:rFonts w:hint="eastAsia" w:ascii="宋体" w:hAnsi="宋体" w:eastAsia="宋体"/>
        </w:rPr>
        <w:t>密拼形式整体接缝，且钢筋桁架平行于接缝时，钢筋桁架的腹杆钢筋应符合下列规定：</w:t>
      </w:r>
    </w:p>
    <w:p>
      <w:pPr>
        <w:pStyle w:val="113"/>
      </w:pPr>
      <w:r>
        <w:tab/>
      </w:r>
      <m:oMath>
        <m:sSub>
          <m:sSubPr>
            <m:ctrlPr>
              <w:rPr>
                <w:rFonts w:ascii="Cambria Math" w:hAnsi="Cambria Math"/>
                <w:i/>
              </w:rPr>
            </m:ctrlPr>
          </m:sSubPr>
          <m:e>
            <m:r>
              <m:rPr/>
              <w:rPr>
                <w:rFonts w:ascii="Cambria Math" w:hAnsi="Cambria Math"/>
              </w:rPr>
              <m:t>F</m:t>
            </m:r>
            <m:ctrlPr>
              <w:rPr>
                <w:rFonts w:ascii="Cambria Math" w:hAnsi="Cambria Math"/>
                <w:i/>
              </w:rPr>
            </m:ctrlPr>
          </m:e>
          <m:sub>
            <m:r>
              <m:rPr/>
              <w:rPr>
                <w:rFonts w:ascii="Cambria Math" w:hAnsi="Cambria Math"/>
              </w:rPr>
              <m:t>a</m:t>
            </m:r>
            <m:ctrlPr>
              <w:rPr>
                <w:rFonts w:ascii="Cambria Math" w:hAnsi="Cambria Math"/>
                <w:i/>
              </w:rPr>
            </m:ctrlPr>
          </m:sub>
        </m:sSub>
        <m:r>
          <m:rPr/>
          <w:rPr>
            <w:rFonts w:hint="eastAsia" w:ascii="Cambria Math" w:hAnsi="Cambria Math"/>
          </w:rPr>
          <m:t>≤n</m:t>
        </m:r>
        <m:sSub>
          <m:sSubPr>
            <m:ctrlPr>
              <w:rPr>
                <w:rFonts w:ascii="Cambria Math" w:hAnsi="Cambria Math"/>
                <w:i/>
              </w:rPr>
            </m:ctrlPr>
          </m:sSubPr>
          <m:e>
            <m:r>
              <m:rPr/>
              <w:rPr>
                <w:rFonts w:ascii="Cambria Math" w:hAnsi="Cambria Math"/>
              </w:rPr>
              <m:t>f</m:t>
            </m:r>
            <m:ctrlPr>
              <w:rPr>
                <w:rFonts w:ascii="Cambria Math" w:hAnsi="Cambria Math"/>
                <w:i/>
              </w:rPr>
            </m:ctrlPr>
          </m:e>
          <m:sub>
            <m:r>
              <m:rPr/>
              <w:rPr>
                <w:rFonts w:ascii="Cambria Math" w:hAnsi="Cambria Math"/>
              </w:rPr>
              <m:t>y</m:t>
            </m:r>
            <m:ctrlPr>
              <w:rPr>
                <w:rFonts w:ascii="Cambria Math" w:hAnsi="Cambria Math"/>
                <w:i/>
              </w:rPr>
            </m:ctrlPr>
          </m:sub>
        </m:sSub>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sv</m:t>
            </m:r>
            <m:ctrlPr>
              <w:rPr>
                <w:rFonts w:ascii="Cambria Math" w:hAnsi="Cambria Math"/>
                <w:i/>
              </w:rPr>
            </m:ctrlPr>
          </m:sub>
        </m:sSub>
        <m:r>
          <m:rPr/>
          <w:rPr>
            <w:rFonts w:hint="eastAsia" w:ascii="Cambria Math" w:hAnsi="Cambria Math"/>
          </w:rPr>
          <m:t>sinαsinβ</m:t>
        </m:r>
      </m:oMath>
      <w:r>
        <w:rPr>
          <w:rFonts w:ascii="微软雅黑" w:hAnsi="微软雅黑" w:eastAsia="微软雅黑"/>
        </w:rPr>
        <w:tab/>
      </w:r>
      <w:r>
        <w:rPr>
          <w:rFonts w:ascii="Times New Roman" w:hAnsi="Times New Roman"/>
        </w:rPr>
        <w:t>(1)</w:t>
      </w:r>
    </w:p>
    <w:tbl>
      <w:tblPr>
        <w:tblStyle w:val="26"/>
        <w:tblW w:w="5000" w:type="pct"/>
        <w:tblInd w:w="108" w:type="dxa"/>
        <w:tblLayout w:type="autofit"/>
        <w:tblCellMar>
          <w:top w:w="0" w:type="dxa"/>
          <w:left w:w="0" w:type="dxa"/>
          <w:bottom w:w="0" w:type="dxa"/>
          <w:right w:w="0" w:type="dxa"/>
        </w:tblCellMar>
      </w:tblPr>
      <w:tblGrid>
        <w:gridCol w:w="1122"/>
        <w:gridCol w:w="8232"/>
      </w:tblGrid>
      <w:tr>
        <w:tblPrEx>
          <w:tblCellMar>
            <w:top w:w="0" w:type="dxa"/>
            <w:left w:w="0" w:type="dxa"/>
            <w:bottom w:w="0" w:type="dxa"/>
            <w:right w:w="0" w:type="dxa"/>
          </w:tblCellMar>
        </w:tblPrEx>
        <w:trPr>
          <w:trHeight w:val="855" w:hRule="atLeast"/>
        </w:trPr>
        <w:tc>
          <w:tcPr>
            <w:tcW w:w="600" w:type="pct"/>
            <w:tcBorders>
              <w:top w:val="nil"/>
              <w:left w:val="nil"/>
              <w:bottom w:val="nil"/>
              <w:right w:val="nil"/>
            </w:tcBorders>
          </w:tcPr>
          <w:p>
            <w:pPr>
              <w:autoSpaceDE w:val="0"/>
              <w:autoSpaceDN w:val="0"/>
              <w:spacing w:line="360" w:lineRule="auto"/>
              <w:jc w:val="right"/>
              <w:rPr>
                <w:rFonts w:ascii="Times New Roman" w:hAnsi="Times New Roman"/>
                <w:kern w:val="0"/>
              </w:rPr>
            </w:pPr>
            <w:r>
              <w:rPr>
                <w:rFonts w:ascii="Times New Roman" w:hAnsi="Times New Roman"/>
                <w:kern w:val="0"/>
              </w:rPr>
              <w:t>式中：</w:t>
            </w:r>
            <w:r>
              <w:rPr>
                <w:rFonts w:ascii="Times New Roman" w:hAnsi="Times New Roman"/>
                <w:i/>
                <w:iCs/>
                <w:kern w:val="0"/>
                <w:position w:val="2"/>
              </w:rPr>
              <w:t>F</w:t>
            </w:r>
            <w:r>
              <w:rPr>
                <w:rFonts w:ascii="Times New Roman" w:hAnsi="Times New Roman"/>
                <w:kern w:val="0"/>
                <w:vertAlign w:val="subscript"/>
              </w:rPr>
              <w:t>a</w:t>
            </w:r>
          </w:p>
        </w:tc>
        <w:tc>
          <w:tcPr>
            <w:tcW w:w="4400" w:type="pct"/>
            <w:tcBorders>
              <w:top w:val="nil"/>
              <w:left w:val="nil"/>
              <w:bottom w:val="nil"/>
              <w:right w:val="nil"/>
            </w:tcBorders>
          </w:tcPr>
          <w:p>
            <w:pPr>
              <w:autoSpaceDE w:val="0"/>
              <w:autoSpaceDN w:val="0"/>
              <w:spacing w:line="360" w:lineRule="auto"/>
              <w:jc w:val="left"/>
              <w:rPr>
                <w:rFonts w:ascii="Times New Roman" w:hAnsi="Times New Roman"/>
                <w:kern w:val="0"/>
                <w:position w:val="2"/>
              </w:rPr>
            </w:pPr>
            <w:r>
              <w:rPr>
                <w:rFonts w:ascii="Times New Roman" w:hAnsi="Times New Roman"/>
                <w:kern w:val="0"/>
              </w:rPr>
              <w:t>——</w:t>
            </w:r>
            <w:r>
              <w:rPr>
                <w:rFonts w:ascii="宋体" w:hAnsi="宋体"/>
                <w:kern w:val="0"/>
              </w:rPr>
              <w:t>接缝处</w:t>
            </w:r>
            <w:r>
              <w:rPr>
                <w:rFonts w:hint="eastAsia" w:ascii="Times New Roman" w:hAnsi="Times New Roman"/>
                <w:kern w:val="0"/>
              </w:rPr>
              <w:t>纵向钢筋的拉力设计值</w:t>
            </w:r>
            <w:r>
              <w:rPr>
                <w:rFonts w:ascii="Times New Roman" w:hAnsi="Times New Roman"/>
                <w:kern w:val="0"/>
              </w:rPr>
              <w:t>（N）</w:t>
            </w:r>
            <w:r>
              <w:rPr>
                <w:rFonts w:hint="eastAsia" w:ascii="Times New Roman" w:hAnsi="Times New Roman"/>
                <w:kern w:val="0"/>
              </w:rPr>
              <w:t>，取桁架预制板纵筋和接缝处搭</w:t>
            </w:r>
            <w:r>
              <w:rPr>
                <w:rFonts w:ascii="Times New Roman" w:hAnsi="Times New Roman"/>
                <w:kern w:val="0"/>
              </w:rPr>
              <w:t>接钢筋受拉力的较小值， 即</w:t>
            </w:r>
            <w:r>
              <w:rPr>
                <w:rFonts w:ascii="Times New Roman" w:hAnsi="Times New Roman"/>
                <w:i/>
                <w:iCs/>
                <w:kern w:val="0"/>
                <w:position w:val="2"/>
              </w:rPr>
              <w:t>F</w:t>
            </w:r>
            <w:r>
              <w:rPr>
                <w:rFonts w:ascii="Times New Roman" w:hAnsi="Times New Roman"/>
                <w:kern w:val="0"/>
                <w:vertAlign w:val="subscript"/>
              </w:rPr>
              <w:t>a</w:t>
            </w:r>
            <w:r>
              <w:rPr>
                <w:rFonts w:ascii="Times New Roman" w:hAnsi="Times New Roman"/>
                <w:kern w:val="0"/>
                <w:position w:val="2"/>
              </w:rPr>
              <w:t>=min(</w:t>
            </w:r>
            <w:r>
              <w:rPr>
                <w:rFonts w:ascii="Times New Roman" w:hAnsi="Times New Roman"/>
                <w:i/>
                <w:iCs/>
                <w:kern w:val="0"/>
                <w:position w:val="2"/>
              </w:rPr>
              <w:t>f</w:t>
            </w:r>
            <w:r>
              <w:rPr>
                <w:rFonts w:ascii="Times New Roman" w:hAnsi="Times New Roman"/>
                <w:kern w:val="0"/>
                <w:vertAlign w:val="subscript"/>
              </w:rPr>
              <w:t>y</w:t>
            </w:r>
            <w:r>
              <w:rPr>
                <w:rFonts w:ascii="Times New Roman" w:hAnsi="Times New Roman"/>
                <w:i/>
                <w:iCs/>
                <w:kern w:val="0"/>
                <w:position w:val="2"/>
              </w:rPr>
              <w:t>A</w:t>
            </w:r>
            <w:r>
              <w:rPr>
                <w:rFonts w:ascii="Times New Roman" w:hAnsi="Times New Roman"/>
                <w:kern w:val="0"/>
                <w:vertAlign w:val="subscript"/>
              </w:rPr>
              <w:t>s1</w:t>
            </w:r>
            <w:r>
              <w:rPr>
                <w:rFonts w:ascii="Times New Roman" w:hAnsi="Times New Roman"/>
                <w:kern w:val="0"/>
                <w:position w:val="2"/>
              </w:rPr>
              <w:t>，</w:t>
            </w:r>
            <w:r>
              <w:rPr>
                <w:rFonts w:ascii="Times New Roman" w:hAnsi="Times New Roman"/>
                <w:i/>
                <w:iCs/>
                <w:kern w:val="0"/>
                <w:position w:val="2"/>
              </w:rPr>
              <w:t>f</w:t>
            </w:r>
            <w:r>
              <w:rPr>
                <w:rFonts w:ascii="Times New Roman" w:hAnsi="Times New Roman"/>
                <w:kern w:val="0"/>
                <w:vertAlign w:val="subscript"/>
              </w:rPr>
              <w:t>y</w:t>
            </w:r>
            <w:r>
              <w:rPr>
                <w:rFonts w:ascii="Times New Roman" w:hAnsi="Times New Roman"/>
                <w:i/>
                <w:iCs/>
                <w:kern w:val="0"/>
                <w:position w:val="2"/>
              </w:rPr>
              <w:t>A</w:t>
            </w:r>
            <w:r>
              <w:rPr>
                <w:rFonts w:ascii="Times New Roman" w:hAnsi="Times New Roman"/>
                <w:kern w:val="0"/>
                <w:vertAlign w:val="subscript"/>
              </w:rPr>
              <w:t>s2</w:t>
            </w:r>
            <w:r>
              <w:rPr>
                <w:rFonts w:ascii="Times New Roman" w:hAnsi="Times New Roman"/>
                <w:kern w:val="0"/>
                <w:position w:val="2"/>
              </w:rPr>
              <w:t>)</w:t>
            </w:r>
            <w:r>
              <w:rPr>
                <w:rFonts w:ascii="宋体" w:hAnsi="宋体"/>
                <w:kern w:val="0"/>
                <w:position w:val="2"/>
              </w:rPr>
              <w:t>；</w:t>
            </w:r>
          </w:p>
        </w:tc>
      </w:tr>
      <w:tr>
        <w:tblPrEx>
          <w:tblCellMar>
            <w:top w:w="0" w:type="dxa"/>
            <w:left w:w="0" w:type="dxa"/>
            <w:bottom w:w="0" w:type="dxa"/>
            <w:right w:w="0" w:type="dxa"/>
          </w:tblCellMar>
        </w:tblPrEx>
        <w:trPr>
          <w:trHeight w:val="456" w:hRule="atLeast"/>
        </w:trPr>
        <w:tc>
          <w:tcPr>
            <w:tcW w:w="600" w:type="pct"/>
            <w:tcBorders>
              <w:top w:val="nil"/>
              <w:left w:val="nil"/>
              <w:bottom w:val="nil"/>
              <w:right w:val="nil"/>
            </w:tcBorders>
          </w:tcPr>
          <w:p>
            <w:pPr>
              <w:autoSpaceDE w:val="0"/>
              <w:autoSpaceDN w:val="0"/>
              <w:spacing w:line="360" w:lineRule="auto"/>
              <w:jc w:val="right"/>
              <w:rPr>
                <w:rFonts w:ascii="Times New Roman" w:hAnsi="Times New Roman"/>
                <w:kern w:val="0"/>
              </w:rPr>
            </w:pPr>
            <w:r>
              <w:rPr>
                <w:rFonts w:ascii="Times New Roman" w:hAnsi="Times New Roman"/>
                <w:i/>
                <w:iCs/>
                <w:kern w:val="0"/>
                <w:position w:val="2"/>
              </w:rPr>
              <w:t>A</w:t>
            </w:r>
            <w:r>
              <w:rPr>
                <w:rFonts w:ascii="Times New Roman" w:hAnsi="Times New Roman"/>
                <w:kern w:val="0"/>
                <w:vertAlign w:val="subscript"/>
              </w:rPr>
              <w:t>s1</w:t>
            </w:r>
            <w:r>
              <w:rPr>
                <w:rFonts w:ascii="Times New Roman" w:hAnsi="Times New Roman"/>
                <w:kern w:val="0"/>
                <w:position w:val="2"/>
              </w:rPr>
              <w:t>、</w:t>
            </w:r>
            <w:r>
              <w:rPr>
                <w:rFonts w:ascii="Times New Roman" w:hAnsi="Times New Roman"/>
                <w:i/>
                <w:iCs/>
                <w:kern w:val="0"/>
                <w:position w:val="2"/>
              </w:rPr>
              <w:t>A</w:t>
            </w:r>
            <w:r>
              <w:rPr>
                <w:rFonts w:ascii="Times New Roman" w:hAnsi="Times New Roman"/>
                <w:kern w:val="0"/>
                <w:vertAlign w:val="subscript"/>
              </w:rPr>
              <w:t>s2</w:t>
            </w:r>
          </w:p>
        </w:tc>
        <w:tc>
          <w:tcPr>
            <w:tcW w:w="4400" w:type="pct"/>
            <w:tcBorders>
              <w:top w:val="nil"/>
              <w:left w:val="nil"/>
              <w:bottom w:val="nil"/>
              <w:right w:val="nil"/>
            </w:tcBorders>
          </w:tcPr>
          <w:p>
            <w:pPr>
              <w:autoSpaceDE w:val="0"/>
              <w:autoSpaceDN w:val="0"/>
              <w:spacing w:line="360" w:lineRule="auto"/>
              <w:jc w:val="left"/>
              <w:rPr>
                <w:rFonts w:ascii="Times New Roman" w:hAnsi="Times New Roman"/>
                <w:kern w:val="0"/>
              </w:rPr>
            </w:pPr>
            <w:r>
              <w:rPr>
                <w:rFonts w:ascii="Times New Roman" w:hAnsi="Times New Roman"/>
                <w:kern w:val="0"/>
              </w:rPr>
              <w:t>——</w:t>
            </w:r>
            <w:r>
              <w:rPr>
                <w:rFonts w:ascii="宋体" w:hAnsi="宋体"/>
                <w:kern w:val="0"/>
              </w:rPr>
              <w:t>分别为桁架预制板纵筋和接缝处搭接钢筋的面积</w:t>
            </w:r>
            <w:r>
              <w:rPr>
                <w:rFonts w:hint="eastAsia" w:ascii="Times New Roman" w:hAnsi="Times New Roman"/>
                <w:kern w:val="0"/>
              </w:rPr>
              <w:t>（m</w:t>
            </w:r>
            <w:r>
              <w:rPr>
                <w:rFonts w:ascii="Times New Roman" w:hAnsi="Times New Roman"/>
                <w:kern w:val="0"/>
              </w:rPr>
              <w:t>m</w:t>
            </w:r>
            <w:r>
              <w:rPr>
                <w:rFonts w:ascii="Times New Roman" w:hAnsi="Times New Roman"/>
                <w:kern w:val="0"/>
                <w:vertAlign w:val="superscript"/>
              </w:rPr>
              <w:t>2</w:t>
            </w:r>
            <w:r>
              <w:rPr>
                <w:rFonts w:hint="eastAsia" w:ascii="Times New Roman" w:hAnsi="Times New Roman"/>
                <w:kern w:val="0"/>
              </w:rPr>
              <w:t>）</w:t>
            </w:r>
            <w:r>
              <w:rPr>
                <w:rFonts w:ascii="Times New Roman" w:hAnsi="Times New Roman"/>
                <w:kern w:val="0"/>
              </w:rPr>
              <w:t>；</w:t>
            </w:r>
          </w:p>
        </w:tc>
      </w:tr>
      <w:tr>
        <w:tblPrEx>
          <w:tblCellMar>
            <w:top w:w="0" w:type="dxa"/>
            <w:left w:w="0" w:type="dxa"/>
            <w:bottom w:w="0" w:type="dxa"/>
            <w:right w:w="0" w:type="dxa"/>
          </w:tblCellMar>
        </w:tblPrEx>
        <w:trPr>
          <w:trHeight w:val="465" w:hRule="atLeast"/>
        </w:trPr>
        <w:tc>
          <w:tcPr>
            <w:tcW w:w="600" w:type="pct"/>
            <w:tcBorders>
              <w:top w:val="nil"/>
              <w:left w:val="nil"/>
              <w:bottom w:val="nil"/>
              <w:right w:val="nil"/>
            </w:tcBorders>
          </w:tcPr>
          <w:p>
            <w:pPr>
              <w:autoSpaceDE w:val="0"/>
              <w:autoSpaceDN w:val="0"/>
              <w:spacing w:line="360" w:lineRule="auto"/>
              <w:jc w:val="right"/>
              <w:rPr>
                <w:rFonts w:ascii="Times New Roman" w:hAnsi="Times New Roman"/>
                <w:kern w:val="0"/>
              </w:rPr>
            </w:pPr>
            <w:r>
              <w:rPr>
                <w:rFonts w:ascii="Times New Roman" w:hAnsi="Times New Roman"/>
                <w:i/>
                <w:iCs/>
                <w:kern w:val="0"/>
                <w:position w:val="2"/>
              </w:rPr>
              <w:t>A</w:t>
            </w:r>
            <w:r>
              <w:rPr>
                <w:rFonts w:ascii="Times New Roman" w:hAnsi="Times New Roman"/>
                <w:kern w:val="0"/>
                <w:vertAlign w:val="subscript"/>
              </w:rPr>
              <w:t>sv</w:t>
            </w:r>
          </w:p>
        </w:tc>
        <w:tc>
          <w:tcPr>
            <w:tcW w:w="4400" w:type="pct"/>
            <w:tcBorders>
              <w:top w:val="nil"/>
              <w:left w:val="nil"/>
              <w:bottom w:val="nil"/>
              <w:right w:val="nil"/>
            </w:tcBorders>
          </w:tcPr>
          <w:p>
            <w:pPr>
              <w:autoSpaceDE w:val="0"/>
              <w:autoSpaceDN w:val="0"/>
              <w:spacing w:line="360" w:lineRule="auto"/>
              <w:jc w:val="left"/>
              <w:rPr>
                <w:rFonts w:ascii="Times New Roman" w:hAnsi="Times New Roman"/>
                <w:kern w:val="0"/>
              </w:rPr>
            </w:pPr>
            <w:r>
              <w:rPr>
                <w:rFonts w:ascii="Times New Roman" w:hAnsi="Times New Roman"/>
                <w:kern w:val="0"/>
              </w:rPr>
              <w:t>——</w:t>
            </w:r>
            <w:r>
              <w:rPr>
                <w:rFonts w:ascii="宋体" w:hAnsi="宋体"/>
                <w:kern w:val="0"/>
              </w:rPr>
              <w:t>单根钢筋桁架的腹杆钢筋面积</w:t>
            </w:r>
            <w:r>
              <w:rPr>
                <w:rFonts w:hint="eastAsia" w:ascii="Times New Roman" w:hAnsi="Times New Roman"/>
                <w:kern w:val="0"/>
              </w:rPr>
              <w:t>（m</w:t>
            </w:r>
            <w:r>
              <w:rPr>
                <w:rFonts w:ascii="Times New Roman" w:hAnsi="Times New Roman"/>
                <w:kern w:val="0"/>
              </w:rPr>
              <w:t>m</w:t>
            </w:r>
            <w:r>
              <w:rPr>
                <w:rFonts w:ascii="Times New Roman" w:hAnsi="Times New Roman"/>
                <w:kern w:val="0"/>
                <w:vertAlign w:val="superscript"/>
              </w:rPr>
              <w:t>2</w:t>
            </w:r>
            <w:r>
              <w:rPr>
                <w:rFonts w:hint="eastAsia" w:ascii="Times New Roman" w:hAnsi="Times New Roman"/>
                <w:kern w:val="0"/>
              </w:rPr>
              <w:t>）</w:t>
            </w:r>
            <w:r>
              <w:rPr>
                <w:rFonts w:ascii="Times New Roman" w:hAnsi="Times New Roman"/>
                <w:kern w:val="0"/>
              </w:rPr>
              <w:t>；</w:t>
            </w:r>
          </w:p>
        </w:tc>
      </w:tr>
      <w:tr>
        <w:tblPrEx>
          <w:tblCellMar>
            <w:top w:w="0" w:type="dxa"/>
            <w:left w:w="0" w:type="dxa"/>
            <w:bottom w:w="0" w:type="dxa"/>
            <w:right w:w="0" w:type="dxa"/>
          </w:tblCellMar>
        </w:tblPrEx>
        <w:trPr>
          <w:trHeight w:val="233" w:hRule="atLeast"/>
        </w:trPr>
        <w:tc>
          <w:tcPr>
            <w:tcW w:w="600" w:type="pct"/>
            <w:tcBorders>
              <w:top w:val="nil"/>
              <w:left w:val="nil"/>
              <w:bottom w:val="nil"/>
              <w:right w:val="nil"/>
            </w:tcBorders>
          </w:tcPr>
          <w:p>
            <w:pPr>
              <w:autoSpaceDE w:val="0"/>
              <w:autoSpaceDN w:val="0"/>
              <w:spacing w:line="360" w:lineRule="auto"/>
              <w:jc w:val="right"/>
              <w:rPr>
                <w:rFonts w:ascii="Times New Roman" w:hAnsi="Times New Roman"/>
                <w:i/>
                <w:iCs/>
                <w:kern w:val="0"/>
              </w:rPr>
            </w:pPr>
            <w:r>
              <w:rPr>
                <w:rFonts w:ascii="Times New Roman" w:hAnsi="Times New Roman"/>
                <w:i/>
                <w:iCs/>
                <w:kern w:val="0"/>
              </w:rPr>
              <w:t>n</w:t>
            </w:r>
          </w:p>
        </w:tc>
        <w:tc>
          <w:tcPr>
            <w:tcW w:w="4400" w:type="pct"/>
            <w:tcBorders>
              <w:top w:val="nil"/>
              <w:left w:val="nil"/>
              <w:bottom w:val="nil"/>
              <w:right w:val="nil"/>
            </w:tcBorders>
          </w:tcPr>
          <w:p>
            <w:pPr>
              <w:autoSpaceDE w:val="0"/>
              <w:autoSpaceDN w:val="0"/>
              <w:spacing w:line="360" w:lineRule="auto"/>
              <w:jc w:val="left"/>
              <w:rPr>
                <w:rFonts w:ascii="Times New Roman" w:hAnsi="Times New Roman"/>
                <w:kern w:val="0"/>
              </w:rPr>
            </w:pPr>
            <w:r>
              <w:rPr>
                <w:rFonts w:ascii="Times New Roman" w:hAnsi="Times New Roman"/>
                <w:kern w:val="0"/>
              </w:rPr>
              <w:t>——</w:t>
            </w:r>
            <w:r>
              <w:rPr>
                <w:rFonts w:ascii="宋体" w:hAnsi="宋体"/>
                <w:kern w:val="0"/>
              </w:rPr>
              <w:t>接缝一侧搭接钢筋搭接范围内的钢筋桁架数量</w:t>
            </w:r>
            <w:r>
              <w:rPr>
                <w:rFonts w:hint="eastAsia" w:ascii="宋体" w:hAnsi="宋体"/>
                <w:kern w:val="0"/>
              </w:rPr>
              <w:t>。</w:t>
            </w:r>
          </w:p>
        </w:tc>
      </w:tr>
    </w:tbl>
    <w:p>
      <w:pPr>
        <w:pStyle w:val="56"/>
        <w:ind w:firstLine="0" w:firstLineChars="0"/>
        <w:jc w:val="center"/>
      </w:pPr>
      <w:r>
        <w:drawing>
          <wp:inline distT="0" distB="0" distL="0" distR="0">
            <wp:extent cx="3200400" cy="116649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3220335" cy="1174380"/>
                    </a:xfrm>
                    <a:prstGeom prst="rect">
                      <a:avLst/>
                    </a:prstGeom>
                    <a:noFill/>
                  </pic:spPr>
                </pic:pic>
              </a:graphicData>
            </a:graphic>
          </wp:inline>
        </w:drawing>
      </w:r>
    </w:p>
    <w:p>
      <w:pPr>
        <w:pStyle w:val="114"/>
        <w:spacing w:before="156" w:after="156"/>
      </w:pPr>
      <w:r>
        <w:rPr>
          <w:rFonts w:hint="eastAsia"/>
        </w:rPr>
        <w:t>钢筋桁架的几何参数</w:t>
      </w:r>
    </w:p>
    <w:p>
      <w:pPr>
        <w:pStyle w:val="114"/>
        <w:numPr>
          <w:ilvl w:val="0"/>
          <w:numId w:val="0"/>
        </w:numPr>
        <w:spacing w:before="156" w:after="156"/>
      </w:pPr>
      <w:r>
        <w:rPr>
          <w:rFonts w:hint="eastAsia"/>
        </w:rPr>
        <w:t>1—上弦钢筋；2—下弦钢筋；3—腹杆钢筋</w:t>
      </w:r>
    </w:p>
    <w:p>
      <w:pPr>
        <w:pStyle w:val="65"/>
        <w:spacing w:before="156" w:after="156"/>
        <w:outlineLvl w:val="9"/>
        <w:rPr>
          <w:rFonts w:ascii="宋体" w:hAnsi="宋体" w:eastAsia="宋体"/>
          <w:kern w:val="2"/>
          <w:szCs w:val="21"/>
        </w:rPr>
      </w:pPr>
      <w:r>
        <w:rPr>
          <w:rFonts w:hint="eastAsia" w:ascii="宋体" w:hAnsi="宋体" w:eastAsia="宋体"/>
        </w:rPr>
        <w:t>当采用密拼式整体接缝时，接缝处搭接钢筋在荷载效应准永久组合作用下的应力应符合下列要求：</w:t>
      </w:r>
    </w:p>
    <w:p>
      <w:pPr>
        <w:pStyle w:val="113"/>
      </w:pPr>
      <w:r>
        <w:tab/>
      </w:r>
      <m:oMath>
        <m:sSub>
          <w:bookmarkStart w:id="90" w:name="_Hlk69822739"/>
          <m:sSubPr>
            <m:ctrlPr>
              <w:rPr>
                <w:rFonts w:ascii="Cambria Math" w:hAnsi="Cambria Math"/>
                <w:i/>
              </w:rPr>
            </m:ctrlPr>
          </m:sSubPr>
          <m:e>
            <m:r>
              <m:rPr/>
              <w:rPr>
                <w:rFonts w:hint="eastAsia" w:ascii="Cambria Math" w:hAnsi="Cambria Math"/>
              </w:rPr>
              <m:t>σ</m:t>
            </m:r>
            <m:ctrlPr>
              <w:rPr>
                <w:rFonts w:ascii="Cambria Math" w:hAnsi="Cambria Math"/>
                <w:i/>
              </w:rPr>
            </m:ctrlPr>
          </m:e>
          <m:sub>
            <m:r>
              <m:rPr/>
              <w:rPr>
                <w:rFonts w:hint="eastAsia" w:ascii="Cambria Math" w:hAnsi="Cambria Math"/>
              </w:rPr>
              <m:t>sq</m:t>
            </m:r>
            <m:ctrlPr>
              <w:rPr>
                <w:rFonts w:ascii="Cambria Math" w:hAnsi="Cambria Math"/>
                <w:i/>
              </w:rPr>
            </m:ctrlPr>
          </m:sub>
        </m:sSub>
        <m:r>
          <m:rPr/>
          <w:rPr>
            <w:rFonts w:hint="eastAsia" w:ascii="Cambria Math" w:hAnsi="Cambria Math"/>
          </w:rPr>
          <m:t>≤</m:t>
        </m:r>
        <m:r>
          <m:rPr/>
          <w:rPr>
            <w:rFonts w:ascii="Cambria Math" w:hAnsi="Cambria Math"/>
          </w:rPr>
          <m:t>0.6</m:t>
        </m:r>
        <m:sSub>
          <m:sSubPr>
            <m:ctrlPr>
              <w:rPr>
                <w:rFonts w:ascii="Cambria Math" w:hAnsi="Cambria Math"/>
                <w:i/>
              </w:rPr>
            </m:ctrlPr>
          </m:sSubPr>
          <m:e>
            <m:r>
              <m:rPr/>
              <w:rPr>
                <w:rFonts w:hint="eastAsia" w:ascii="Cambria Math" w:hAnsi="Cambria Math"/>
              </w:rPr>
              <m:t>f</m:t>
            </m:r>
            <m:ctrlPr>
              <w:rPr>
                <w:rFonts w:ascii="Cambria Math" w:hAnsi="Cambria Math"/>
                <w:i/>
              </w:rPr>
            </m:ctrlPr>
          </m:e>
          <m:sub>
            <m:r>
              <m:rPr/>
              <w:rPr>
                <w:rFonts w:hint="eastAsia" w:ascii="Cambria Math" w:hAnsi="Cambria Math"/>
              </w:rPr>
              <m:t>yk</m:t>
            </m:r>
            <m:ctrlPr>
              <w:rPr>
                <w:rFonts w:ascii="Cambria Math" w:hAnsi="Cambria Math"/>
                <w:i/>
              </w:rPr>
            </m:ctrlPr>
          </m:sub>
        </m:sSub>
      </m:oMath>
      <w:r>
        <w:rPr>
          <w:rFonts w:ascii="微软雅黑" w:hAnsi="微软雅黑" w:eastAsia="微软雅黑"/>
        </w:rPr>
        <w:tab/>
      </w:r>
      <w:r>
        <w:rPr>
          <w:rFonts w:ascii="Times New Roman" w:hAnsi="Times New Roman"/>
        </w:rPr>
        <w:t>(2)</w:t>
      </w:r>
      <w:bookmarkEnd w:id="90"/>
    </w:p>
    <w:p>
      <w:pPr>
        <w:pStyle w:val="113"/>
        <w:rPr>
          <w:rFonts w:ascii="Times New Roman" w:hAnsi="Times New Roman"/>
        </w:rPr>
      </w:pPr>
      <w:r>
        <w:tab/>
      </w:r>
      <m:oMath>
        <m:sSub>
          <m:sSubPr>
            <m:ctrlPr>
              <w:rPr>
                <w:rFonts w:ascii="Cambria Math" w:hAnsi="Cambria Math"/>
                <w:i/>
              </w:rPr>
            </m:ctrlPr>
          </m:sSubPr>
          <m:e>
            <m:r>
              <m:rPr/>
              <w:rPr>
                <w:rFonts w:ascii="Cambria Math" w:hAnsi="Cambria Math"/>
              </w:rPr>
              <m:t>σ</m:t>
            </m:r>
            <m:ctrlPr>
              <w:rPr>
                <w:rFonts w:ascii="Cambria Math" w:hAnsi="Cambria Math"/>
                <w:i/>
              </w:rPr>
            </m:ctrlPr>
          </m:e>
          <m:sub>
            <m:r>
              <m:rPr/>
              <w:rPr>
                <w:rFonts w:hint="eastAsia" w:ascii="Cambria Math" w:hAnsi="Cambria Math"/>
              </w:rPr>
              <m:t>sq</m:t>
            </m:r>
            <m:ctrlPr>
              <w:rPr>
                <w:rFonts w:ascii="Cambria Math" w:hAnsi="Cambria Math"/>
                <w:i/>
              </w:rPr>
            </m:ctrlPr>
          </m:sub>
        </m:sSub>
        <m:r>
          <m:rPr/>
          <w:rPr>
            <w:rFonts w:hint="eastAsia"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M</m:t>
                </m:r>
                <m:ctrlPr>
                  <w:rPr>
                    <w:rFonts w:ascii="Cambria Math" w:hAnsi="Cambria Math"/>
                    <w:i/>
                  </w:rPr>
                </m:ctrlPr>
              </m:e>
              <m:sub>
                <m:r>
                  <m:rPr/>
                  <w:rPr>
                    <w:rFonts w:hint="eastAsia" w:ascii="Cambria Math" w:hAnsi="Cambria Math"/>
                  </w:rPr>
                  <m:t>q</m:t>
                </m:r>
                <m:ctrlPr>
                  <w:rPr>
                    <w:rFonts w:ascii="Cambria Math" w:hAnsi="Cambria Math"/>
                    <w:i/>
                  </w:rPr>
                </m:ctrlPr>
              </m:sub>
            </m:sSub>
            <m:ctrlPr>
              <w:rPr>
                <w:rFonts w:ascii="Cambria Math" w:hAnsi="Cambria Math"/>
                <w:i/>
              </w:rPr>
            </m:ctrlPr>
          </m:num>
          <m:den>
            <m:r>
              <m:rPr/>
              <w:rPr>
                <w:rFonts w:ascii="Cambria Math" w:hAnsi="Cambria Math"/>
              </w:rPr>
              <m:t>0.87</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s</m:t>
                </m:r>
                <m:ctrlPr>
                  <w:rPr>
                    <w:rFonts w:ascii="Cambria Math" w:hAnsi="Cambria Math"/>
                    <w:i/>
                  </w:rPr>
                </m:ctrlPr>
              </m:sub>
            </m:sSub>
            <m:sSub>
              <m:sSubPr>
                <m:ctrlPr>
                  <w:rPr>
                    <w:rFonts w:ascii="Cambria Math" w:hAnsi="Cambria Math"/>
                    <w:i/>
                  </w:rPr>
                </m:ctrlPr>
              </m:sSubPr>
              <m:e>
                <m:r>
                  <m:rPr/>
                  <w:rPr>
                    <w:rFonts w:ascii="Cambria Math" w:hAnsi="Cambria Math"/>
                  </w:rPr>
                  <m:t>ℎ</m:t>
                </m:r>
                <m:ctrlPr>
                  <w:rPr>
                    <w:rFonts w:ascii="Cambria Math" w:hAnsi="Cambria Math"/>
                    <w:i/>
                  </w:rPr>
                </m:ctrlPr>
              </m:e>
              <m:sub>
                <m:r>
                  <m:rPr/>
                  <w:rPr>
                    <w:rFonts w:ascii="Cambria Math" w:hAnsi="Cambria Math"/>
                  </w:rPr>
                  <m:t>20</m:t>
                </m:r>
                <m:ctrlPr>
                  <w:rPr>
                    <w:rFonts w:ascii="Cambria Math" w:hAnsi="Cambria Math"/>
                    <w:i/>
                  </w:rPr>
                </m:ctrlPr>
              </m:sub>
            </m:sSub>
            <m:ctrlPr>
              <w:rPr>
                <w:rFonts w:ascii="Cambria Math" w:hAnsi="Cambria Math"/>
                <w:i/>
              </w:rPr>
            </m:ctrlPr>
          </m:den>
        </m:f>
      </m:oMath>
      <w:r>
        <w:rPr>
          <w:rFonts w:ascii="微软雅黑" w:hAnsi="微软雅黑" w:eastAsia="微软雅黑"/>
        </w:rPr>
        <w:tab/>
      </w:r>
      <w:r>
        <w:rPr>
          <w:rFonts w:ascii="Times New Roman" w:hAnsi="Times New Roman"/>
        </w:rPr>
        <w:t>(3)</w:t>
      </w:r>
    </w:p>
    <w:tbl>
      <w:tblPr>
        <w:tblStyle w:val="26"/>
        <w:tblW w:w="5000" w:type="pct"/>
        <w:jc w:val="right"/>
        <w:tblLayout w:type="autofit"/>
        <w:tblCellMar>
          <w:top w:w="0" w:type="dxa"/>
          <w:left w:w="0" w:type="dxa"/>
          <w:bottom w:w="0" w:type="dxa"/>
          <w:right w:w="0" w:type="dxa"/>
        </w:tblCellMar>
      </w:tblPr>
      <w:tblGrid>
        <w:gridCol w:w="1167"/>
        <w:gridCol w:w="8187"/>
      </w:tblGrid>
      <w:tr>
        <w:tblPrEx>
          <w:tblCellMar>
            <w:top w:w="0" w:type="dxa"/>
            <w:left w:w="0" w:type="dxa"/>
            <w:bottom w:w="0" w:type="dxa"/>
            <w:right w:w="0" w:type="dxa"/>
          </w:tblCellMar>
        </w:tblPrEx>
        <w:trPr>
          <w:trHeight w:val="485" w:hRule="atLeast"/>
          <w:jc w:val="right"/>
        </w:trPr>
        <w:tc>
          <w:tcPr>
            <w:tcW w:w="624" w:type="pct"/>
            <w:tcBorders>
              <w:top w:val="nil"/>
              <w:left w:val="nil"/>
              <w:bottom w:val="nil"/>
              <w:right w:val="nil"/>
            </w:tcBorders>
            <w:vAlign w:val="center"/>
          </w:tcPr>
          <w:p>
            <w:pPr>
              <w:autoSpaceDE w:val="0"/>
              <w:autoSpaceDN w:val="0"/>
              <w:spacing w:line="240" w:lineRule="auto"/>
              <w:jc w:val="right"/>
              <w:rPr>
                <w:rFonts w:ascii="Times New Roman" w:hAnsi="Times New Roman"/>
                <w:kern w:val="0"/>
                <w:sz w:val="13"/>
                <w:szCs w:val="13"/>
              </w:rPr>
            </w:pPr>
            <w:r>
              <w:rPr>
                <w:rFonts w:ascii="Times New Roman" w:hAnsi="Times New Roman"/>
                <w:kern w:val="0"/>
              </w:rPr>
              <w:t>式中：</w:t>
            </w:r>
            <w:r>
              <w:rPr>
                <w:rFonts w:ascii="Times New Roman" w:hAnsi="Times New Roman"/>
                <w:i/>
              </w:rPr>
              <w:t>σ</w:t>
            </w:r>
            <w:r>
              <w:rPr>
                <w:rFonts w:ascii="Times New Roman" w:hAnsi="Times New Roman"/>
                <w:vertAlign w:val="subscript"/>
              </w:rPr>
              <w:t>sq</w:t>
            </w:r>
          </w:p>
        </w:tc>
        <w:tc>
          <w:tcPr>
            <w:tcW w:w="4376" w:type="pct"/>
            <w:tcBorders>
              <w:top w:val="nil"/>
              <w:left w:val="nil"/>
              <w:bottom w:val="nil"/>
              <w:right w:val="nil"/>
            </w:tcBorders>
            <w:vAlign w:val="center"/>
          </w:tcPr>
          <w:p>
            <w:pPr>
              <w:autoSpaceDE w:val="0"/>
              <w:autoSpaceDN w:val="0"/>
              <w:spacing w:line="240" w:lineRule="auto"/>
              <w:jc w:val="left"/>
              <w:rPr>
                <w:rFonts w:ascii="Times New Roman" w:hAnsi="Times New Roman"/>
                <w:kern w:val="0"/>
                <w:position w:val="2"/>
              </w:rPr>
            </w:pPr>
            <w:r>
              <w:rPr>
                <w:rFonts w:ascii="Times New Roman" w:hAnsi="Times New Roman"/>
                <w:kern w:val="0"/>
              </w:rPr>
              <w:t>——</w:t>
            </w:r>
            <w:r>
              <w:rPr>
                <w:rFonts w:ascii="宋体" w:hAnsi="宋体"/>
                <w:kern w:val="0"/>
              </w:rPr>
              <w:t>接缝处搭接钢筋在荷载效应准永久组合作用下的应力</w:t>
            </w:r>
            <w:r>
              <w:rPr>
                <w:rFonts w:ascii="Times New Roman" w:hAnsi="Times New Roman"/>
                <w:kern w:val="0"/>
              </w:rPr>
              <w:t>(MPa)</w:t>
            </w:r>
            <w:r>
              <w:rPr>
                <w:rFonts w:ascii="宋体" w:hAnsi="宋体"/>
                <w:kern w:val="0"/>
              </w:rPr>
              <w:t>；</w:t>
            </w:r>
          </w:p>
        </w:tc>
      </w:tr>
      <w:tr>
        <w:tblPrEx>
          <w:tblCellMar>
            <w:top w:w="0" w:type="dxa"/>
            <w:left w:w="0" w:type="dxa"/>
            <w:bottom w:w="0" w:type="dxa"/>
            <w:right w:w="0" w:type="dxa"/>
          </w:tblCellMar>
        </w:tblPrEx>
        <w:trPr>
          <w:trHeight w:val="485" w:hRule="atLeast"/>
          <w:jc w:val="right"/>
        </w:trPr>
        <w:tc>
          <w:tcPr>
            <w:tcW w:w="624" w:type="pct"/>
            <w:tcBorders>
              <w:top w:val="nil"/>
              <w:left w:val="nil"/>
              <w:bottom w:val="nil"/>
              <w:right w:val="nil"/>
            </w:tcBorders>
            <w:vAlign w:val="center"/>
          </w:tcPr>
          <w:p>
            <w:pPr>
              <w:autoSpaceDE w:val="0"/>
              <w:autoSpaceDN w:val="0"/>
              <w:spacing w:line="240" w:lineRule="auto"/>
              <w:jc w:val="right"/>
              <w:rPr>
                <w:rFonts w:ascii="Times New Roman" w:hAnsi="Times New Roman"/>
                <w:spacing w:val="-7"/>
                <w:kern w:val="0"/>
              </w:rPr>
            </w:pPr>
            <w:r>
              <w:rPr>
                <w:rFonts w:hint="eastAsia" w:ascii="Times New Roman" w:hAnsi="Times New Roman"/>
                <w:spacing w:val="-7"/>
                <w:kern w:val="0"/>
              </w:rPr>
              <w:t> </w:t>
            </w:r>
            <w:r>
              <w:rPr>
                <w:rFonts w:ascii="Times New Roman" w:hAnsi="Times New Roman"/>
                <w:i/>
              </w:rPr>
              <w:t>f</w:t>
            </w:r>
            <w:r>
              <w:rPr>
                <w:rFonts w:ascii="Times New Roman" w:hAnsi="Times New Roman"/>
                <w:vertAlign w:val="subscript"/>
              </w:rPr>
              <w:t>yk</w:t>
            </w:r>
          </w:p>
        </w:tc>
        <w:tc>
          <w:tcPr>
            <w:tcW w:w="4376" w:type="pct"/>
            <w:tcBorders>
              <w:top w:val="nil"/>
              <w:left w:val="nil"/>
              <w:bottom w:val="nil"/>
              <w:right w:val="nil"/>
            </w:tcBorders>
            <w:vAlign w:val="center"/>
          </w:tcPr>
          <w:p>
            <w:pPr>
              <w:autoSpaceDE w:val="0"/>
              <w:autoSpaceDN w:val="0"/>
              <w:spacing w:line="240" w:lineRule="auto"/>
              <w:jc w:val="left"/>
              <w:rPr>
                <w:rFonts w:ascii="Times New Roman" w:hAnsi="Times New Roman"/>
                <w:kern w:val="0"/>
              </w:rPr>
            </w:pPr>
            <w:r>
              <w:rPr>
                <w:rFonts w:ascii="Times New Roman" w:hAnsi="Times New Roman"/>
                <w:kern w:val="0"/>
              </w:rPr>
              <w:t>——</w:t>
            </w:r>
            <w:r>
              <w:rPr>
                <w:rFonts w:ascii="宋体" w:hAnsi="宋体"/>
                <w:kern w:val="0"/>
              </w:rPr>
              <w:t>接缝处搭接钢筋</w:t>
            </w:r>
            <w:r>
              <w:rPr>
                <w:rFonts w:hint="eastAsia" w:ascii="Times New Roman" w:hAnsi="Times New Roman"/>
                <w:kern w:val="0"/>
              </w:rPr>
              <w:t>的屈服强度标准值</w:t>
            </w:r>
            <w:r>
              <w:rPr>
                <w:rFonts w:ascii="Times New Roman" w:hAnsi="Times New Roman"/>
                <w:kern w:val="0"/>
              </w:rPr>
              <w:t>(MPa)</w:t>
            </w:r>
            <w:r>
              <w:rPr>
                <w:rFonts w:ascii="宋体" w:hAnsi="宋体"/>
                <w:kern w:val="0"/>
              </w:rPr>
              <w:t>；</w:t>
            </w:r>
          </w:p>
        </w:tc>
      </w:tr>
      <w:tr>
        <w:tblPrEx>
          <w:tblCellMar>
            <w:top w:w="0" w:type="dxa"/>
            <w:left w:w="0" w:type="dxa"/>
            <w:bottom w:w="0" w:type="dxa"/>
            <w:right w:w="0" w:type="dxa"/>
          </w:tblCellMar>
        </w:tblPrEx>
        <w:trPr>
          <w:trHeight w:val="485" w:hRule="atLeast"/>
          <w:jc w:val="right"/>
        </w:trPr>
        <w:tc>
          <w:tcPr>
            <w:tcW w:w="624" w:type="pct"/>
            <w:tcBorders>
              <w:top w:val="nil"/>
              <w:left w:val="nil"/>
              <w:bottom w:val="nil"/>
              <w:right w:val="nil"/>
            </w:tcBorders>
            <w:vAlign w:val="center"/>
          </w:tcPr>
          <w:p>
            <w:pPr>
              <w:autoSpaceDE w:val="0"/>
              <w:autoSpaceDN w:val="0"/>
              <w:spacing w:line="240" w:lineRule="auto"/>
              <w:jc w:val="right"/>
              <w:rPr>
                <w:rFonts w:ascii="Times New Roman" w:hAnsi="Times New Roman"/>
                <w:spacing w:val="-7"/>
                <w:kern w:val="0"/>
              </w:rPr>
            </w:pPr>
            <w:r>
              <w:rPr>
                <w:rFonts w:hint="eastAsia" w:ascii="Times New Roman" w:hAnsi="Times New Roman"/>
                <w:spacing w:val="-7"/>
                <w:kern w:val="0"/>
              </w:rPr>
              <w:t> </w:t>
            </w:r>
            <w:r>
              <w:rPr>
                <w:rFonts w:ascii="Times New Roman" w:hAnsi="Times New Roman"/>
                <w:i/>
              </w:rPr>
              <w:t>M</w:t>
            </w:r>
            <w:r>
              <w:rPr>
                <w:rFonts w:ascii="Times New Roman" w:hAnsi="Times New Roman"/>
                <w:vertAlign w:val="subscript"/>
              </w:rPr>
              <w:t>q</w:t>
            </w:r>
          </w:p>
        </w:tc>
        <w:tc>
          <w:tcPr>
            <w:tcW w:w="4376" w:type="pct"/>
            <w:tcBorders>
              <w:top w:val="nil"/>
              <w:left w:val="nil"/>
              <w:bottom w:val="nil"/>
              <w:right w:val="nil"/>
            </w:tcBorders>
            <w:vAlign w:val="center"/>
          </w:tcPr>
          <w:p>
            <w:pPr>
              <w:autoSpaceDE w:val="0"/>
              <w:autoSpaceDN w:val="0"/>
              <w:spacing w:line="240" w:lineRule="auto"/>
              <w:jc w:val="left"/>
              <w:rPr>
                <w:rFonts w:ascii="Times New Roman" w:hAnsi="Times New Roman"/>
                <w:kern w:val="0"/>
              </w:rPr>
            </w:pPr>
            <w:r>
              <w:rPr>
                <w:rFonts w:ascii="Times New Roman" w:hAnsi="Times New Roman"/>
                <w:kern w:val="0"/>
              </w:rPr>
              <w:t>——</w:t>
            </w:r>
            <w:r>
              <w:rPr>
                <w:rFonts w:ascii="宋体" w:hAnsi="宋体"/>
                <w:kern w:val="0"/>
              </w:rPr>
              <w:t>接缝处</w:t>
            </w:r>
            <w:r>
              <w:rPr>
                <w:rFonts w:hint="eastAsia" w:ascii="Times New Roman" w:hAnsi="Times New Roman"/>
                <w:kern w:val="0"/>
              </w:rPr>
              <w:t>按荷载准永久组合计算的弯矩值</w:t>
            </w:r>
            <w:r>
              <w:rPr>
                <w:rFonts w:ascii="Times New Roman" w:hAnsi="Times New Roman"/>
                <w:kern w:val="0"/>
              </w:rPr>
              <w:t>(N</w:t>
            </w:r>
            <w:r>
              <w:rPr>
                <w:rFonts w:hint="eastAsia" w:ascii="宋体" w:hAnsi="宋体"/>
                <w:kern w:val="0"/>
              </w:rPr>
              <w:t>.</w:t>
            </w:r>
            <w:r>
              <w:rPr>
                <w:rFonts w:ascii="Times New Roman" w:hAnsi="Times New Roman"/>
                <w:kern w:val="0"/>
              </w:rPr>
              <w:t>mm)</w:t>
            </w:r>
            <w:r>
              <w:rPr>
                <w:rFonts w:ascii="宋体" w:hAnsi="宋体"/>
                <w:kern w:val="0"/>
              </w:rPr>
              <w:t>；</w:t>
            </w:r>
          </w:p>
        </w:tc>
      </w:tr>
      <w:tr>
        <w:tblPrEx>
          <w:tblCellMar>
            <w:top w:w="0" w:type="dxa"/>
            <w:left w:w="0" w:type="dxa"/>
            <w:bottom w:w="0" w:type="dxa"/>
            <w:right w:w="0" w:type="dxa"/>
          </w:tblCellMar>
        </w:tblPrEx>
        <w:trPr>
          <w:trHeight w:val="465" w:hRule="atLeast"/>
          <w:jc w:val="right"/>
        </w:trPr>
        <w:tc>
          <w:tcPr>
            <w:tcW w:w="624" w:type="pct"/>
            <w:tcBorders>
              <w:top w:val="nil"/>
              <w:left w:val="nil"/>
              <w:bottom w:val="nil"/>
              <w:right w:val="nil"/>
            </w:tcBorders>
            <w:vAlign w:val="center"/>
          </w:tcPr>
          <w:p>
            <w:pPr>
              <w:autoSpaceDE w:val="0"/>
              <w:autoSpaceDN w:val="0"/>
              <w:spacing w:before="77" w:line="240" w:lineRule="auto"/>
              <w:jc w:val="right"/>
              <w:rPr>
                <w:rFonts w:ascii="Times New Roman" w:hAnsi="Times New Roman"/>
                <w:kern w:val="0"/>
                <w:sz w:val="13"/>
                <w:szCs w:val="13"/>
              </w:rPr>
            </w:pPr>
            <w:r>
              <w:rPr>
                <w:rFonts w:ascii="Times New Roman" w:hAnsi="Times New Roman"/>
                <w:i/>
              </w:rPr>
              <w:t>h</w:t>
            </w:r>
            <w:r>
              <w:rPr>
                <w:rFonts w:ascii="Times New Roman" w:hAnsi="Times New Roman"/>
                <w:vertAlign w:val="subscript"/>
              </w:rPr>
              <w:t>20</w:t>
            </w:r>
          </w:p>
        </w:tc>
        <w:tc>
          <w:tcPr>
            <w:tcW w:w="4376" w:type="pct"/>
            <w:tcBorders>
              <w:top w:val="nil"/>
              <w:left w:val="nil"/>
              <w:bottom w:val="nil"/>
              <w:right w:val="nil"/>
            </w:tcBorders>
            <w:vAlign w:val="center"/>
          </w:tcPr>
          <w:p>
            <w:pPr>
              <w:autoSpaceDE w:val="0"/>
              <w:autoSpaceDN w:val="0"/>
              <w:spacing w:before="83" w:line="240" w:lineRule="auto"/>
              <w:jc w:val="left"/>
              <w:rPr>
                <w:rFonts w:ascii="Times New Roman" w:hAnsi="Times New Roman"/>
                <w:kern w:val="0"/>
              </w:rPr>
            </w:pPr>
            <w:r>
              <w:rPr>
                <w:rFonts w:ascii="Times New Roman" w:hAnsi="Times New Roman"/>
                <w:kern w:val="0"/>
              </w:rPr>
              <w:t>——</w:t>
            </w:r>
            <w:r>
              <w:rPr>
                <w:rFonts w:ascii="宋体" w:hAnsi="宋体"/>
                <w:kern w:val="0"/>
              </w:rPr>
              <w:t>后浇层混凝土的有效高度</w:t>
            </w:r>
            <w:r>
              <w:rPr>
                <w:rFonts w:ascii="Times New Roman" w:hAnsi="Times New Roman"/>
                <w:kern w:val="0"/>
              </w:rPr>
              <w:t>(mm)</w:t>
            </w:r>
            <w:r>
              <w:rPr>
                <w:rFonts w:ascii="宋体" w:hAnsi="宋体"/>
                <w:kern w:val="0"/>
              </w:rPr>
              <w:t>。</w:t>
            </w:r>
          </w:p>
        </w:tc>
      </w:tr>
    </w:tbl>
    <w:p>
      <w:pPr>
        <w:pStyle w:val="65"/>
        <w:spacing w:before="156" w:after="156"/>
        <w:outlineLvl w:val="9"/>
        <w:rPr>
          <w:rFonts w:ascii="宋体" w:hAnsi="宋体" w:eastAsia="宋体"/>
        </w:rPr>
      </w:pPr>
      <w:r>
        <w:rPr>
          <w:rFonts w:hint="eastAsia" w:ascii="宋体" w:hAnsi="宋体" w:eastAsia="宋体"/>
        </w:rPr>
        <w:t>桁架叠合板的密拼式整体接缝正截面受弯承载力计算时，截面高度取叠合层混凝土厚度，受拉钢筋取接缝处的搭接钢筋。</w:t>
      </w:r>
    </w:p>
    <w:p>
      <w:pPr>
        <w:pStyle w:val="65"/>
        <w:spacing w:before="156" w:after="156"/>
        <w:outlineLvl w:val="9"/>
        <w:rPr>
          <w:rFonts w:ascii="宋体" w:hAnsi="宋体" w:eastAsia="宋体"/>
        </w:rPr>
      </w:pPr>
      <w:r>
        <w:rPr>
          <w:rFonts w:hint="eastAsia" w:ascii="宋体" w:hAnsi="宋体" w:eastAsia="宋体"/>
        </w:rPr>
        <w:t>桁架预制板之间采用密拼式分离接缝连接时</w:t>
      </w:r>
      <w:r>
        <w:rPr>
          <w:rFonts w:ascii="Times New Roman" w:eastAsia="宋体"/>
        </w:rPr>
        <w:t>（图8）</w:t>
      </w:r>
      <w:r>
        <w:rPr>
          <w:rFonts w:hint="eastAsia" w:ascii="宋体" w:hAnsi="宋体" w:eastAsia="宋体"/>
        </w:rPr>
        <w:t>，应符合下列规定：</w:t>
      </w:r>
    </w:p>
    <w:p>
      <w:pPr>
        <w:pStyle w:val="174"/>
        <w:numPr>
          <w:ilvl w:val="0"/>
          <w:numId w:val="45"/>
        </w:numPr>
      </w:pPr>
      <w:r>
        <w:rPr>
          <w:rFonts w:hint="eastAsia"/>
        </w:rPr>
        <w:t>接缝处紧贴桁架预制板</w:t>
      </w:r>
      <w:r>
        <w:rPr>
          <w:rFonts w:ascii="Times New Roman"/>
        </w:rPr>
        <w:t>顶面宜设置垂直于接缝的附加钢筋，附加钢筋伸入两侧后浇混凝土叠合板的锚固长度不应小于15</w:t>
      </w:r>
      <w:r>
        <w:rPr>
          <w:rFonts w:ascii="Times New Roman"/>
          <w:i/>
        </w:rPr>
        <w:t>d</w:t>
      </w:r>
      <w:r>
        <w:rPr>
          <w:rFonts w:ascii="Times New Roman"/>
        </w:rPr>
        <w:t>，</w:t>
      </w:r>
      <w:r>
        <w:rPr>
          <w:rFonts w:ascii="Times New Roman"/>
          <w:i/>
        </w:rPr>
        <w:t>d</w:t>
      </w:r>
      <w:r>
        <w:rPr>
          <w:rFonts w:ascii="Times New Roman"/>
        </w:rPr>
        <w:t>为附</w:t>
      </w:r>
      <w:r>
        <w:rPr>
          <w:rFonts w:hint="eastAsia"/>
        </w:rPr>
        <w:t xml:space="preserve">加钢筋直径； </w:t>
      </w:r>
    </w:p>
    <w:p>
      <w:pPr>
        <w:pStyle w:val="174"/>
      </w:pPr>
      <w:r>
        <w:rPr>
          <w:rFonts w:hint="eastAsia"/>
        </w:rPr>
        <w:t>附加钢筋截</w:t>
      </w:r>
      <w:r>
        <w:rPr>
          <w:rFonts w:ascii="Times New Roman"/>
        </w:rPr>
        <w:t>面面积不宜小于桁架预制板中与附加钢筋同方向钢筋面积，附加钢筋直径不应小于6mm，间距不宜大于250mm</w:t>
      </w:r>
      <w:r>
        <w:rPr>
          <w:rFonts w:hint="eastAsia"/>
        </w:rPr>
        <w:t xml:space="preserve">； </w:t>
      </w:r>
    </w:p>
    <w:p>
      <w:pPr>
        <w:pStyle w:val="174"/>
        <w:rPr>
          <w:rFonts w:ascii="Times New Roman"/>
        </w:rPr>
      </w:pPr>
      <w:r>
        <w:rPr>
          <w:rFonts w:hint="eastAsia"/>
        </w:rPr>
        <w:t>垂直于附加钢筋的方向应布置横</w:t>
      </w:r>
      <w:r>
        <w:rPr>
          <w:rFonts w:ascii="Times New Roman"/>
        </w:rPr>
        <w:t>向分布钢筋，在搭接范围内不宜少于3根，横向分布钢筋直径不应小于6mm，间距不宜大于250mm。</w:t>
      </w:r>
    </w:p>
    <w:p>
      <w:pPr>
        <w:pStyle w:val="56"/>
        <w:ind w:firstLine="0" w:firstLineChars="0"/>
        <w:jc w:val="center"/>
      </w:pPr>
      <w:r>
        <w:drawing>
          <wp:inline distT="0" distB="0" distL="0" distR="0">
            <wp:extent cx="2912110" cy="1167765"/>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3097718" cy="1242361"/>
                    </a:xfrm>
                    <a:prstGeom prst="rect">
                      <a:avLst/>
                    </a:prstGeom>
                    <a:noFill/>
                  </pic:spPr>
                </pic:pic>
              </a:graphicData>
            </a:graphic>
          </wp:inline>
        </w:drawing>
      </w:r>
    </w:p>
    <w:p>
      <w:pPr>
        <w:pStyle w:val="114"/>
        <w:spacing w:before="156" w:after="156"/>
      </w:pPr>
      <w:r>
        <w:rPr>
          <w:rFonts w:hint="eastAsia"/>
        </w:rPr>
        <w:t>密拼式分离接缝构造示意</w:t>
      </w:r>
    </w:p>
    <w:p>
      <w:pPr>
        <w:pStyle w:val="114"/>
        <w:numPr>
          <w:ilvl w:val="0"/>
          <w:numId w:val="0"/>
        </w:numPr>
        <w:spacing w:before="156" w:after="156"/>
      </w:pPr>
      <w:r>
        <w:rPr>
          <w:rFonts w:hint="eastAsia"/>
        </w:rPr>
        <w:t>1—预制板；2—后浇叠合层；3—附加钢筋；4—横向分布钢筋</w:t>
      </w:r>
    </w:p>
    <w:p>
      <w:pPr>
        <w:pStyle w:val="65"/>
        <w:spacing w:before="156" w:after="156"/>
        <w:outlineLvl w:val="9"/>
        <w:rPr>
          <w:rFonts w:ascii="宋体" w:hAnsi="宋体" w:eastAsia="宋体"/>
        </w:rPr>
      </w:pPr>
      <w:r>
        <w:rPr>
          <w:rFonts w:hint="eastAsia"/>
        </w:rPr>
        <w:t xml:space="preserve"> </w:t>
      </w:r>
      <w:r>
        <w:rPr>
          <w:rFonts w:hint="eastAsia" w:ascii="宋体" w:hAnsi="宋体" w:eastAsia="宋体"/>
        </w:rPr>
        <w:t xml:space="preserve">桁架预制板的密拼式接缝，可采用底面倒角和倾斜面形成连续斜坡、底面设槽口和顶面设倒角、底面和顶面均设倒角等做法，并应符合下列要求： </w:t>
      </w:r>
    </w:p>
    <w:p>
      <w:pPr>
        <w:pStyle w:val="174"/>
        <w:numPr>
          <w:ilvl w:val="0"/>
          <w:numId w:val="46"/>
        </w:numPr>
      </w:pPr>
      <w:r>
        <w:rPr>
          <w:rFonts w:hint="eastAsia"/>
        </w:rPr>
        <w:t>当接缝处采用底面倒角和侧面倾斜面形成两道连续斜坡的做法时（图</w:t>
      </w:r>
      <w:r>
        <w:rPr>
          <w:rFonts w:ascii="Times New Roman"/>
        </w:rPr>
        <w:t>9a</w:t>
      </w:r>
      <w:r>
        <w:rPr>
          <w:rFonts w:hint="eastAsia"/>
        </w:rPr>
        <w:t>）， 底面倒角尺寸不宜小于</w:t>
      </w:r>
      <w:r>
        <w:rPr>
          <w:rFonts w:ascii="Times New Roman"/>
        </w:rPr>
        <w:t>10mm×10mm，倾斜面的坡度不宜小于1</w:t>
      </w:r>
      <w:r>
        <w:rPr>
          <w:rFonts w:hint="eastAsia" w:ascii="Times New Roman"/>
        </w:rPr>
        <w:t>：</w:t>
      </w:r>
      <w:r>
        <w:rPr>
          <w:rFonts w:ascii="Times New Roman"/>
        </w:rPr>
        <w:t>8；接</w:t>
      </w:r>
      <w:r>
        <w:rPr>
          <w:rFonts w:hint="eastAsia"/>
        </w:rPr>
        <w:t xml:space="preserve">缝应采用无机材料嵌填封闭，无机材料宜采用聚合物改性水泥砂浆，聚合物改性水泥砂浆的性能应符合本文件第5.4.1条的规定； </w:t>
      </w:r>
    </w:p>
    <w:p>
      <w:pPr>
        <w:pStyle w:val="174"/>
      </w:pPr>
      <w:r>
        <w:rPr>
          <w:rFonts w:hint="eastAsia"/>
        </w:rPr>
        <w:t>当接缝处采用底面设槽口、顶面设倒角的做法时</w:t>
      </w:r>
      <w:r>
        <w:rPr>
          <w:rFonts w:ascii="Times New Roman"/>
        </w:rPr>
        <w:t>（图9b），底面槽口深度宜取5mm、长度宜取30mm，顶面倒角不宜小于15mm×15mm；底面槽口处宜粘贴网格布</w:t>
      </w:r>
      <w:r>
        <w:rPr>
          <w:rFonts w:hint="eastAsia" w:ascii="Times New Roman"/>
        </w:rPr>
        <w:t>；</w:t>
      </w:r>
      <w:r>
        <w:rPr>
          <w:rFonts w:ascii="Times New Roman"/>
        </w:rPr>
        <w:t xml:space="preserve"> </w:t>
      </w:r>
    </w:p>
    <w:p>
      <w:pPr>
        <w:pStyle w:val="174"/>
        <w:rPr>
          <w:rFonts w:ascii="Times New Roman"/>
        </w:rPr>
      </w:pPr>
      <w:r>
        <w:rPr>
          <w:rFonts w:hint="eastAsia"/>
        </w:rPr>
        <w:t>当接缝处采用底面和顶面均设倒</w:t>
      </w:r>
      <w:r>
        <w:rPr>
          <w:rFonts w:ascii="Times New Roman"/>
        </w:rPr>
        <w:t>角的做法时（图9c），底面倒角尺寸不宜小于10mm×10mm，顶面倒角尺寸不宜小于15mm×15mm。</w:t>
      </w:r>
    </w:p>
    <w:p>
      <w:pPr>
        <w:pStyle w:val="56"/>
        <w:ind w:firstLine="0" w:firstLineChars="0"/>
        <w:jc w:val="center"/>
      </w:pPr>
      <w:r>
        <w:drawing>
          <wp:inline distT="0" distB="0" distL="0" distR="0">
            <wp:extent cx="3733165" cy="1171575"/>
            <wp:effectExtent l="0" t="0" r="635" b="952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3733165" cy="1171575"/>
                    </a:xfrm>
                    <a:prstGeom prst="rect">
                      <a:avLst/>
                    </a:prstGeom>
                    <a:noFill/>
                  </pic:spPr>
                </pic:pic>
              </a:graphicData>
            </a:graphic>
          </wp:inline>
        </w:drawing>
      </w:r>
    </w:p>
    <w:p>
      <w:pPr>
        <w:autoSpaceDE w:val="0"/>
        <w:autoSpaceDN w:val="0"/>
        <w:spacing w:line="300" w:lineRule="auto"/>
        <w:jc w:val="center"/>
        <w:rPr>
          <w:rFonts w:ascii="黑体" w:hAnsi="黑体" w:eastAsia="黑体"/>
          <w:bCs/>
          <w:kern w:val="0"/>
          <w:sz w:val="18"/>
          <w:szCs w:val="18"/>
        </w:rPr>
      </w:pPr>
      <w:r>
        <w:rPr>
          <w:rFonts w:hint="eastAsia" w:ascii="黑体" w:hAnsi="黑体" w:eastAsia="黑体"/>
          <w:bCs/>
          <w:kern w:val="0"/>
          <w:sz w:val="18"/>
          <w:szCs w:val="18"/>
        </w:rPr>
        <w:t>（a）底面倒角、侧面倾斜面做法</w:t>
      </w:r>
    </w:p>
    <w:p>
      <w:pPr>
        <w:pStyle w:val="56"/>
        <w:ind w:firstLine="0" w:firstLineChars="0"/>
        <w:jc w:val="center"/>
      </w:pPr>
      <w:r>
        <w:drawing>
          <wp:inline distT="0" distB="0" distL="0" distR="0">
            <wp:extent cx="3533140" cy="1171575"/>
            <wp:effectExtent l="0" t="0" r="0" b="952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3533140" cy="1171575"/>
                    </a:xfrm>
                    <a:prstGeom prst="rect">
                      <a:avLst/>
                    </a:prstGeom>
                    <a:noFill/>
                  </pic:spPr>
                </pic:pic>
              </a:graphicData>
            </a:graphic>
          </wp:inline>
        </w:drawing>
      </w:r>
    </w:p>
    <w:p>
      <w:pPr>
        <w:autoSpaceDE w:val="0"/>
        <w:autoSpaceDN w:val="0"/>
        <w:spacing w:line="300" w:lineRule="auto"/>
        <w:jc w:val="center"/>
        <w:rPr>
          <w:rFonts w:ascii="黑体" w:hAnsi="黑体" w:eastAsia="黑体"/>
          <w:bCs/>
          <w:kern w:val="0"/>
          <w:sz w:val="18"/>
          <w:szCs w:val="18"/>
        </w:rPr>
      </w:pPr>
      <w:r>
        <w:rPr>
          <w:rFonts w:hint="eastAsia" w:ascii="黑体" w:hAnsi="黑体" w:eastAsia="黑体"/>
          <w:bCs/>
          <w:kern w:val="0"/>
          <w:sz w:val="18"/>
          <w:szCs w:val="18"/>
        </w:rPr>
        <w:t>（b）底面槽口、顶面倒角做法</w:t>
      </w:r>
    </w:p>
    <w:p>
      <w:pPr>
        <w:pStyle w:val="56"/>
        <w:ind w:firstLine="0" w:firstLineChars="0"/>
        <w:jc w:val="center"/>
      </w:pPr>
      <w:r>
        <w:drawing>
          <wp:inline distT="0" distB="0" distL="0" distR="0">
            <wp:extent cx="3399790" cy="11811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3399790" cy="1181100"/>
                    </a:xfrm>
                    <a:prstGeom prst="rect">
                      <a:avLst/>
                    </a:prstGeom>
                    <a:noFill/>
                  </pic:spPr>
                </pic:pic>
              </a:graphicData>
            </a:graphic>
          </wp:inline>
        </w:drawing>
      </w:r>
    </w:p>
    <w:p>
      <w:pPr>
        <w:autoSpaceDE w:val="0"/>
        <w:autoSpaceDN w:val="0"/>
        <w:spacing w:line="300" w:lineRule="auto"/>
        <w:jc w:val="center"/>
        <w:rPr>
          <w:rFonts w:ascii="黑体" w:hAnsi="黑体" w:eastAsia="黑体"/>
          <w:bCs/>
          <w:kern w:val="0"/>
          <w:sz w:val="18"/>
          <w:szCs w:val="18"/>
        </w:rPr>
      </w:pPr>
      <w:r>
        <w:rPr>
          <w:rFonts w:hint="eastAsia" w:ascii="黑体" w:hAnsi="黑体" w:eastAsia="黑体"/>
          <w:bCs/>
          <w:kern w:val="0"/>
          <w:sz w:val="18"/>
          <w:szCs w:val="18"/>
        </w:rPr>
        <w:t>（c）底面、顶面倒角做法</w:t>
      </w:r>
    </w:p>
    <w:p>
      <w:pPr>
        <w:pStyle w:val="114"/>
        <w:spacing w:before="156" w:after="156"/>
      </w:pPr>
      <w:r>
        <w:rPr>
          <w:rFonts w:hint="eastAsia"/>
        </w:rPr>
        <w:t>桁架预制板密拼式接缝构造示意</w:t>
      </w:r>
    </w:p>
    <w:p>
      <w:pPr>
        <w:pStyle w:val="114"/>
        <w:numPr>
          <w:ilvl w:val="0"/>
          <w:numId w:val="0"/>
        </w:numPr>
        <w:spacing w:before="156" w:after="156"/>
      </w:pPr>
      <w:r>
        <w:rPr>
          <w:rFonts w:hint="eastAsia"/>
        </w:rPr>
        <w:t>1—桁架预制板；2—后浇混凝土叠合层；3—密拼式接缝</w:t>
      </w:r>
    </w:p>
    <w:p>
      <w:pPr>
        <w:pStyle w:val="105"/>
        <w:spacing w:before="156" w:after="156"/>
      </w:pPr>
      <w:bookmarkStart w:id="91" w:name="_Toc69885196"/>
      <w:bookmarkStart w:id="92" w:name="_Toc69916884"/>
      <w:r>
        <w:rPr>
          <w:rFonts w:hint="eastAsia"/>
        </w:rPr>
        <w:t>支座节点设计及构造</w:t>
      </w:r>
      <w:bookmarkEnd w:id="91"/>
      <w:bookmarkEnd w:id="92"/>
    </w:p>
    <w:p>
      <w:pPr>
        <w:pStyle w:val="65"/>
        <w:spacing w:before="156" w:after="156"/>
        <w:outlineLvl w:val="9"/>
        <w:rPr>
          <w:rFonts w:ascii="宋体" w:hAnsi="宋体" w:eastAsia="宋体"/>
        </w:rPr>
      </w:pPr>
      <w:r>
        <w:rPr>
          <w:rFonts w:hint="eastAsia" w:ascii="宋体" w:hAnsi="宋体" w:eastAsia="宋体"/>
        </w:rPr>
        <w:t>桁架叠合板板端的正截面受弯承载力应符合现行国家标准《混凝土结构设计规</w:t>
      </w:r>
      <w:r>
        <w:rPr>
          <w:rFonts w:ascii="Times New Roman" w:eastAsia="宋体"/>
        </w:rPr>
        <w:t>范》GB 50010</w:t>
      </w:r>
      <w:r>
        <w:rPr>
          <w:rFonts w:hint="eastAsia" w:ascii="宋体" w:hAnsi="宋体" w:eastAsia="宋体"/>
        </w:rPr>
        <w:t xml:space="preserve">的有关规定，并应符合下列规定： </w:t>
      </w:r>
    </w:p>
    <w:p>
      <w:pPr>
        <w:pStyle w:val="174"/>
        <w:numPr>
          <w:ilvl w:val="0"/>
          <w:numId w:val="47"/>
        </w:numPr>
      </w:pPr>
      <w:r>
        <w:rPr>
          <w:rFonts w:hint="eastAsia"/>
        </w:rPr>
        <w:t xml:space="preserve">板端截面承担负弯矩作用时，截面高度可取桁架叠合板厚度； </w:t>
      </w:r>
    </w:p>
    <w:p>
      <w:pPr>
        <w:pStyle w:val="174"/>
      </w:pPr>
      <w:r>
        <w:rPr>
          <w:rFonts w:hint="eastAsia"/>
        </w:rPr>
        <w:t>板端截面承担正弯矩作用且板端构造符合本文件第</w:t>
      </w:r>
      <w:r>
        <w:rPr>
          <w:rFonts w:ascii="Times New Roman"/>
        </w:rPr>
        <w:t>6.4.6</w:t>
      </w:r>
      <w:r>
        <w:rPr>
          <w:rFonts w:hint="eastAsia"/>
        </w:rPr>
        <w:t>条规定时，支座处桁架预制板的纵筋搭接钢筋可作为受拉纵筋，有效截面高度应取搭接钢筋中心线到叠合层上表面的距离。</w:t>
      </w:r>
    </w:p>
    <w:p>
      <w:pPr>
        <w:pStyle w:val="65"/>
        <w:spacing w:before="156" w:after="156"/>
        <w:outlineLvl w:val="9"/>
        <w:rPr>
          <w:rFonts w:ascii="宋体" w:hAnsi="宋体" w:eastAsia="宋体"/>
        </w:rPr>
      </w:pPr>
      <w:r>
        <w:rPr>
          <w:rFonts w:hint="eastAsia" w:ascii="宋体" w:hAnsi="宋体" w:eastAsia="宋体"/>
        </w:rPr>
        <w:t>桁架叠合板板端受剪承载力应符合下列规定：</w:t>
      </w:r>
    </w:p>
    <w:p>
      <w:pPr>
        <w:pStyle w:val="113"/>
      </w:pPr>
      <w:r>
        <w:tab/>
      </w:r>
      <m:oMath>
        <m:sSub>
          <m:sSubPr>
            <m:ctrlPr>
              <w:rPr>
                <w:rFonts w:ascii="Cambria Math" w:hAnsi="Cambria Math"/>
                <w:i/>
              </w:rPr>
            </m:ctrlPr>
          </m:sSubPr>
          <m:e>
            <m:r>
              <m:rPr/>
              <w:rPr>
                <w:rFonts w:ascii="Cambria Math" w:hAnsi="Cambria Math"/>
              </w:rPr>
              <m:t>V</m:t>
            </m:r>
            <m:ctrlPr>
              <w:rPr>
                <w:rFonts w:ascii="Cambria Math" w:hAnsi="Cambria Math"/>
                <w:i/>
              </w:rPr>
            </m:ctrlPr>
          </m:e>
          <m:sub>
            <m:r>
              <m:rPr/>
              <w:rPr>
                <w:rFonts w:hint="eastAsia" w:ascii="Cambria Math" w:hAnsi="Cambria Math"/>
              </w:rPr>
              <m:t>s</m:t>
            </m:r>
            <m:ctrlPr>
              <w:rPr>
                <w:rFonts w:ascii="Cambria Math" w:hAnsi="Cambria Math"/>
                <w:i/>
              </w:rPr>
            </m:ctrlPr>
          </m:sub>
        </m:sSub>
        <m:r>
          <m:rPr/>
          <w:rPr>
            <w:rFonts w:hint="eastAsia" w:ascii="Cambria Math" w:hAnsi="Cambria Math"/>
          </w:rPr>
          <m:t>≤</m:t>
        </m:r>
        <m:sSub>
          <m:sSubPr>
            <m:ctrlPr>
              <w:rPr>
                <w:rFonts w:ascii="Cambria Math" w:hAnsi="Cambria Math"/>
                <w:i/>
              </w:rPr>
            </m:ctrlPr>
          </m:sSubPr>
          <m:e>
            <m:r>
              <m:rPr/>
              <w:rPr>
                <w:rFonts w:ascii="Cambria Math" w:hAnsi="Cambria Math"/>
              </w:rPr>
              <m:t>V</m:t>
            </m:r>
            <m:ctrlPr>
              <w:rPr>
                <w:rFonts w:ascii="Cambria Math" w:hAnsi="Cambria Math"/>
                <w:i/>
              </w:rPr>
            </m:ctrlPr>
          </m:e>
          <m:sub>
            <m:r>
              <m:rPr/>
              <w:rPr>
                <w:rFonts w:ascii="Cambria Math" w:hAnsi="Cambria Math"/>
              </w:rPr>
              <m:t>R</m:t>
            </m:r>
            <m:ctrlPr>
              <w:rPr>
                <w:rFonts w:ascii="Cambria Math" w:hAnsi="Cambria Math"/>
                <w:i/>
              </w:rPr>
            </m:ctrlPr>
          </m:sub>
        </m:sSub>
      </m:oMath>
      <w:r>
        <w:rPr>
          <w:rFonts w:ascii="微软雅黑" w:hAnsi="微软雅黑" w:eastAsia="微软雅黑"/>
        </w:rPr>
        <w:tab/>
      </w:r>
      <w:r>
        <w:rPr>
          <w:rFonts w:ascii="Times New Roman" w:hAnsi="Times New Roman"/>
        </w:rPr>
        <w:t>(4)</w:t>
      </w:r>
    </w:p>
    <w:p>
      <w:pPr>
        <w:pStyle w:val="113"/>
      </w:pPr>
      <w:r>
        <w:tab/>
      </w:r>
      <w:bookmarkStart w:id="93" w:name="_Hlk69914364"/>
      <m:oMath>
        <m:sSub>
          <m:sSubPr>
            <m:ctrlPr>
              <w:rPr>
                <w:rFonts w:ascii="Cambria Math" w:hAnsi="Cambria Math"/>
                <w:i/>
              </w:rPr>
            </m:ctrlPr>
          </m:sSubPr>
          <m:e>
            <m:r>
              <m:rPr/>
              <w:rPr>
                <w:rFonts w:ascii="Cambria Math" w:hAnsi="Cambria Math"/>
              </w:rPr>
              <m:t>V</m:t>
            </m:r>
            <m:ctrlPr>
              <w:rPr>
                <w:rFonts w:ascii="Cambria Math" w:hAnsi="Cambria Math"/>
                <w:i/>
              </w:rPr>
            </m:ctrlPr>
          </m:e>
          <m:sub>
            <m:r>
              <m:rPr/>
              <w:rPr>
                <w:rFonts w:ascii="Cambria Math" w:hAnsi="Cambria Math"/>
              </w:rPr>
              <m:t>R</m:t>
            </m:r>
            <m:ctrlPr>
              <w:rPr>
                <w:rFonts w:ascii="Cambria Math" w:hAnsi="Cambria Math"/>
                <w:i/>
              </w:rPr>
            </m:ctrlPr>
          </m:sub>
        </m:sSub>
        <m:r>
          <m:rPr/>
          <w:rPr>
            <w:rFonts w:ascii="Cambria Math" w:hAnsi="Cambria Math"/>
          </w:rPr>
          <m:t>=0.07</m:t>
        </m:r>
        <m:sSub>
          <m:sSubPr>
            <m:ctrlPr>
              <w:rPr>
                <w:rFonts w:ascii="Cambria Math" w:hAnsi="Cambria Math"/>
                <w:i/>
              </w:rPr>
            </m:ctrlPr>
          </m:sSubPr>
          <m:e>
            <m:r>
              <m:rPr/>
              <w:rPr>
                <w:rFonts w:hint="eastAsia" w:ascii="Cambria Math" w:hAnsi="Cambria Math"/>
              </w:rPr>
              <m:t>f</m:t>
            </m:r>
            <m:ctrlPr>
              <w:rPr>
                <w:rFonts w:ascii="Cambria Math" w:hAnsi="Cambria Math"/>
                <w:i/>
              </w:rPr>
            </m:ctrlPr>
          </m:e>
          <m:sub>
            <m:r>
              <m:rPr/>
              <w:rPr>
                <w:rFonts w:hint="eastAsia" w:ascii="Cambria Math" w:hAnsi="Cambria Math"/>
              </w:rPr>
              <m:t>c</m:t>
            </m:r>
            <m:ctrlPr>
              <w:rPr>
                <w:rFonts w:ascii="Cambria Math" w:hAnsi="Cambria Math"/>
                <w:i/>
              </w:rPr>
            </m:ctrlPr>
          </m:sub>
        </m:sSub>
        <m:sSub>
          <m:sSubPr>
            <m:ctrlPr>
              <w:rPr>
                <w:rFonts w:ascii="Cambria Math" w:hAnsi="Cambria Math"/>
                <w:i/>
              </w:rPr>
            </m:ctrlPr>
          </m:sSubPr>
          <m:e>
            <m:r>
              <m:rPr/>
              <w:rPr>
                <w:rFonts w:ascii="Cambria Math" w:hAnsi="Cambria Math"/>
              </w:rPr>
              <m:t>A</m:t>
            </m:r>
            <m:ctrlPr>
              <w:rPr>
                <w:rFonts w:ascii="Cambria Math" w:hAnsi="Cambria Math"/>
                <w:i/>
              </w:rPr>
            </m:ctrlPr>
          </m:e>
          <m:sub>
            <m:r>
              <m:rPr/>
              <w:rPr>
                <w:rFonts w:hint="eastAsia" w:ascii="Cambria Math" w:hAnsi="Cambria Math"/>
              </w:rPr>
              <m:t>c</m:t>
            </m:r>
            <m:r>
              <m:rPr/>
              <w:rPr>
                <w:rFonts w:ascii="Cambria Math" w:hAnsi="Cambria Math"/>
              </w:rPr>
              <m:t>2</m:t>
            </m:r>
            <m:ctrlPr>
              <w:rPr>
                <w:rFonts w:ascii="Cambria Math" w:hAnsi="Cambria Math"/>
                <w:i/>
              </w:rPr>
            </m:ctrlPr>
          </m:sub>
        </m:sSub>
        <m:r>
          <m:rPr/>
          <w:rPr>
            <w:rFonts w:ascii="Cambria Math" w:hAnsi="Cambria Math"/>
          </w:rPr>
          <m:t>+1.65</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sd</m:t>
            </m:r>
            <m:ctrlPr>
              <w:rPr>
                <w:rFonts w:ascii="Cambria Math" w:hAnsi="Cambria Math"/>
                <w:i/>
              </w:rPr>
            </m:ctrlPr>
          </m:sub>
        </m:sSub>
        <m:rad>
          <m:radPr>
            <m:degHide m:val="1"/>
            <m:ctrlPr>
              <w:rPr>
                <w:rFonts w:ascii="Cambria Math" w:hAnsi="Cambria Math"/>
                <w:i/>
              </w:rPr>
            </m:ctrlPr>
          </m:radPr>
          <m:deg>
            <m:ctrlPr>
              <w:rPr>
                <w:rFonts w:ascii="Cambria Math" w:hAnsi="Cambria Math"/>
                <w:i/>
              </w:rPr>
            </m:ctrlPr>
          </m:deg>
          <m:e>
            <m:sSub>
              <m:sSubPr>
                <m:ctrlPr>
                  <w:rPr>
                    <w:rFonts w:ascii="Cambria Math" w:hAnsi="Cambria Math"/>
                    <w:i/>
                  </w:rPr>
                </m:ctrlPr>
              </m:sSubPr>
              <m:e>
                <m:r>
                  <m:rPr/>
                  <w:rPr>
                    <w:rFonts w:hint="eastAsia" w:ascii="Cambria Math" w:hAnsi="Cambria Math"/>
                  </w:rPr>
                  <m:t>f</m:t>
                </m:r>
                <m:ctrlPr>
                  <w:rPr>
                    <w:rFonts w:ascii="Cambria Math" w:hAnsi="Cambria Math"/>
                    <w:i/>
                  </w:rPr>
                </m:ctrlPr>
              </m:e>
              <m:sub>
                <m:r>
                  <m:rPr/>
                  <w:rPr>
                    <w:rFonts w:hint="eastAsia" w:ascii="Cambria Math" w:hAnsi="Cambria Math"/>
                  </w:rPr>
                  <m:t>c</m:t>
                </m:r>
                <m:ctrlPr>
                  <w:rPr>
                    <w:rFonts w:ascii="Cambria Math" w:hAnsi="Cambria Math"/>
                    <w:i/>
                  </w:rPr>
                </m:ctrlPr>
              </m:sub>
            </m:sSub>
            <m:sSub>
              <m:sSubPr>
                <m:ctrlPr>
                  <w:rPr>
                    <w:rFonts w:ascii="Cambria Math" w:hAnsi="Cambria Math"/>
                    <w:i/>
                  </w:rPr>
                </m:ctrlPr>
              </m:sSubPr>
              <m:e>
                <m:r>
                  <m:rPr/>
                  <w:rPr>
                    <w:rFonts w:hint="eastAsia" w:ascii="Cambria Math" w:hAnsi="Cambria Math"/>
                  </w:rPr>
                  <m:t>f</m:t>
                </m:r>
                <m:ctrlPr>
                  <w:rPr>
                    <w:rFonts w:ascii="Cambria Math" w:hAnsi="Cambria Math"/>
                    <w:i/>
                  </w:rPr>
                </m:ctrlPr>
              </m:e>
              <m:sub>
                <m:r>
                  <m:rPr/>
                  <w:rPr>
                    <w:rFonts w:ascii="Cambria Math" w:hAnsi="Cambria Math"/>
                  </w:rPr>
                  <m:t>y</m:t>
                </m:r>
                <m:ctrlPr>
                  <w:rPr>
                    <w:rFonts w:ascii="Cambria Math" w:hAnsi="Cambria Math"/>
                    <w:i/>
                  </w:rPr>
                </m:ctrlPr>
              </m:sub>
            </m:sSub>
            <m:ctrlPr>
              <w:rPr>
                <w:rFonts w:ascii="Cambria Math" w:hAnsi="Cambria Math"/>
                <w:i/>
              </w:rPr>
            </m:ctrlPr>
          </m:e>
        </m:rad>
      </m:oMath>
      <w:r>
        <w:rPr>
          <w:rFonts w:ascii="微软雅黑" w:hAnsi="微软雅黑" w:eastAsia="微软雅黑"/>
        </w:rPr>
        <w:tab/>
      </w:r>
      <w:r>
        <w:rPr>
          <w:rFonts w:ascii="Times New Roman" w:hAnsi="Times New Roman"/>
        </w:rPr>
        <w:t>(5)</w:t>
      </w:r>
      <w:bookmarkEnd w:id="93"/>
    </w:p>
    <w:tbl>
      <w:tblPr>
        <w:tblStyle w:val="26"/>
        <w:tblW w:w="5000" w:type="pct"/>
        <w:jc w:val="right"/>
        <w:tblLayout w:type="autofit"/>
        <w:tblCellMar>
          <w:top w:w="0" w:type="dxa"/>
          <w:left w:w="0" w:type="dxa"/>
          <w:bottom w:w="0" w:type="dxa"/>
          <w:right w:w="0" w:type="dxa"/>
        </w:tblCellMar>
      </w:tblPr>
      <w:tblGrid>
        <w:gridCol w:w="975"/>
        <w:gridCol w:w="8379"/>
      </w:tblGrid>
      <w:tr>
        <w:tblPrEx>
          <w:tblCellMar>
            <w:top w:w="0" w:type="dxa"/>
            <w:left w:w="0" w:type="dxa"/>
            <w:bottom w:w="0" w:type="dxa"/>
            <w:right w:w="0" w:type="dxa"/>
          </w:tblCellMar>
        </w:tblPrEx>
        <w:trPr>
          <w:trHeight w:val="473" w:hRule="atLeast"/>
          <w:jc w:val="right"/>
        </w:trPr>
        <w:tc>
          <w:tcPr>
            <w:tcW w:w="521" w:type="pct"/>
            <w:tcBorders>
              <w:top w:val="nil"/>
              <w:left w:val="nil"/>
              <w:bottom w:val="nil"/>
              <w:right w:val="nil"/>
            </w:tcBorders>
            <w:vAlign w:val="center"/>
          </w:tcPr>
          <w:p>
            <w:pPr>
              <w:autoSpaceDE w:val="0"/>
              <w:autoSpaceDN w:val="0"/>
              <w:spacing w:line="360" w:lineRule="auto"/>
              <w:jc w:val="right"/>
              <w:rPr>
                <w:rFonts w:ascii="Times New Roman" w:hAnsi="Times New Roman"/>
                <w:kern w:val="0"/>
                <w:sz w:val="13"/>
                <w:szCs w:val="13"/>
              </w:rPr>
            </w:pPr>
            <w:r>
              <w:rPr>
                <w:rFonts w:ascii="Times New Roman" w:hAnsi="Times New Roman"/>
                <w:kern w:val="0"/>
              </w:rPr>
              <w:t>式中：</w:t>
            </w:r>
            <w:r>
              <w:rPr>
                <w:rFonts w:ascii="Times New Roman" w:hAnsi="Times New Roman"/>
                <w:i/>
              </w:rPr>
              <w:t>V</w:t>
            </w:r>
            <w:r>
              <w:rPr>
                <w:rFonts w:ascii="Times New Roman" w:hAnsi="Times New Roman"/>
                <w:vertAlign w:val="subscript"/>
              </w:rPr>
              <w:t>S</w:t>
            </w:r>
          </w:p>
        </w:tc>
        <w:tc>
          <w:tcPr>
            <w:tcW w:w="4479" w:type="pct"/>
            <w:tcBorders>
              <w:top w:val="nil"/>
              <w:left w:val="nil"/>
              <w:bottom w:val="nil"/>
              <w:right w:val="nil"/>
            </w:tcBorders>
            <w:vAlign w:val="center"/>
          </w:tcPr>
          <w:p>
            <w:pPr>
              <w:autoSpaceDE w:val="0"/>
              <w:autoSpaceDN w:val="0"/>
              <w:spacing w:line="360" w:lineRule="auto"/>
              <w:jc w:val="left"/>
              <w:rPr>
                <w:rFonts w:ascii="Times New Roman" w:hAnsi="Times New Roman"/>
                <w:kern w:val="0"/>
                <w:position w:val="2"/>
              </w:rPr>
            </w:pPr>
            <w:r>
              <w:rPr>
                <w:rFonts w:ascii="Times New Roman" w:hAnsi="Times New Roman"/>
                <w:kern w:val="0"/>
              </w:rPr>
              <w:t>——</w:t>
            </w:r>
            <w:r>
              <w:rPr>
                <w:rFonts w:ascii="宋体" w:hAnsi="宋体"/>
                <w:kern w:val="0"/>
              </w:rPr>
              <w:t>板端剪力设计值</w:t>
            </w:r>
            <w:r>
              <w:rPr>
                <w:rFonts w:hint="eastAsia" w:ascii="Times New Roman" w:hAnsi="Times New Roman"/>
                <w:kern w:val="0"/>
              </w:rPr>
              <w:t>（N</w:t>
            </w:r>
            <w:r>
              <w:rPr>
                <w:rFonts w:hint="eastAsia" w:ascii="宋体" w:hAnsi="宋体"/>
                <w:kern w:val="0"/>
              </w:rPr>
              <w:t>）</w:t>
            </w:r>
            <w:r>
              <w:rPr>
                <w:rFonts w:ascii="Times New Roman" w:hAnsi="Times New Roman"/>
                <w:kern w:val="0"/>
              </w:rPr>
              <w:t>；</w:t>
            </w:r>
          </w:p>
        </w:tc>
      </w:tr>
      <w:tr>
        <w:tblPrEx>
          <w:tblCellMar>
            <w:top w:w="0" w:type="dxa"/>
            <w:left w:w="0" w:type="dxa"/>
            <w:bottom w:w="0" w:type="dxa"/>
            <w:right w:w="0" w:type="dxa"/>
          </w:tblCellMar>
        </w:tblPrEx>
        <w:trPr>
          <w:trHeight w:val="494" w:hRule="atLeast"/>
          <w:jc w:val="right"/>
        </w:trPr>
        <w:tc>
          <w:tcPr>
            <w:tcW w:w="521" w:type="pct"/>
            <w:tcBorders>
              <w:top w:val="nil"/>
              <w:left w:val="nil"/>
              <w:bottom w:val="nil"/>
              <w:right w:val="nil"/>
            </w:tcBorders>
          </w:tcPr>
          <w:p>
            <w:pPr>
              <w:autoSpaceDE w:val="0"/>
              <w:autoSpaceDN w:val="0"/>
              <w:spacing w:line="360" w:lineRule="auto"/>
              <w:jc w:val="right"/>
              <w:rPr>
                <w:rFonts w:ascii="Times New Roman" w:hAnsi="Times New Roman"/>
                <w:kern w:val="0"/>
                <w:sz w:val="13"/>
                <w:szCs w:val="13"/>
              </w:rPr>
            </w:pPr>
            <w:r>
              <w:rPr>
                <w:rFonts w:ascii="Times New Roman" w:hAnsi="Times New Roman"/>
                <w:i/>
              </w:rPr>
              <w:t>V</w:t>
            </w:r>
            <w:r>
              <w:rPr>
                <w:rFonts w:ascii="Times New Roman" w:hAnsi="Times New Roman"/>
                <w:vertAlign w:val="subscript"/>
              </w:rPr>
              <w:t>R</w:t>
            </w:r>
          </w:p>
        </w:tc>
        <w:tc>
          <w:tcPr>
            <w:tcW w:w="4479" w:type="pct"/>
            <w:tcBorders>
              <w:top w:val="nil"/>
              <w:left w:val="nil"/>
              <w:bottom w:val="nil"/>
              <w:right w:val="nil"/>
            </w:tcBorders>
          </w:tcPr>
          <w:p>
            <w:pPr>
              <w:autoSpaceDE w:val="0"/>
              <w:autoSpaceDN w:val="0"/>
              <w:spacing w:line="360" w:lineRule="auto"/>
              <w:jc w:val="left"/>
              <w:rPr>
                <w:rFonts w:ascii="Times New Roman" w:hAnsi="Times New Roman"/>
                <w:kern w:val="0"/>
              </w:rPr>
            </w:pPr>
            <w:r>
              <w:rPr>
                <w:rFonts w:ascii="Times New Roman" w:hAnsi="Times New Roman"/>
                <w:kern w:val="0"/>
              </w:rPr>
              <w:t>——</w:t>
            </w:r>
            <w:r>
              <w:rPr>
                <w:rFonts w:ascii="宋体" w:hAnsi="宋体"/>
                <w:kern w:val="0"/>
              </w:rPr>
              <w:t>板端受剪承载力设计值</w:t>
            </w:r>
            <w:r>
              <w:rPr>
                <w:rFonts w:hint="eastAsia" w:ascii="Times New Roman" w:hAnsi="Times New Roman"/>
                <w:kern w:val="0"/>
              </w:rPr>
              <w:t>（N</w:t>
            </w:r>
            <w:r>
              <w:rPr>
                <w:rFonts w:hint="eastAsia" w:ascii="宋体" w:hAnsi="宋体"/>
                <w:kern w:val="0"/>
              </w:rPr>
              <w:t>）</w:t>
            </w:r>
            <w:r>
              <w:rPr>
                <w:rFonts w:ascii="Times New Roman" w:hAnsi="Times New Roman"/>
                <w:kern w:val="0"/>
              </w:rPr>
              <w:t>；</w:t>
            </w:r>
          </w:p>
        </w:tc>
      </w:tr>
      <w:tr>
        <w:tblPrEx>
          <w:tblCellMar>
            <w:top w:w="0" w:type="dxa"/>
            <w:left w:w="0" w:type="dxa"/>
            <w:bottom w:w="0" w:type="dxa"/>
            <w:right w:w="0" w:type="dxa"/>
          </w:tblCellMar>
        </w:tblPrEx>
        <w:trPr>
          <w:trHeight w:val="494" w:hRule="atLeast"/>
          <w:jc w:val="right"/>
        </w:trPr>
        <w:tc>
          <w:tcPr>
            <w:tcW w:w="521" w:type="pct"/>
            <w:tcBorders>
              <w:top w:val="nil"/>
              <w:left w:val="nil"/>
              <w:bottom w:val="nil"/>
              <w:right w:val="nil"/>
            </w:tcBorders>
          </w:tcPr>
          <w:p>
            <w:pPr>
              <w:autoSpaceDE w:val="0"/>
              <w:autoSpaceDN w:val="0"/>
              <w:spacing w:line="360" w:lineRule="auto"/>
              <w:jc w:val="right"/>
              <w:rPr>
                <w:rFonts w:ascii="Times New Roman" w:hAnsi="Times New Roman"/>
                <w:spacing w:val="-7"/>
                <w:kern w:val="0"/>
              </w:rPr>
            </w:pPr>
            <w:r>
              <w:rPr>
                <w:rFonts w:ascii="Times New Roman" w:hAnsi="Times New Roman"/>
                <w:i/>
              </w:rPr>
              <w:t>A</w:t>
            </w:r>
            <w:r>
              <w:rPr>
                <w:rFonts w:ascii="Times New Roman" w:hAnsi="Times New Roman"/>
                <w:vertAlign w:val="subscript"/>
              </w:rPr>
              <w:t>c2</w:t>
            </w:r>
          </w:p>
        </w:tc>
        <w:tc>
          <w:tcPr>
            <w:tcW w:w="4479" w:type="pct"/>
            <w:tcBorders>
              <w:top w:val="nil"/>
              <w:left w:val="nil"/>
              <w:bottom w:val="nil"/>
              <w:right w:val="nil"/>
            </w:tcBorders>
          </w:tcPr>
          <w:p>
            <w:pPr>
              <w:autoSpaceDE w:val="0"/>
              <w:autoSpaceDN w:val="0"/>
              <w:spacing w:line="360" w:lineRule="auto"/>
              <w:jc w:val="left"/>
              <w:rPr>
                <w:rFonts w:ascii="Times New Roman" w:hAnsi="Times New Roman"/>
                <w:kern w:val="0"/>
              </w:rPr>
            </w:pPr>
            <w:r>
              <w:rPr>
                <w:rFonts w:ascii="Times New Roman" w:hAnsi="Times New Roman"/>
                <w:kern w:val="0"/>
              </w:rPr>
              <w:t>——</w:t>
            </w:r>
            <w:r>
              <w:rPr>
                <w:rFonts w:ascii="宋体" w:hAnsi="宋体"/>
                <w:kern w:val="0"/>
              </w:rPr>
              <w:t>桁架叠合板后浇混凝土叠合层截面面积</w:t>
            </w:r>
            <w:r>
              <w:rPr>
                <w:rFonts w:hint="eastAsia" w:ascii="Times New Roman" w:hAnsi="Times New Roman"/>
                <w:kern w:val="0"/>
              </w:rPr>
              <w:t>（m</w:t>
            </w:r>
            <w:r>
              <w:rPr>
                <w:rFonts w:ascii="Times New Roman" w:hAnsi="Times New Roman"/>
                <w:kern w:val="0"/>
              </w:rPr>
              <w:t>m</w:t>
            </w:r>
            <w:r>
              <w:rPr>
                <w:rFonts w:ascii="Times New Roman" w:hAnsi="Times New Roman"/>
                <w:kern w:val="0"/>
                <w:vertAlign w:val="superscript"/>
              </w:rPr>
              <w:t>2</w:t>
            </w:r>
            <w:r>
              <w:rPr>
                <w:rFonts w:hint="eastAsia" w:ascii="Times New Roman" w:hAnsi="Times New Roman"/>
                <w:kern w:val="0"/>
              </w:rPr>
              <w:t>）</w:t>
            </w:r>
            <w:r>
              <w:rPr>
                <w:rFonts w:ascii="Times New Roman" w:hAnsi="Times New Roman"/>
                <w:kern w:val="0"/>
              </w:rPr>
              <w:t>；</w:t>
            </w:r>
          </w:p>
        </w:tc>
      </w:tr>
      <w:tr>
        <w:tblPrEx>
          <w:tblCellMar>
            <w:top w:w="0" w:type="dxa"/>
            <w:left w:w="0" w:type="dxa"/>
            <w:bottom w:w="0" w:type="dxa"/>
            <w:right w:w="0" w:type="dxa"/>
          </w:tblCellMar>
        </w:tblPrEx>
        <w:trPr>
          <w:trHeight w:val="494" w:hRule="atLeast"/>
          <w:jc w:val="right"/>
        </w:trPr>
        <w:tc>
          <w:tcPr>
            <w:tcW w:w="521" w:type="pct"/>
            <w:tcBorders>
              <w:top w:val="nil"/>
              <w:left w:val="nil"/>
              <w:bottom w:val="nil"/>
              <w:right w:val="nil"/>
            </w:tcBorders>
          </w:tcPr>
          <w:p>
            <w:pPr>
              <w:autoSpaceDE w:val="0"/>
              <w:autoSpaceDN w:val="0"/>
              <w:spacing w:line="360" w:lineRule="auto"/>
              <w:jc w:val="right"/>
              <w:rPr>
                <w:rFonts w:ascii="Times New Roman" w:hAnsi="Times New Roman"/>
                <w:spacing w:val="-7"/>
                <w:kern w:val="0"/>
              </w:rPr>
            </w:pPr>
            <w:r>
              <w:rPr>
                <w:rFonts w:ascii="Times New Roman" w:hAnsi="Times New Roman"/>
                <w:i/>
              </w:rPr>
              <w:t>A</w:t>
            </w:r>
            <w:r>
              <w:rPr>
                <w:rFonts w:ascii="Times New Roman" w:hAnsi="Times New Roman"/>
                <w:vertAlign w:val="subscript"/>
              </w:rPr>
              <w:t>sd</w:t>
            </w:r>
          </w:p>
        </w:tc>
        <w:tc>
          <w:tcPr>
            <w:tcW w:w="4479" w:type="pct"/>
            <w:tcBorders>
              <w:top w:val="nil"/>
              <w:left w:val="nil"/>
              <w:bottom w:val="nil"/>
              <w:right w:val="nil"/>
            </w:tcBorders>
          </w:tcPr>
          <w:p>
            <w:pPr>
              <w:autoSpaceDE w:val="0"/>
              <w:autoSpaceDN w:val="0"/>
              <w:spacing w:line="360" w:lineRule="auto"/>
              <w:ind w:left="420" w:hanging="420" w:hangingChars="200"/>
              <w:jc w:val="left"/>
              <w:rPr>
                <w:rFonts w:ascii="Times New Roman" w:hAnsi="Times New Roman"/>
                <w:kern w:val="0"/>
              </w:rPr>
            </w:pPr>
            <w:r>
              <w:rPr>
                <w:rFonts w:ascii="Times New Roman" w:hAnsi="Times New Roman"/>
                <w:kern w:val="0"/>
              </w:rPr>
              <w:t>——</w:t>
            </w:r>
            <w:r>
              <w:rPr>
                <w:rFonts w:ascii="宋体" w:hAnsi="宋体"/>
                <w:kern w:val="0"/>
              </w:rPr>
              <w:t>垂直穿过桁架叠合板板端竖向接缝的所有钢筋面积</w:t>
            </w:r>
            <w:r>
              <w:rPr>
                <w:rFonts w:hint="eastAsia" w:ascii="Times New Roman" w:hAnsi="Times New Roman"/>
                <w:kern w:val="0"/>
              </w:rPr>
              <w:t>（m</w:t>
            </w:r>
            <w:r>
              <w:rPr>
                <w:rFonts w:ascii="Times New Roman" w:hAnsi="Times New Roman"/>
                <w:kern w:val="0"/>
              </w:rPr>
              <w:t>m</w:t>
            </w:r>
            <w:r>
              <w:rPr>
                <w:rFonts w:ascii="Times New Roman" w:hAnsi="Times New Roman"/>
                <w:kern w:val="0"/>
                <w:vertAlign w:val="superscript"/>
              </w:rPr>
              <w:t>2</w:t>
            </w:r>
            <w:r>
              <w:rPr>
                <w:rFonts w:hint="eastAsia" w:ascii="Times New Roman" w:hAnsi="Times New Roman"/>
                <w:kern w:val="0"/>
              </w:rPr>
              <w:t>）</w:t>
            </w:r>
            <w:r>
              <w:rPr>
                <w:rFonts w:ascii="Times New Roman" w:hAnsi="Times New Roman"/>
                <w:kern w:val="0"/>
              </w:rPr>
              <w:t>，包括叠合层内的纵向钢筋、支座处的搭接钢筋。</w:t>
            </w:r>
          </w:p>
        </w:tc>
      </w:tr>
    </w:tbl>
    <w:p>
      <w:pPr>
        <w:pStyle w:val="65"/>
        <w:spacing w:before="156" w:after="156"/>
        <w:outlineLvl w:val="9"/>
        <w:rPr>
          <w:rFonts w:ascii="宋体" w:hAnsi="宋体" w:eastAsia="宋体"/>
        </w:rPr>
      </w:pPr>
      <w:r>
        <w:rPr>
          <w:rFonts w:hint="eastAsia" w:ascii="宋体" w:hAnsi="宋体" w:eastAsia="宋体"/>
        </w:rPr>
        <w:t>桁架叠合板板面纵向钢筋应符合下列规定：</w:t>
      </w:r>
    </w:p>
    <w:p>
      <w:pPr>
        <w:pStyle w:val="94"/>
        <w:spacing w:before="156" w:after="156"/>
        <w:ind w:left="0"/>
        <w:outlineLvl w:val="9"/>
        <w:rPr>
          <w:rFonts w:ascii="宋体" w:hAnsi="宋体" w:eastAsia="宋体"/>
        </w:rPr>
      </w:pPr>
      <w:r>
        <w:rPr>
          <w:rFonts w:hint="eastAsia" w:ascii="宋体" w:hAnsi="宋体" w:eastAsia="宋体"/>
        </w:rPr>
        <w:t>对于中节点支座，板面钢筋应贯通。</w:t>
      </w:r>
    </w:p>
    <w:p>
      <w:pPr>
        <w:pStyle w:val="94"/>
        <w:spacing w:before="156" w:after="156"/>
        <w:ind w:left="0"/>
        <w:outlineLvl w:val="9"/>
        <w:rPr>
          <w:rFonts w:ascii="宋体" w:hAnsi="宋体" w:eastAsia="宋体"/>
        </w:rPr>
      </w:pPr>
      <w:r>
        <w:rPr>
          <w:rFonts w:hint="eastAsia" w:ascii="宋体" w:hAnsi="宋体" w:eastAsia="宋体"/>
        </w:rPr>
        <w:t>对于端节点支座，应符合下列规定：</w:t>
      </w:r>
    </w:p>
    <w:p>
      <w:pPr>
        <w:pStyle w:val="174"/>
        <w:numPr>
          <w:ilvl w:val="0"/>
          <w:numId w:val="48"/>
        </w:numPr>
        <w:rPr>
          <w:rFonts w:ascii="Times New Roman"/>
        </w:rPr>
      </w:pPr>
      <w:r>
        <w:rPr>
          <w:rFonts w:hint="eastAsia"/>
        </w:rPr>
        <w:t>钢筋伸入支座长度不应小于受拉钢筋的锚固长度</w:t>
      </w:r>
      <w:r>
        <w:rPr>
          <w:rFonts w:ascii="Times New Roman"/>
          <w:i/>
        </w:rPr>
        <w:t>l</w:t>
      </w:r>
      <w:r>
        <w:rPr>
          <w:rFonts w:ascii="Times New Roman"/>
          <w:vertAlign w:val="subscript"/>
        </w:rPr>
        <w:t>a</w:t>
      </w:r>
      <w:r>
        <w:rPr>
          <w:rFonts w:hint="eastAsia"/>
        </w:rPr>
        <w:t>；当截面尺寸不满足直线锚固要求时，可采用</w:t>
      </w:r>
      <w:r>
        <w:rPr>
          <w:rFonts w:ascii="Times New Roman"/>
        </w:rPr>
        <w:t>90°</w:t>
      </w:r>
      <w:r>
        <w:rPr>
          <w:rFonts w:hint="eastAsia"/>
        </w:rPr>
        <w:t>弯折锚固措施，此时，包括弯弧在内的钢筋平直段长度不应小于</w:t>
      </w:r>
      <w:r>
        <w:rPr>
          <w:rFonts w:ascii="Times New Roman"/>
          <w:i/>
        </w:rPr>
        <w:t>ζ</w:t>
      </w:r>
      <w:r>
        <w:rPr>
          <w:rFonts w:ascii="Times New Roman"/>
          <w:vertAlign w:val="subscript"/>
        </w:rPr>
        <w:t>a</w:t>
      </w:r>
      <w:r>
        <w:rPr>
          <w:rFonts w:ascii="Times New Roman"/>
          <w:i/>
        </w:rPr>
        <w:t>l</w:t>
      </w:r>
      <w:r>
        <w:rPr>
          <w:rFonts w:ascii="Times New Roman"/>
          <w:vertAlign w:val="subscript"/>
        </w:rPr>
        <w:t>ab</w:t>
      </w:r>
      <w:r>
        <w:rPr>
          <w:rFonts w:ascii="Times New Roman"/>
        </w:rPr>
        <w:t>（</w:t>
      </w:r>
      <w:r>
        <w:rPr>
          <w:rFonts w:ascii="Times New Roman"/>
          <w:i/>
        </w:rPr>
        <w:t>l</w:t>
      </w:r>
      <w:r>
        <w:rPr>
          <w:rFonts w:ascii="Times New Roman"/>
          <w:vertAlign w:val="subscript"/>
        </w:rPr>
        <w:t>ab</w:t>
      </w:r>
      <w:r>
        <w:rPr>
          <w:rFonts w:ascii="Times New Roman"/>
        </w:rPr>
        <w:t>为受拉钢筋的基本锚固长度），弯折平面内包含弯弧的钢筋平直段长度不应小于15</w:t>
      </w:r>
      <w:r>
        <w:rPr>
          <w:rFonts w:ascii="Times New Roman"/>
          <w:i/>
        </w:rPr>
        <w:t>d</w:t>
      </w:r>
      <w:r>
        <w:rPr>
          <w:rFonts w:ascii="Times New Roman"/>
        </w:rPr>
        <w:t>（</w:t>
      </w:r>
      <w:r>
        <w:rPr>
          <w:rFonts w:ascii="Times New Roman"/>
          <w:i/>
        </w:rPr>
        <w:t>d</w:t>
      </w:r>
      <w:r>
        <w:rPr>
          <w:rFonts w:ascii="Times New Roman"/>
        </w:rPr>
        <w:t>为钢筋直径）</w:t>
      </w:r>
      <w:r>
        <w:rPr>
          <w:rFonts w:hint="eastAsia" w:ascii="Times New Roman"/>
        </w:rPr>
        <w:t>；</w:t>
      </w:r>
      <w:r>
        <w:rPr>
          <w:rFonts w:ascii="Times New Roman"/>
        </w:rPr>
        <w:t xml:space="preserve"> </w:t>
      </w:r>
    </w:p>
    <w:p>
      <w:pPr>
        <w:pStyle w:val="174"/>
        <w:rPr>
          <w:rFonts w:ascii="Times New Roman"/>
        </w:rPr>
      </w:pPr>
      <w:r>
        <w:rPr>
          <w:rFonts w:ascii="Times New Roman"/>
        </w:rPr>
        <w:t>当支座为梁或顶层剪力墙时，</w:t>
      </w:r>
      <w:r>
        <w:rPr>
          <w:rFonts w:ascii="Times New Roman"/>
          <w:i/>
        </w:rPr>
        <w:t>ζ</w:t>
      </w:r>
      <w:r>
        <w:rPr>
          <w:rFonts w:ascii="Times New Roman"/>
          <w:vertAlign w:val="subscript"/>
        </w:rPr>
        <w:t>a</w:t>
      </w:r>
      <w:r>
        <w:rPr>
          <w:rFonts w:ascii="Times New Roman"/>
        </w:rPr>
        <w:t>应取为0.6；当支座为中间层剪力墙时，</w:t>
      </w:r>
      <w:r>
        <w:rPr>
          <w:rFonts w:ascii="Times New Roman"/>
          <w:i/>
        </w:rPr>
        <w:t>ζ</w:t>
      </w:r>
      <w:r>
        <w:rPr>
          <w:rFonts w:ascii="Times New Roman"/>
          <w:vertAlign w:val="subscript"/>
        </w:rPr>
        <w:t>a</w:t>
      </w:r>
      <w:r>
        <w:rPr>
          <w:rFonts w:ascii="Times New Roman"/>
        </w:rPr>
        <w:t>应取为0.4。</w:t>
      </w:r>
    </w:p>
    <w:p>
      <w:pPr>
        <w:pStyle w:val="65"/>
        <w:spacing w:before="156" w:after="156"/>
        <w:outlineLvl w:val="9"/>
        <w:rPr>
          <w:rFonts w:ascii="Times New Roman" w:eastAsia="宋体"/>
        </w:rPr>
      </w:pPr>
      <w:r>
        <w:rPr>
          <w:rFonts w:ascii="Times New Roman" w:eastAsia="宋体"/>
        </w:rPr>
        <w:t>当钢筋桁架上弦钢筋参与截面受弯承载力计算时，应在上弦钢筋处设置支座处桁架上弦筋搭接钢筋（图10），并应伸入板端支座。搭接钢筋应按与同向板面纵向钢筋受拉承载力相等的原则布置，且搭接钢筋与钢筋桁架上弦钢筋在叠合层中搭接长度不应小于受拉钢筋的搭接长度</w:t>
      </w:r>
      <w:r>
        <w:rPr>
          <w:rFonts w:ascii="Times New Roman" w:eastAsia="宋体"/>
          <w:i/>
        </w:rPr>
        <w:t>l</w:t>
      </w:r>
      <w:r>
        <w:rPr>
          <w:rFonts w:ascii="Times New Roman" w:eastAsia="宋体"/>
          <w:vertAlign w:val="subscript"/>
        </w:rPr>
        <w:t>l</w:t>
      </w:r>
      <w:r>
        <w:rPr>
          <w:rFonts w:ascii="Times New Roman" w:eastAsia="宋体"/>
        </w:rPr>
        <w:t>，受拉钢筋的搭接长度</w:t>
      </w:r>
      <w:r>
        <w:rPr>
          <w:rFonts w:ascii="Times New Roman" w:eastAsia="宋体"/>
          <w:i/>
        </w:rPr>
        <w:t>l</w:t>
      </w:r>
      <w:r>
        <w:rPr>
          <w:rFonts w:ascii="Times New Roman" w:eastAsia="宋体"/>
          <w:vertAlign w:val="subscript"/>
        </w:rPr>
        <w:t>l</w:t>
      </w:r>
      <w:r>
        <w:rPr>
          <w:rFonts w:ascii="Times New Roman" w:eastAsia="宋体"/>
        </w:rPr>
        <w:t>应符合现行国家标准《混凝土结构设计规范》GB 50010 的有关规定。搭接钢筋在支座内的构造应符合本文件第6.4.3条的规定。</w:t>
      </w:r>
    </w:p>
    <w:p>
      <w:pPr>
        <w:pStyle w:val="56"/>
        <w:ind w:firstLine="0" w:firstLineChars="0"/>
        <w:jc w:val="center"/>
      </w:pPr>
      <w:r>
        <w:drawing>
          <wp:inline distT="0" distB="0" distL="0" distR="0">
            <wp:extent cx="5276215" cy="1381125"/>
            <wp:effectExtent l="0" t="0" r="635" b="952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276215" cy="1381125"/>
                    </a:xfrm>
                    <a:prstGeom prst="rect">
                      <a:avLst/>
                    </a:prstGeom>
                    <a:noFill/>
                  </pic:spPr>
                </pic:pic>
              </a:graphicData>
            </a:graphic>
          </wp:inline>
        </w:drawing>
      </w:r>
    </w:p>
    <w:p>
      <w:pPr>
        <w:autoSpaceDE w:val="0"/>
        <w:autoSpaceDN w:val="0"/>
        <w:spacing w:line="360" w:lineRule="auto"/>
        <w:ind w:firstLine="1978" w:firstLineChars="1150"/>
        <w:rPr>
          <w:rFonts w:eastAsia="黑体"/>
          <w:bCs/>
          <w:spacing w:val="-4"/>
          <w:kern w:val="0"/>
          <w:sz w:val="18"/>
          <w:szCs w:val="18"/>
        </w:rPr>
      </w:pPr>
      <w:r>
        <w:rPr>
          <w:rFonts w:ascii="黑体" w:hAnsi="黑体" w:eastAsia="黑体"/>
          <w:bCs/>
          <w:spacing w:val="-4"/>
          <w:kern w:val="0"/>
          <w:sz w:val="18"/>
          <w:szCs w:val="18"/>
        </w:rPr>
        <w:t>（</w:t>
      </w:r>
      <w:r>
        <w:rPr>
          <w:rFonts w:eastAsia="黑体"/>
          <w:bCs/>
          <w:spacing w:val="-4"/>
          <w:kern w:val="0"/>
          <w:sz w:val="18"/>
          <w:szCs w:val="18"/>
        </w:rPr>
        <w:t>a</w:t>
      </w:r>
      <w:r>
        <w:rPr>
          <w:rFonts w:ascii="黑体" w:hAnsi="黑体" w:eastAsia="黑体"/>
          <w:bCs/>
          <w:spacing w:val="-4"/>
          <w:kern w:val="0"/>
          <w:sz w:val="18"/>
          <w:szCs w:val="18"/>
        </w:rPr>
        <w:t>）端节点                                     （</w:t>
      </w:r>
      <w:r>
        <w:rPr>
          <w:rFonts w:eastAsia="黑体"/>
          <w:bCs/>
          <w:spacing w:val="-4"/>
          <w:kern w:val="0"/>
          <w:sz w:val="18"/>
          <w:szCs w:val="18"/>
        </w:rPr>
        <w:t>b</w:t>
      </w:r>
      <w:r>
        <w:rPr>
          <w:rFonts w:ascii="黑体" w:hAnsi="黑体" w:eastAsia="黑体"/>
          <w:bCs/>
          <w:spacing w:val="-4"/>
          <w:kern w:val="0"/>
          <w:sz w:val="18"/>
          <w:szCs w:val="18"/>
        </w:rPr>
        <w:t>）中节点</w:t>
      </w:r>
    </w:p>
    <w:p>
      <w:pPr>
        <w:pStyle w:val="114"/>
        <w:spacing w:before="156" w:after="156"/>
      </w:pPr>
      <w:r>
        <w:rPr>
          <w:rFonts w:hint="eastAsia"/>
        </w:rPr>
        <w:t>桁架上弦钢筋搭接构造示意</w:t>
      </w:r>
    </w:p>
    <w:p>
      <w:pPr>
        <w:pStyle w:val="114"/>
        <w:numPr>
          <w:ilvl w:val="0"/>
          <w:numId w:val="49"/>
        </w:numPr>
        <w:spacing w:before="156" w:after="156"/>
      </w:pPr>
      <w:r>
        <w:rPr>
          <w:rFonts w:hint="eastAsia"/>
        </w:rPr>
        <w:t>支承梁或墙；2—桁架预制板；3—上弦钢筋；4—支座处桁架上弦筋搭接钢筋</w:t>
      </w:r>
    </w:p>
    <w:p>
      <w:pPr>
        <w:pStyle w:val="65"/>
        <w:spacing w:before="156" w:after="156"/>
        <w:outlineLvl w:val="9"/>
        <w:rPr>
          <w:rFonts w:ascii="Times New Roman" w:eastAsia="宋体"/>
        </w:rPr>
      </w:pPr>
      <w:r>
        <w:rPr>
          <w:rFonts w:hint="eastAsia" w:ascii="宋体" w:hAnsi="宋体" w:eastAsia="宋体"/>
        </w:rPr>
        <w:t>桁架预制板纵向钢筋伸入支座时，应在支承梁或墙的后浇混凝土中锚固</w:t>
      </w:r>
      <w:r>
        <w:rPr>
          <w:rFonts w:ascii="Times New Roman" w:eastAsia="宋体"/>
        </w:rPr>
        <w:t>（图11），锚固长度不应小于</w:t>
      </w:r>
      <w:r>
        <w:rPr>
          <w:rFonts w:ascii="Times New Roman" w:eastAsia="宋体"/>
          <w:i/>
          <w:iCs/>
          <w:spacing w:val="-4"/>
        </w:rPr>
        <w:t>l</w:t>
      </w:r>
      <w:r>
        <w:rPr>
          <w:rFonts w:ascii="Times New Roman" w:eastAsia="宋体"/>
          <w:iCs/>
          <w:spacing w:val="-4"/>
          <w:vertAlign w:val="subscript"/>
        </w:rPr>
        <w:t>s</w:t>
      </w:r>
      <w:r>
        <w:rPr>
          <w:rFonts w:ascii="Times New Roman" w:eastAsia="宋体"/>
        </w:rPr>
        <w:t>。当板端支座承担负弯矩时，</w:t>
      </w:r>
      <w:r>
        <w:rPr>
          <w:rFonts w:ascii="Times New Roman" w:eastAsia="宋体"/>
          <w:i/>
          <w:iCs/>
          <w:spacing w:val="-4"/>
        </w:rPr>
        <w:t>l</w:t>
      </w:r>
      <w:r>
        <w:rPr>
          <w:rFonts w:ascii="Times New Roman" w:eastAsia="宋体"/>
          <w:iCs/>
          <w:spacing w:val="-4"/>
          <w:vertAlign w:val="subscript"/>
        </w:rPr>
        <w:t>s</w:t>
      </w:r>
      <w:r>
        <w:rPr>
          <w:rFonts w:ascii="Times New Roman" w:eastAsia="宋体"/>
        </w:rPr>
        <w:t>不应小于5</w:t>
      </w:r>
      <w:r>
        <w:rPr>
          <w:rFonts w:ascii="Times New Roman" w:eastAsia="宋体"/>
          <w:i/>
        </w:rPr>
        <w:t>d</w:t>
      </w:r>
      <w:r>
        <w:rPr>
          <w:rFonts w:ascii="Times New Roman" w:eastAsia="宋体"/>
        </w:rPr>
        <w:t>且宜伸至支座中心线；当节点区承受正弯矩时，</w:t>
      </w:r>
      <w:r>
        <w:rPr>
          <w:rFonts w:ascii="Times New Roman" w:eastAsia="宋体"/>
          <w:i/>
          <w:iCs/>
          <w:spacing w:val="-4"/>
        </w:rPr>
        <w:t>l</w:t>
      </w:r>
      <w:r>
        <w:rPr>
          <w:rFonts w:ascii="Times New Roman" w:eastAsia="宋体"/>
          <w:iCs/>
          <w:spacing w:val="-4"/>
          <w:vertAlign w:val="subscript"/>
        </w:rPr>
        <w:t>s</w:t>
      </w:r>
      <w:r>
        <w:rPr>
          <w:rFonts w:ascii="Times New Roman" w:eastAsia="宋体"/>
        </w:rPr>
        <w:t>不应小于受拉钢筋锚固长度</w:t>
      </w:r>
      <w:r>
        <w:rPr>
          <w:rFonts w:ascii="Times New Roman" w:eastAsia="宋体"/>
          <w:i/>
          <w:iCs/>
          <w:spacing w:val="-4"/>
        </w:rPr>
        <w:t>l</w:t>
      </w:r>
      <w:r>
        <w:rPr>
          <w:rFonts w:ascii="Times New Roman" w:eastAsia="宋体"/>
          <w:iCs/>
          <w:spacing w:val="-4"/>
          <w:vertAlign w:val="subscript"/>
        </w:rPr>
        <w:t>a</w:t>
      </w:r>
      <w:r>
        <w:rPr>
          <w:rFonts w:ascii="Times New Roman" w:eastAsia="宋体"/>
        </w:rPr>
        <w:t>。</w:t>
      </w:r>
    </w:p>
    <w:p>
      <w:pPr>
        <w:pStyle w:val="65"/>
        <w:numPr>
          <w:ilvl w:val="0"/>
          <w:numId w:val="0"/>
        </w:numPr>
        <w:spacing w:before="156" w:after="156"/>
        <w:jc w:val="center"/>
        <w:outlineLvl w:val="9"/>
        <w:rPr>
          <w:rFonts w:ascii="宋体" w:hAnsi="宋体" w:eastAsia="宋体"/>
        </w:rPr>
      </w:pPr>
      <w:r>
        <w:drawing>
          <wp:inline distT="0" distB="0" distL="0" distR="0">
            <wp:extent cx="5274310" cy="1504950"/>
            <wp:effectExtent l="0" t="0" r="254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30"/>
                    <a:stretch>
                      <a:fillRect/>
                    </a:stretch>
                  </pic:blipFill>
                  <pic:spPr>
                    <a:xfrm>
                      <a:off x="0" y="0"/>
                      <a:ext cx="5274310" cy="1504950"/>
                    </a:xfrm>
                    <a:prstGeom prst="rect">
                      <a:avLst/>
                    </a:prstGeom>
                  </pic:spPr>
                </pic:pic>
              </a:graphicData>
            </a:graphic>
          </wp:inline>
        </w:drawing>
      </w:r>
    </w:p>
    <w:p>
      <w:pPr>
        <w:autoSpaceDE w:val="0"/>
        <w:autoSpaceDN w:val="0"/>
        <w:spacing w:line="360" w:lineRule="auto"/>
        <w:ind w:firstLine="2408" w:firstLineChars="1400"/>
        <w:rPr>
          <w:rFonts w:ascii="黑体" w:hAnsi="黑体" w:eastAsia="黑体"/>
          <w:bCs/>
          <w:spacing w:val="-4"/>
          <w:kern w:val="0"/>
          <w:sz w:val="18"/>
          <w:szCs w:val="18"/>
        </w:rPr>
      </w:pPr>
      <w:r>
        <w:rPr>
          <w:rFonts w:ascii="黑体" w:hAnsi="黑体" w:eastAsia="黑体"/>
          <w:bCs/>
          <w:spacing w:val="-4"/>
          <w:kern w:val="0"/>
          <w:sz w:val="18"/>
          <w:szCs w:val="18"/>
        </w:rPr>
        <w:t xml:space="preserve">（a）端节点     </w:t>
      </w:r>
      <w:r>
        <w:rPr>
          <w:rFonts w:hint="eastAsia" w:ascii="黑体" w:hAnsi="黑体" w:eastAsia="黑体"/>
          <w:bCs/>
          <w:spacing w:val="-4"/>
          <w:kern w:val="0"/>
          <w:sz w:val="18"/>
          <w:szCs w:val="18"/>
        </w:rPr>
        <w:t xml:space="preserve"> </w:t>
      </w:r>
      <w:r>
        <w:rPr>
          <w:rFonts w:ascii="黑体" w:hAnsi="黑体" w:eastAsia="黑体"/>
          <w:bCs/>
          <w:spacing w:val="-4"/>
          <w:kern w:val="0"/>
          <w:sz w:val="18"/>
          <w:szCs w:val="18"/>
        </w:rPr>
        <w:t xml:space="preserve">            </w:t>
      </w:r>
      <w:r>
        <w:rPr>
          <w:rFonts w:hint="eastAsia" w:ascii="黑体" w:hAnsi="黑体" w:eastAsia="黑体"/>
          <w:bCs/>
          <w:spacing w:val="-4"/>
          <w:kern w:val="0"/>
          <w:sz w:val="18"/>
          <w:szCs w:val="18"/>
        </w:rPr>
        <w:t xml:space="preserve"> </w:t>
      </w:r>
      <w:r>
        <w:rPr>
          <w:rFonts w:ascii="黑体" w:hAnsi="黑体" w:eastAsia="黑体"/>
          <w:bCs/>
          <w:spacing w:val="-4"/>
          <w:kern w:val="0"/>
          <w:sz w:val="18"/>
          <w:szCs w:val="18"/>
        </w:rPr>
        <w:t xml:space="preserve">            （b）中节点</w:t>
      </w:r>
    </w:p>
    <w:p>
      <w:pPr>
        <w:pStyle w:val="114"/>
        <w:spacing w:before="156" w:after="156"/>
      </w:pPr>
      <w:r>
        <w:rPr>
          <w:rFonts w:hint="eastAsia"/>
        </w:rPr>
        <w:t>纵筋外伸的板端支座构造示意</w:t>
      </w:r>
    </w:p>
    <w:p>
      <w:pPr>
        <w:pStyle w:val="114"/>
        <w:numPr>
          <w:ilvl w:val="0"/>
          <w:numId w:val="0"/>
        </w:numPr>
        <w:spacing w:before="156" w:after="156"/>
      </w:pPr>
      <w:r>
        <w:rPr>
          <w:rFonts w:hint="eastAsia"/>
        </w:rPr>
        <w:t>1—支承梁或墙；2—桁架预制板；3—桁架预制板纵筋</w:t>
      </w:r>
    </w:p>
    <w:p>
      <w:pPr>
        <w:pStyle w:val="65"/>
        <w:spacing w:before="156" w:after="156"/>
        <w:outlineLvl w:val="9"/>
        <w:rPr>
          <w:rFonts w:ascii="宋体" w:hAnsi="宋体" w:eastAsia="宋体"/>
        </w:rPr>
      </w:pPr>
      <w:r>
        <w:rPr>
          <w:rFonts w:hint="eastAsia" w:ascii="宋体" w:hAnsi="宋体" w:eastAsia="宋体"/>
        </w:rPr>
        <w:t>桁架预制板纵向钢筋不伸入支座时，应符合下列规定：</w:t>
      </w:r>
    </w:p>
    <w:p>
      <w:pPr>
        <w:pStyle w:val="174"/>
        <w:numPr>
          <w:ilvl w:val="0"/>
          <w:numId w:val="50"/>
        </w:numPr>
        <w:rPr>
          <w:rFonts w:ascii="Times New Roman"/>
        </w:rPr>
      </w:pPr>
      <w:r>
        <w:rPr>
          <w:rFonts w:hint="eastAsia"/>
        </w:rPr>
        <w:t>后浇混凝土叠合层厚度不应小于桁架预制板厚度</w:t>
      </w:r>
      <w:r>
        <w:rPr>
          <w:rFonts w:ascii="Times New Roman"/>
        </w:rPr>
        <w:t>的1.5倍，且不应小于75mm</w:t>
      </w:r>
      <w:r>
        <w:rPr>
          <w:rFonts w:hint="eastAsia" w:ascii="Times New Roman"/>
        </w:rPr>
        <w:t>；</w:t>
      </w:r>
      <w:r>
        <w:rPr>
          <w:rFonts w:ascii="Times New Roman"/>
        </w:rPr>
        <w:t xml:space="preserve"> </w:t>
      </w:r>
    </w:p>
    <w:p>
      <w:pPr>
        <w:pStyle w:val="174"/>
        <w:rPr>
          <w:rFonts w:ascii="Times New Roman"/>
        </w:rPr>
      </w:pPr>
      <w:r>
        <w:rPr>
          <w:rFonts w:ascii="Times New Roman"/>
        </w:rPr>
        <w:t>支座处应设置垂直于板端的桁架预制板纵筋搭接钢筋，搭接钢筋截面积应按本文件第6.4.1条的要求计算确定，且不应小于桁架预制板内跨中同方向受力钢筋面积的1/3，搭接钢筋直径不宜小于8mm，间距不宜大于250mm；搭接钢筋强度等级不应低于与搭接钢筋平行的桁架预制板内同向受力钢筋的强度等级</w:t>
      </w:r>
      <w:r>
        <w:rPr>
          <w:rFonts w:hint="eastAsia" w:ascii="Times New Roman"/>
        </w:rPr>
        <w:t>；</w:t>
      </w:r>
      <w:r>
        <w:rPr>
          <w:rFonts w:ascii="Times New Roman"/>
        </w:rPr>
        <w:t xml:space="preserve"> </w:t>
      </w:r>
    </w:p>
    <w:p>
      <w:pPr>
        <w:pStyle w:val="174"/>
        <w:rPr>
          <w:rFonts w:ascii="Times New Roman"/>
        </w:rPr>
      </w:pPr>
      <w:r>
        <w:rPr>
          <w:rFonts w:ascii="Times New Roman"/>
        </w:rPr>
        <w:t>对于端节点支座，搭接钢筋伸入后浇叠合层锚固长度</w:t>
      </w:r>
      <w:r>
        <w:rPr>
          <w:rFonts w:ascii="Times New Roman"/>
          <w:i/>
          <w:iCs/>
          <w:spacing w:val="-4"/>
        </w:rPr>
        <w:t>l</w:t>
      </w:r>
      <w:r>
        <w:rPr>
          <w:rFonts w:ascii="Times New Roman"/>
          <w:iCs/>
          <w:spacing w:val="-4"/>
          <w:vertAlign w:val="subscript"/>
        </w:rPr>
        <w:t>s</w:t>
      </w:r>
      <w:r>
        <w:rPr>
          <w:rFonts w:ascii="Times New Roman"/>
        </w:rPr>
        <w:t>不应小于</w:t>
      </w:r>
      <w:r>
        <w:rPr>
          <w:rFonts w:ascii="Times New Roman"/>
          <w:spacing w:val="-4"/>
        </w:rPr>
        <w:t>1.2</w:t>
      </w:r>
      <w:r>
        <w:rPr>
          <w:rFonts w:ascii="Times New Roman"/>
          <w:i/>
          <w:iCs/>
          <w:spacing w:val="-4"/>
        </w:rPr>
        <w:t>l</w:t>
      </w:r>
      <w:r>
        <w:rPr>
          <w:rFonts w:ascii="Times New Roman"/>
          <w:iCs/>
          <w:spacing w:val="-4"/>
          <w:vertAlign w:val="subscript"/>
        </w:rPr>
        <w:t>a</w:t>
      </w:r>
      <w:r>
        <w:rPr>
          <w:rFonts w:ascii="Times New Roman"/>
        </w:rPr>
        <w:t>，并应在支承梁或墙的后浇混凝土中锚固，锚固长度不应小于</w:t>
      </w:r>
      <w:r>
        <w:rPr>
          <w:rFonts w:ascii="Times New Roman"/>
          <w:i/>
          <w:iCs/>
          <w:spacing w:val="-4"/>
        </w:rPr>
        <w:t>l</w:t>
      </w:r>
      <w:r>
        <w:rPr>
          <w:rFonts w:ascii="Times New Roman"/>
          <w:iCs/>
          <w:spacing w:val="-4"/>
          <w:vertAlign w:val="subscript"/>
        </w:rPr>
        <w:t>s</w:t>
      </w:r>
      <w:r>
        <w:rPr>
          <w:rFonts w:hint="eastAsia" w:ascii="Times New Roman"/>
          <w:iCs/>
          <w:spacing w:val="-4"/>
          <w:vertAlign w:val="superscript"/>
        </w:rPr>
        <w:t>'</w:t>
      </w:r>
      <w:r>
        <w:rPr>
          <w:rFonts w:ascii="Times New Roman"/>
        </w:rPr>
        <w:t>；当板端支座承担负弯矩时，支座内锚固长度</w:t>
      </w:r>
      <w:r>
        <w:rPr>
          <w:rFonts w:ascii="Times New Roman"/>
          <w:i/>
          <w:iCs/>
          <w:spacing w:val="-4"/>
        </w:rPr>
        <w:t>l</w:t>
      </w:r>
      <w:r>
        <w:rPr>
          <w:rFonts w:ascii="Times New Roman"/>
          <w:iCs/>
          <w:spacing w:val="-4"/>
          <w:vertAlign w:val="subscript"/>
        </w:rPr>
        <w:t>s</w:t>
      </w:r>
      <w:r>
        <w:rPr>
          <w:rFonts w:hint="eastAsia" w:ascii="Times New Roman"/>
          <w:iCs/>
          <w:spacing w:val="-4"/>
          <w:vertAlign w:val="superscript"/>
        </w:rPr>
        <w:t>'</w:t>
      </w:r>
      <w:r>
        <w:rPr>
          <w:rFonts w:ascii="Times New Roman"/>
        </w:rPr>
        <w:t>不应小于15</w:t>
      </w:r>
      <w:r>
        <w:rPr>
          <w:rFonts w:ascii="Times New Roman"/>
          <w:i/>
        </w:rPr>
        <w:t>d</w:t>
      </w:r>
      <w:r>
        <w:rPr>
          <w:rFonts w:ascii="Times New Roman"/>
        </w:rPr>
        <w:t>且宜伸至支座中心线；当节点区承受正弯矩时，支座内锚固长度</w:t>
      </w:r>
      <w:r>
        <w:rPr>
          <w:rFonts w:ascii="Times New Roman"/>
          <w:i/>
          <w:iCs/>
          <w:spacing w:val="-4"/>
        </w:rPr>
        <w:t>l</w:t>
      </w:r>
      <w:r>
        <w:rPr>
          <w:rFonts w:ascii="Times New Roman"/>
          <w:iCs/>
          <w:spacing w:val="-4"/>
          <w:vertAlign w:val="subscript"/>
        </w:rPr>
        <w:t>s</w:t>
      </w:r>
      <w:r>
        <w:rPr>
          <w:rFonts w:hint="eastAsia" w:ascii="Times New Roman"/>
          <w:iCs/>
          <w:spacing w:val="-4"/>
          <w:vertAlign w:val="superscript"/>
        </w:rPr>
        <w:t>'</w:t>
      </w:r>
      <w:r>
        <w:rPr>
          <w:rFonts w:ascii="Times New Roman"/>
        </w:rPr>
        <w:t>不应小于受拉钢筋锚固长度</w:t>
      </w:r>
      <w:r>
        <w:rPr>
          <w:rFonts w:ascii="Times New Roman"/>
          <w:i/>
          <w:iCs/>
          <w:spacing w:val="-4"/>
        </w:rPr>
        <w:t>l</w:t>
      </w:r>
      <w:r>
        <w:rPr>
          <w:rFonts w:ascii="Times New Roman"/>
          <w:iCs/>
          <w:spacing w:val="-4"/>
          <w:vertAlign w:val="subscript"/>
        </w:rPr>
        <w:t>a</w:t>
      </w:r>
      <w:r>
        <w:rPr>
          <w:rFonts w:ascii="Times New Roman"/>
        </w:rPr>
        <w:t>（图12a）。对于中节点支座，搭接钢筋在节点区应贯通，且每侧伸入后浇叠合层锚固长度</w:t>
      </w:r>
      <w:r>
        <w:rPr>
          <w:rFonts w:ascii="Times New Roman"/>
          <w:i/>
          <w:iCs/>
          <w:spacing w:val="-4"/>
        </w:rPr>
        <w:t>l</w:t>
      </w:r>
      <w:r>
        <w:rPr>
          <w:rFonts w:ascii="Times New Roman"/>
          <w:iCs/>
          <w:spacing w:val="-4"/>
          <w:vertAlign w:val="subscript"/>
        </w:rPr>
        <w:t>s</w:t>
      </w:r>
      <w:r>
        <w:rPr>
          <w:rFonts w:ascii="Times New Roman"/>
        </w:rPr>
        <w:t>不应小于1.2</w:t>
      </w:r>
      <w:r>
        <w:rPr>
          <w:rFonts w:ascii="Times New Roman"/>
          <w:i/>
          <w:iCs/>
          <w:spacing w:val="-4"/>
        </w:rPr>
        <w:t>l</w:t>
      </w:r>
      <w:r>
        <w:rPr>
          <w:rFonts w:ascii="Times New Roman"/>
          <w:iCs/>
          <w:spacing w:val="-4"/>
          <w:vertAlign w:val="subscript"/>
        </w:rPr>
        <w:t>a</w:t>
      </w:r>
      <w:r>
        <w:rPr>
          <w:rFonts w:ascii="Times New Roman"/>
        </w:rPr>
        <w:t>（图12b）</w:t>
      </w:r>
      <w:r>
        <w:rPr>
          <w:rFonts w:hint="eastAsia" w:ascii="Times New Roman"/>
        </w:rPr>
        <w:t>；</w:t>
      </w:r>
    </w:p>
    <w:p>
      <w:pPr>
        <w:pStyle w:val="174"/>
        <w:rPr>
          <w:rFonts w:ascii="Times New Roman"/>
        </w:rPr>
      </w:pPr>
      <w:r>
        <w:rPr>
          <w:rFonts w:ascii="Times New Roman"/>
        </w:rPr>
        <w:t>垂直于搭接钢筋的方向应布置横向分布钢筋，在一侧纵向钢筋的搭接范围内应设置不少于2道横向分布钢筋，且钢筋直径不宜小于6mm</w:t>
      </w:r>
      <w:r>
        <w:rPr>
          <w:rFonts w:hint="eastAsia" w:ascii="Times New Roman"/>
        </w:rPr>
        <w:t>；</w:t>
      </w:r>
      <w:r>
        <w:rPr>
          <w:rFonts w:ascii="Times New Roman"/>
        </w:rPr>
        <w:t xml:space="preserve"> </w:t>
      </w:r>
    </w:p>
    <w:p>
      <w:pPr>
        <w:pStyle w:val="174"/>
      </w:pPr>
      <w:r>
        <w:rPr>
          <w:rFonts w:hint="eastAsia"/>
        </w:rPr>
        <w:t>当搭接钢筋紧贴叠合面时，板端顶面应设置倒角，倒角不</w:t>
      </w:r>
      <w:r>
        <w:rPr>
          <w:rFonts w:ascii="Times New Roman"/>
        </w:rPr>
        <w:t>宜小于15mm×15mm。</w:t>
      </w:r>
    </w:p>
    <w:p>
      <w:pPr>
        <w:pStyle w:val="174"/>
        <w:numPr>
          <w:ilvl w:val="0"/>
          <w:numId w:val="0"/>
        </w:numPr>
        <w:jc w:val="center"/>
      </w:pPr>
      <w:r>
        <w:drawing>
          <wp:inline distT="0" distB="0" distL="0" distR="0">
            <wp:extent cx="5274310" cy="1225550"/>
            <wp:effectExtent l="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31"/>
                    <a:stretch>
                      <a:fillRect/>
                    </a:stretch>
                  </pic:blipFill>
                  <pic:spPr>
                    <a:xfrm>
                      <a:off x="0" y="0"/>
                      <a:ext cx="5274310" cy="1225550"/>
                    </a:xfrm>
                    <a:prstGeom prst="rect">
                      <a:avLst/>
                    </a:prstGeom>
                  </pic:spPr>
                </pic:pic>
              </a:graphicData>
            </a:graphic>
          </wp:inline>
        </w:drawing>
      </w:r>
    </w:p>
    <w:p>
      <w:pPr>
        <w:autoSpaceDE w:val="0"/>
        <w:autoSpaceDN w:val="0"/>
        <w:spacing w:line="360" w:lineRule="auto"/>
        <w:ind w:firstLine="1892" w:firstLineChars="1100"/>
        <w:rPr>
          <w:rFonts w:ascii="黑体" w:hAnsi="黑体" w:eastAsia="黑体"/>
          <w:bCs/>
          <w:spacing w:val="-4"/>
          <w:kern w:val="0"/>
          <w:sz w:val="18"/>
          <w:szCs w:val="18"/>
        </w:rPr>
      </w:pPr>
      <w:r>
        <w:rPr>
          <w:rFonts w:ascii="黑体" w:hAnsi="黑体" w:eastAsia="黑体"/>
          <w:bCs/>
          <w:spacing w:val="-4"/>
          <w:kern w:val="0"/>
          <w:sz w:val="18"/>
          <w:szCs w:val="18"/>
        </w:rPr>
        <w:t>（a）端节点                                      （b）中节点</w:t>
      </w:r>
    </w:p>
    <w:p>
      <w:pPr>
        <w:pStyle w:val="114"/>
        <w:spacing w:before="156" w:after="156"/>
      </w:pPr>
      <w:r>
        <w:rPr>
          <w:rFonts w:hint="eastAsia"/>
        </w:rPr>
        <w:t>无外伸纵筋的板端支座构造示意</w:t>
      </w:r>
    </w:p>
    <w:p>
      <w:pPr>
        <w:pStyle w:val="114"/>
        <w:numPr>
          <w:ilvl w:val="0"/>
          <w:numId w:val="51"/>
        </w:numPr>
        <w:spacing w:before="156" w:after="156"/>
      </w:pPr>
      <w:r>
        <w:rPr>
          <w:rFonts w:hint="eastAsia"/>
        </w:rPr>
        <w:t>支承梁或墙；2—桁架预制板；3—桁架预制板纵筋；4—钢筋桁架；5—支座处桁架预制板纵筋搭接钢筋；6—横向分布钢筋</w:t>
      </w:r>
    </w:p>
    <w:p>
      <w:pPr>
        <w:pStyle w:val="56"/>
      </w:pPr>
      <w:bookmarkStart w:id="163" w:name="_GoBack"/>
      <w:bookmarkEnd w:id="163"/>
    </w:p>
    <w:p>
      <w:pPr>
        <w:pStyle w:val="104"/>
        <w:spacing w:before="312" w:after="312"/>
      </w:pPr>
      <w:bookmarkStart w:id="94" w:name="_Toc69916885"/>
      <w:bookmarkStart w:id="95" w:name="_Toc69885197"/>
      <w:r>
        <w:rPr>
          <w:rFonts w:hint="eastAsia"/>
        </w:rPr>
        <w:t>桁架预制板制作、运输与堆放</w:t>
      </w:r>
      <w:bookmarkEnd w:id="94"/>
      <w:bookmarkEnd w:id="95"/>
    </w:p>
    <w:p>
      <w:pPr>
        <w:pStyle w:val="105"/>
        <w:spacing w:before="156" w:after="156"/>
      </w:pPr>
      <w:bookmarkStart w:id="96" w:name="_Toc69916886"/>
      <w:bookmarkStart w:id="97" w:name="_Toc69885198"/>
      <w:r>
        <w:rPr>
          <w:rFonts w:hint="eastAsia"/>
        </w:rPr>
        <w:t>一般规定</w:t>
      </w:r>
      <w:bookmarkEnd w:id="96"/>
      <w:bookmarkEnd w:id="97"/>
    </w:p>
    <w:p>
      <w:pPr>
        <w:pStyle w:val="65"/>
        <w:spacing w:before="156" w:after="156"/>
        <w:outlineLvl w:val="9"/>
        <w:rPr>
          <w:rFonts w:ascii="宋体" w:hAnsi="宋体" w:eastAsia="宋体"/>
        </w:rPr>
      </w:pPr>
      <w:r>
        <w:rPr>
          <w:rFonts w:hint="eastAsia" w:ascii="宋体" w:hAnsi="宋体" w:eastAsia="宋体"/>
        </w:rPr>
        <w:t>桁架预制板生产企业应具有固定的生产场所、生产设备、设施及生产工艺应符合企业的生产规模、生产特点和质量要求，并应符合环境保护和安全生产要求。</w:t>
      </w:r>
    </w:p>
    <w:p>
      <w:pPr>
        <w:pStyle w:val="65"/>
        <w:spacing w:before="156" w:after="156"/>
        <w:outlineLvl w:val="9"/>
        <w:rPr>
          <w:rFonts w:ascii="宋体" w:hAnsi="宋体" w:eastAsia="宋体"/>
        </w:rPr>
      </w:pPr>
      <w:r>
        <w:rPr>
          <w:rFonts w:hint="eastAsia" w:ascii="宋体" w:hAnsi="宋体" w:eastAsia="宋体"/>
        </w:rPr>
        <w:t>桁架预制板制作前，应由建设单位组织设计单位、生产企业、施工单位、监理单位进行设计文件交底和图纸会审。必要时，应根据批准的设计文件、拟定的生产工艺、运输吊装方案等编制构件加工详图。</w:t>
      </w:r>
    </w:p>
    <w:p>
      <w:pPr>
        <w:pStyle w:val="65"/>
        <w:spacing w:before="156" w:after="156"/>
        <w:outlineLvl w:val="9"/>
        <w:rPr>
          <w:rFonts w:ascii="宋体" w:hAnsi="宋体" w:eastAsia="宋体"/>
        </w:rPr>
      </w:pPr>
      <w:r>
        <w:rPr>
          <w:rFonts w:hint="eastAsia" w:ascii="宋体" w:hAnsi="宋体" w:eastAsia="宋体"/>
        </w:rPr>
        <w:t>桁架预制板制作前，应制定生产方案。生产方案宜包括生产计划、生产工艺、模具方案及计划、质量与安全控制措施、成品保护、运输与堆放等内容。</w:t>
      </w:r>
    </w:p>
    <w:p>
      <w:pPr>
        <w:pStyle w:val="105"/>
        <w:spacing w:before="156" w:after="156"/>
      </w:pPr>
      <w:bookmarkStart w:id="98" w:name="_Toc69916887"/>
      <w:bookmarkStart w:id="99" w:name="_Toc69885199"/>
      <w:r>
        <w:rPr>
          <w:rFonts w:hint="eastAsia"/>
        </w:rPr>
        <w:t>模具</w:t>
      </w:r>
      <w:bookmarkEnd w:id="98"/>
      <w:bookmarkEnd w:id="99"/>
    </w:p>
    <w:p>
      <w:pPr>
        <w:pStyle w:val="65"/>
        <w:spacing w:before="156" w:after="156"/>
        <w:outlineLvl w:val="9"/>
        <w:rPr>
          <w:rFonts w:ascii="宋体" w:hAnsi="宋体" w:eastAsia="宋体"/>
        </w:rPr>
      </w:pPr>
      <w:r>
        <w:rPr>
          <w:rFonts w:hint="eastAsia" w:ascii="宋体" w:hAnsi="宋体" w:eastAsia="宋体"/>
        </w:rPr>
        <w:t>模具配置方案应与桁架预制板的形式、生产计划、生产工艺相适应。</w:t>
      </w:r>
    </w:p>
    <w:p>
      <w:pPr>
        <w:pStyle w:val="65"/>
        <w:spacing w:before="156" w:after="156"/>
        <w:outlineLvl w:val="9"/>
        <w:rPr>
          <w:rFonts w:ascii="宋体" w:hAnsi="宋体" w:eastAsia="宋体"/>
        </w:rPr>
      </w:pPr>
      <w:r>
        <w:rPr>
          <w:rFonts w:hint="eastAsia" w:ascii="宋体" w:hAnsi="宋体" w:eastAsia="宋体"/>
        </w:rPr>
        <w:t>桁架预制板模具应具有足够的刚度、强度和平整度，并符合桁架预制板精度要求。模具应便于拼装和拆卸，并满足周转次数、钢筋安装与定位、预留孔洞和预埋件定位、脱模等要求。</w:t>
      </w:r>
    </w:p>
    <w:p>
      <w:pPr>
        <w:pStyle w:val="65"/>
        <w:spacing w:before="156" w:after="156"/>
        <w:outlineLvl w:val="9"/>
        <w:rPr>
          <w:rFonts w:ascii="宋体" w:hAnsi="宋体" w:eastAsia="宋体"/>
        </w:rPr>
      </w:pPr>
      <w:r>
        <w:rPr>
          <w:rFonts w:hint="eastAsia" w:ascii="宋体" w:hAnsi="宋体" w:eastAsia="宋体"/>
        </w:rPr>
        <w:t>模具外观质量及其拼装应符合下列规定：</w:t>
      </w:r>
    </w:p>
    <w:p>
      <w:pPr>
        <w:pStyle w:val="174"/>
        <w:numPr>
          <w:ilvl w:val="0"/>
          <w:numId w:val="52"/>
        </w:numPr>
      </w:pPr>
      <w:r>
        <w:rPr>
          <w:rFonts w:hint="eastAsia"/>
        </w:rPr>
        <w:t>拼装应连接牢固、接缝紧密并保持清洁；</w:t>
      </w:r>
    </w:p>
    <w:p>
      <w:pPr>
        <w:pStyle w:val="174"/>
      </w:pPr>
      <w:r>
        <w:rPr>
          <w:rFonts w:hint="eastAsia"/>
        </w:rPr>
        <w:t>模具与混凝土的接触面不应有锈渍和氧化层脱落等现象；</w:t>
      </w:r>
    </w:p>
    <w:p>
      <w:pPr>
        <w:pStyle w:val="174"/>
      </w:pPr>
      <w:r>
        <w:rPr>
          <w:rFonts w:hint="eastAsia"/>
        </w:rPr>
        <w:t xml:space="preserve">涂刷脱模剂、缓凝剂时应均匀、无漏刷、无堆积；脱模剂、缓凝剂不得沾污钢筋表面，且不得影响桁架预制板外观质量；脱模剂宜采用水溶性隔离剂； </w:t>
      </w:r>
    </w:p>
    <w:p>
      <w:pPr>
        <w:pStyle w:val="174"/>
      </w:pPr>
      <w:r>
        <w:rPr>
          <w:rFonts w:hint="eastAsia"/>
        </w:rPr>
        <w:t>清水混凝土桁架预制板的模具应满足清水表面设计精度要求。</w:t>
      </w:r>
    </w:p>
    <w:p>
      <w:pPr>
        <w:pStyle w:val="65"/>
        <w:spacing w:before="156" w:after="156"/>
        <w:outlineLvl w:val="9"/>
        <w:rPr>
          <w:rFonts w:ascii="宋体" w:hAnsi="宋体" w:eastAsia="宋体"/>
        </w:rPr>
      </w:pPr>
      <w:r>
        <w:rPr>
          <w:rFonts w:hint="eastAsia" w:ascii="宋体" w:hAnsi="宋体" w:eastAsia="宋体"/>
        </w:rPr>
        <w:t>除设计有特殊要求外，模具拼装完成后，其尺寸偏差及检验方法应符合表</w:t>
      </w:r>
      <w:r>
        <w:rPr>
          <w:rFonts w:ascii="Times New Roman" w:eastAsia="宋体"/>
        </w:rPr>
        <w:t>4</w:t>
      </w:r>
      <w:r>
        <w:rPr>
          <w:rFonts w:hint="eastAsia" w:ascii="宋体" w:hAnsi="宋体" w:eastAsia="宋体"/>
        </w:rPr>
        <w:t>的规定。</w:t>
      </w:r>
    </w:p>
    <w:p>
      <w:pPr>
        <w:pStyle w:val="112"/>
        <w:spacing w:before="156" w:after="156"/>
      </w:pPr>
      <w:r>
        <w:rPr>
          <w:rFonts w:hint="eastAsia"/>
        </w:rPr>
        <w:t>模具尺寸允许偏差及检验方法</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699"/>
        <w:gridCol w:w="851"/>
        <w:gridCol w:w="1417"/>
        <w:gridCol w:w="1701"/>
        <w:gridCol w:w="466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699" w:type="dxa"/>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项次</w:t>
            </w:r>
          </w:p>
        </w:tc>
        <w:tc>
          <w:tcPr>
            <w:tcW w:w="2268" w:type="dxa"/>
            <w:gridSpan w:val="2"/>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检查项目</w:t>
            </w:r>
          </w:p>
        </w:tc>
        <w:tc>
          <w:tcPr>
            <w:tcW w:w="1701" w:type="dxa"/>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允许偏差（mm）</w:t>
            </w:r>
          </w:p>
        </w:tc>
        <w:tc>
          <w:tcPr>
            <w:tcW w:w="4666" w:type="dxa"/>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检验方法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699" w:type="dxa"/>
            <w:vMerge w:val="restart"/>
            <w:tcBorders>
              <w:top w:val="single" w:color="auto" w:sz="8" w:space="0"/>
            </w:tcBorders>
            <w:shd w:val="clear" w:color="auto" w:fill="auto"/>
            <w:vAlign w:val="center"/>
          </w:tcPr>
          <w:p>
            <w:pPr>
              <w:pStyle w:val="178"/>
              <w:rPr>
                <w:rFonts w:ascii="Times New Roman"/>
              </w:rPr>
            </w:pPr>
            <w:r>
              <w:rPr>
                <w:rFonts w:ascii="Times New Roman"/>
              </w:rPr>
              <w:t>1</w:t>
            </w:r>
          </w:p>
        </w:tc>
        <w:tc>
          <w:tcPr>
            <w:tcW w:w="851" w:type="dxa"/>
            <w:vMerge w:val="restart"/>
            <w:tcBorders>
              <w:top w:val="single" w:color="auto" w:sz="8" w:space="0"/>
            </w:tcBorders>
            <w:shd w:val="clear" w:color="auto" w:fill="auto"/>
            <w:vAlign w:val="center"/>
          </w:tcPr>
          <w:p>
            <w:pPr>
              <w:pStyle w:val="178"/>
              <w:rPr>
                <w:rFonts w:ascii="Times New Roman"/>
              </w:rPr>
            </w:pPr>
            <w:r>
              <w:rPr>
                <w:rFonts w:ascii="Times New Roman"/>
              </w:rPr>
              <w:t>长度</w:t>
            </w:r>
          </w:p>
        </w:tc>
        <w:tc>
          <w:tcPr>
            <w:tcW w:w="1417" w:type="dxa"/>
            <w:tcBorders>
              <w:top w:val="single" w:color="auto" w:sz="8" w:space="0"/>
            </w:tcBorders>
            <w:shd w:val="clear" w:color="auto" w:fill="auto"/>
            <w:vAlign w:val="center"/>
          </w:tcPr>
          <w:p>
            <w:pPr>
              <w:pStyle w:val="178"/>
              <w:rPr>
                <w:rFonts w:ascii="Times New Roman"/>
              </w:rPr>
            </w:pPr>
            <w:r>
              <w:rPr>
                <w:rFonts w:ascii="Times New Roman"/>
              </w:rPr>
              <w:t>≤6m</w:t>
            </w:r>
          </w:p>
        </w:tc>
        <w:tc>
          <w:tcPr>
            <w:tcW w:w="1701" w:type="dxa"/>
            <w:tcBorders>
              <w:top w:val="single" w:color="auto" w:sz="8" w:space="0"/>
            </w:tcBorders>
            <w:shd w:val="clear" w:color="auto" w:fill="auto"/>
            <w:vAlign w:val="center"/>
          </w:tcPr>
          <w:p>
            <w:pPr>
              <w:pStyle w:val="178"/>
              <w:rPr>
                <w:rFonts w:ascii="Times New Roman"/>
              </w:rPr>
            </w:pPr>
            <w:r>
              <w:rPr>
                <w:rFonts w:ascii="Times New Roman"/>
              </w:rPr>
              <w:t>1，-2</w:t>
            </w:r>
          </w:p>
        </w:tc>
        <w:tc>
          <w:tcPr>
            <w:tcW w:w="4666" w:type="dxa"/>
            <w:vMerge w:val="restart"/>
            <w:tcBorders>
              <w:top w:val="single" w:color="auto" w:sz="8" w:space="0"/>
            </w:tcBorders>
            <w:shd w:val="clear" w:color="auto" w:fill="auto"/>
            <w:vAlign w:val="center"/>
          </w:tcPr>
          <w:p>
            <w:pPr>
              <w:pStyle w:val="178"/>
              <w:rPr>
                <w:rFonts w:ascii="Times New Roman"/>
              </w:rPr>
            </w:pPr>
            <w:r>
              <w:rPr>
                <w:rFonts w:ascii="Times New Roman"/>
              </w:rPr>
              <w:t>用钢尺量测平行构件高度方向，取其中偏差绝对值较大处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78"/>
              <w:rPr>
                <w:rFonts w:ascii="Times New Roman"/>
              </w:rPr>
            </w:pPr>
          </w:p>
        </w:tc>
        <w:tc>
          <w:tcPr>
            <w:tcW w:w="851" w:type="dxa"/>
            <w:vMerge w:val="continue"/>
            <w:shd w:val="clear" w:color="auto" w:fill="auto"/>
            <w:vAlign w:val="center"/>
          </w:tcPr>
          <w:p>
            <w:pPr>
              <w:pStyle w:val="178"/>
              <w:rPr>
                <w:rFonts w:ascii="Times New Roman"/>
              </w:rPr>
            </w:pPr>
          </w:p>
        </w:tc>
        <w:tc>
          <w:tcPr>
            <w:tcW w:w="1417" w:type="dxa"/>
            <w:shd w:val="clear" w:color="auto" w:fill="auto"/>
            <w:vAlign w:val="center"/>
          </w:tcPr>
          <w:p>
            <w:pPr>
              <w:pStyle w:val="178"/>
              <w:rPr>
                <w:rFonts w:ascii="Times New Roman"/>
              </w:rPr>
            </w:pPr>
            <w:r>
              <w:rPr>
                <w:rFonts w:ascii="Times New Roman"/>
              </w:rPr>
              <w:t>＞6m</w:t>
            </w:r>
          </w:p>
        </w:tc>
        <w:tc>
          <w:tcPr>
            <w:tcW w:w="1701" w:type="dxa"/>
            <w:shd w:val="clear" w:color="auto" w:fill="auto"/>
            <w:vAlign w:val="center"/>
          </w:tcPr>
          <w:p>
            <w:pPr>
              <w:pStyle w:val="178"/>
              <w:rPr>
                <w:rFonts w:ascii="Times New Roman"/>
              </w:rPr>
            </w:pPr>
            <w:r>
              <w:rPr>
                <w:rFonts w:ascii="Times New Roman"/>
              </w:rPr>
              <w:t>2，-4</w:t>
            </w:r>
          </w:p>
        </w:tc>
        <w:tc>
          <w:tcPr>
            <w:tcW w:w="4666" w:type="dxa"/>
            <w:vMerge w:val="continue"/>
            <w:shd w:val="clear" w:color="auto" w:fill="auto"/>
            <w:vAlign w:val="center"/>
          </w:tcPr>
          <w:p>
            <w:pPr>
              <w:pStyle w:val="178"/>
              <w:rPr>
                <w:rFonts w:ascii="Times New Roma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rPr>
                <w:rFonts w:ascii="Times New Roman"/>
              </w:rPr>
            </w:pPr>
            <w:r>
              <w:rPr>
                <w:rFonts w:ascii="Times New Roman"/>
              </w:rPr>
              <w:t>2</w:t>
            </w:r>
          </w:p>
        </w:tc>
        <w:tc>
          <w:tcPr>
            <w:tcW w:w="2268" w:type="dxa"/>
            <w:gridSpan w:val="2"/>
            <w:shd w:val="clear" w:color="auto" w:fill="auto"/>
            <w:vAlign w:val="center"/>
          </w:tcPr>
          <w:p>
            <w:pPr>
              <w:pStyle w:val="178"/>
              <w:rPr>
                <w:rFonts w:ascii="Times New Roman"/>
              </w:rPr>
            </w:pPr>
            <w:r>
              <w:rPr>
                <w:rFonts w:ascii="Times New Roman"/>
              </w:rPr>
              <w:t>宽度、高（厚）度</w:t>
            </w:r>
          </w:p>
        </w:tc>
        <w:tc>
          <w:tcPr>
            <w:tcW w:w="1701" w:type="dxa"/>
            <w:shd w:val="clear" w:color="auto" w:fill="auto"/>
            <w:vAlign w:val="center"/>
          </w:tcPr>
          <w:p>
            <w:pPr>
              <w:pStyle w:val="178"/>
              <w:rPr>
                <w:rFonts w:ascii="Times New Roman"/>
              </w:rPr>
            </w:pPr>
            <w:r>
              <w:rPr>
                <w:rFonts w:ascii="Times New Roman"/>
              </w:rPr>
              <w:t>2，-4</w:t>
            </w:r>
          </w:p>
        </w:tc>
        <w:tc>
          <w:tcPr>
            <w:tcW w:w="4666" w:type="dxa"/>
            <w:shd w:val="clear" w:color="auto" w:fill="auto"/>
            <w:vAlign w:val="center"/>
          </w:tcPr>
          <w:p>
            <w:pPr>
              <w:pStyle w:val="178"/>
              <w:rPr>
                <w:rFonts w:ascii="Times New Roman"/>
              </w:rPr>
            </w:pPr>
            <w:r>
              <w:rPr>
                <w:rFonts w:ascii="Times New Roman"/>
              </w:rPr>
              <w:t>用钢尺量测两端和中部，取其中偏差绝对值较大处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rPr>
                <w:rFonts w:ascii="Times New Roman"/>
              </w:rPr>
            </w:pPr>
            <w:r>
              <w:rPr>
                <w:rFonts w:ascii="Times New Roman"/>
              </w:rPr>
              <w:t>3</w:t>
            </w:r>
          </w:p>
        </w:tc>
        <w:tc>
          <w:tcPr>
            <w:tcW w:w="2268" w:type="dxa"/>
            <w:gridSpan w:val="2"/>
            <w:shd w:val="clear" w:color="auto" w:fill="auto"/>
            <w:vAlign w:val="center"/>
          </w:tcPr>
          <w:p>
            <w:pPr>
              <w:pStyle w:val="178"/>
              <w:rPr>
                <w:rFonts w:ascii="Times New Roman"/>
              </w:rPr>
            </w:pPr>
            <w:r>
              <w:rPr>
                <w:rFonts w:ascii="Times New Roman"/>
              </w:rPr>
              <w:t>底模表面平整度</w:t>
            </w:r>
          </w:p>
        </w:tc>
        <w:tc>
          <w:tcPr>
            <w:tcW w:w="1701" w:type="dxa"/>
            <w:shd w:val="clear" w:color="auto" w:fill="auto"/>
            <w:vAlign w:val="center"/>
          </w:tcPr>
          <w:p>
            <w:pPr>
              <w:pStyle w:val="178"/>
              <w:rPr>
                <w:rFonts w:ascii="Times New Roman"/>
              </w:rPr>
            </w:pPr>
            <w:r>
              <w:rPr>
                <w:rFonts w:ascii="Times New Roman"/>
              </w:rPr>
              <w:t>2</w:t>
            </w:r>
          </w:p>
        </w:tc>
        <w:tc>
          <w:tcPr>
            <w:tcW w:w="4666" w:type="dxa"/>
            <w:shd w:val="clear" w:color="auto" w:fill="auto"/>
            <w:vAlign w:val="center"/>
          </w:tcPr>
          <w:p>
            <w:pPr>
              <w:pStyle w:val="178"/>
              <w:rPr>
                <w:rFonts w:ascii="Times New Roman"/>
              </w:rPr>
            </w:pPr>
            <w:r>
              <w:rPr>
                <w:rFonts w:ascii="Times New Roman"/>
              </w:rPr>
              <w:t>用2m靠尺和塞尺检查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699" w:type="dxa"/>
            <w:shd w:val="clear" w:color="auto" w:fill="auto"/>
            <w:vAlign w:val="center"/>
          </w:tcPr>
          <w:p>
            <w:pPr>
              <w:pStyle w:val="178"/>
              <w:rPr>
                <w:rFonts w:ascii="Times New Roman"/>
              </w:rPr>
            </w:pPr>
            <w:r>
              <w:rPr>
                <w:rFonts w:ascii="Times New Roman"/>
              </w:rPr>
              <w:t>4</w:t>
            </w:r>
          </w:p>
        </w:tc>
        <w:tc>
          <w:tcPr>
            <w:tcW w:w="2268" w:type="dxa"/>
            <w:gridSpan w:val="2"/>
            <w:shd w:val="clear" w:color="auto" w:fill="auto"/>
            <w:vAlign w:val="center"/>
          </w:tcPr>
          <w:p>
            <w:pPr>
              <w:pStyle w:val="178"/>
              <w:rPr>
                <w:rFonts w:ascii="Times New Roman"/>
              </w:rPr>
            </w:pPr>
            <w:r>
              <w:rPr>
                <w:rFonts w:ascii="Times New Roman"/>
              </w:rPr>
              <w:t>对角线差</w:t>
            </w:r>
          </w:p>
        </w:tc>
        <w:tc>
          <w:tcPr>
            <w:tcW w:w="1701" w:type="dxa"/>
            <w:shd w:val="clear" w:color="auto" w:fill="auto"/>
            <w:vAlign w:val="center"/>
          </w:tcPr>
          <w:p>
            <w:pPr>
              <w:pStyle w:val="178"/>
              <w:rPr>
                <w:rFonts w:ascii="Times New Roman"/>
              </w:rPr>
            </w:pPr>
            <w:r>
              <w:rPr>
                <w:rFonts w:ascii="Times New Roman"/>
              </w:rPr>
              <w:t>3</w:t>
            </w:r>
          </w:p>
        </w:tc>
        <w:tc>
          <w:tcPr>
            <w:tcW w:w="4666" w:type="dxa"/>
            <w:shd w:val="clear" w:color="auto" w:fill="auto"/>
            <w:vAlign w:val="center"/>
          </w:tcPr>
          <w:p>
            <w:pPr>
              <w:pStyle w:val="178"/>
              <w:rPr>
                <w:rFonts w:ascii="Times New Roman"/>
              </w:rPr>
            </w:pPr>
            <w:r>
              <w:rPr>
                <w:rFonts w:ascii="Times New Roman"/>
              </w:rPr>
              <w:t>用钢尺量测纵、横两个方向对角线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rPr>
                <w:rFonts w:ascii="Times New Roman"/>
              </w:rPr>
            </w:pPr>
            <w:r>
              <w:rPr>
                <w:rFonts w:ascii="Times New Roman"/>
              </w:rPr>
              <w:t>5</w:t>
            </w:r>
          </w:p>
        </w:tc>
        <w:tc>
          <w:tcPr>
            <w:tcW w:w="2268" w:type="dxa"/>
            <w:gridSpan w:val="2"/>
            <w:shd w:val="clear" w:color="auto" w:fill="auto"/>
            <w:vAlign w:val="center"/>
          </w:tcPr>
          <w:p>
            <w:pPr>
              <w:pStyle w:val="178"/>
              <w:rPr>
                <w:rFonts w:ascii="Times New Roman"/>
              </w:rPr>
            </w:pPr>
            <w:r>
              <w:rPr>
                <w:rFonts w:ascii="Times New Roman"/>
              </w:rPr>
              <w:t>侧向弯曲</w:t>
            </w:r>
          </w:p>
        </w:tc>
        <w:tc>
          <w:tcPr>
            <w:tcW w:w="1701" w:type="dxa"/>
            <w:shd w:val="clear" w:color="auto" w:fill="auto"/>
            <w:vAlign w:val="center"/>
          </w:tcPr>
          <w:p>
            <w:pPr>
              <w:pStyle w:val="178"/>
              <w:rPr>
                <w:rFonts w:ascii="Times New Roman"/>
              </w:rPr>
            </w:pPr>
            <w:r>
              <w:rPr>
                <w:rFonts w:ascii="Times New Roman"/>
              </w:rPr>
              <w:t>L/1500且≤5</w:t>
            </w:r>
          </w:p>
        </w:tc>
        <w:tc>
          <w:tcPr>
            <w:tcW w:w="4666" w:type="dxa"/>
            <w:shd w:val="clear" w:color="auto" w:fill="auto"/>
            <w:vAlign w:val="center"/>
          </w:tcPr>
          <w:p>
            <w:pPr>
              <w:pStyle w:val="178"/>
              <w:rPr>
                <w:rFonts w:ascii="Times New Roman"/>
              </w:rPr>
            </w:pPr>
            <w:r>
              <w:rPr>
                <w:rFonts w:ascii="Times New Roman"/>
              </w:rPr>
              <w:t>拉线后用钢尺量测侧向弯曲最大处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rPr>
                <w:rFonts w:ascii="Times New Roman"/>
              </w:rPr>
            </w:pPr>
            <w:r>
              <w:rPr>
                <w:rFonts w:ascii="Times New Roman"/>
              </w:rPr>
              <w:t>6</w:t>
            </w:r>
          </w:p>
        </w:tc>
        <w:tc>
          <w:tcPr>
            <w:tcW w:w="2268" w:type="dxa"/>
            <w:gridSpan w:val="2"/>
            <w:shd w:val="clear" w:color="auto" w:fill="auto"/>
            <w:vAlign w:val="center"/>
          </w:tcPr>
          <w:p>
            <w:pPr>
              <w:pStyle w:val="178"/>
              <w:rPr>
                <w:rFonts w:ascii="Times New Roman"/>
              </w:rPr>
            </w:pPr>
            <w:r>
              <w:rPr>
                <w:rFonts w:ascii="Times New Roman"/>
              </w:rPr>
              <w:t>翘曲</w:t>
            </w:r>
          </w:p>
        </w:tc>
        <w:tc>
          <w:tcPr>
            <w:tcW w:w="1701" w:type="dxa"/>
            <w:shd w:val="clear" w:color="auto" w:fill="auto"/>
            <w:vAlign w:val="center"/>
          </w:tcPr>
          <w:p>
            <w:pPr>
              <w:pStyle w:val="178"/>
              <w:rPr>
                <w:rFonts w:ascii="Times New Roman"/>
              </w:rPr>
            </w:pPr>
            <w:r>
              <w:rPr>
                <w:rFonts w:ascii="Times New Roman"/>
              </w:rPr>
              <w:t>L/1500</w:t>
            </w:r>
          </w:p>
        </w:tc>
        <w:tc>
          <w:tcPr>
            <w:tcW w:w="4666" w:type="dxa"/>
            <w:shd w:val="clear" w:color="auto" w:fill="auto"/>
            <w:vAlign w:val="center"/>
          </w:tcPr>
          <w:p>
            <w:pPr>
              <w:pStyle w:val="178"/>
              <w:rPr>
                <w:rFonts w:ascii="Times New Roman"/>
              </w:rPr>
            </w:pPr>
            <w:r>
              <w:rPr>
                <w:rFonts w:ascii="Times New Roman"/>
              </w:rPr>
              <w:t>对角拉线测量交点间距离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rPr>
                <w:rFonts w:ascii="Times New Roman"/>
              </w:rPr>
            </w:pPr>
            <w:r>
              <w:rPr>
                <w:rFonts w:ascii="Times New Roman"/>
              </w:rPr>
              <w:t>7</w:t>
            </w:r>
          </w:p>
        </w:tc>
        <w:tc>
          <w:tcPr>
            <w:tcW w:w="2268" w:type="dxa"/>
            <w:gridSpan w:val="2"/>
            <w:shd w:val="clear" w:color="auto" w:fill="auto"/>
            <w:vAlign w:val="center"/>
          </w:tcPr>
          <w:p>
            <w:pPr>
              <w:pStyle w:val="178"/>
              <w:rPr>
                <w:rFonts w:ascii="Times New Roman"/>
              </w:rPr>
            </w:pPr>
            <w:r>
              <w:rPr>
                <w:rFonts w:ascii="Times New Roman"/>
              </w:rPr>
              <w:t>组装缝隙</w:t>
            </w:r>
          </w:p>
        </w:tc>
        <w:tc>
          <w:tcPr>
            <w:tcW w:w="1701" w:type="dxa"/>
            <w:shd w:val="clear" w:color="auto" w:fill="auto"/>
            <w:vAlign w:val="center"/>
          </w:tcPr>
          <w:p>
            <w:pPr>
              <w:pStyle w:val="178"/>
              <w:rPr>
                <w:rFonts w:ascii="Times New Roman"/>
              </w:rPr>
            </w:pPr>
            <w:r>
              <w:rPr>
                <w:rFonts w:ascii="Times New Roman"/>
              </w:rPr>
              <w:t>1</w:t>
            </w:r>
          </w:p>
        </w:tc>
        <w:tc>
          <w:tcPr>
            <w:tcW w:w="4666" w:type="dxa"/>
            <w:shd w:val="clear" w:color="auto" w:fill="auto"/>
            <w:vAlign w:val="center"/>
          </w:tcPr>
          <w:p>
            <w:pPr>
              <w:pStyle w:val="178"/>
              <w:rPr>
                <w:rFonts w:ascii="Times New Roman"/>
              </w:rPr>
            </w:pPr>
            <w:r>
              <w:rPr>
                <w:rFonts w:ascii="Times New Roman"/>
              </w:rPr>
              <w:t>用塞片或塞尺量测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rPr>
                <w:rFonts w:ascii="Times New Roman"/>
              </w:rPr>
            </w:pPr>
            <w:r>
              <w:rPr>
                <w:rFonts w:ascii="Times New Roman"/>
              </w:rPr>
              <w:t>8</w:t>
            </w:r>
          </w:p>
        </w:tc>
        <w:tc>
          <w:tcPr>
            <w:tcW w:w="2268" w:type="dxa"/>
            <w:gridSpan w:val="2"/>
            <w:shd w:val="clear" w:color="auto" w:fill="auto"/>
            <w:vAlign w:val="center"/>
          </w:tcPr>
          <w:p>
            <w:pPr>
              <w:pStyle w:val="178"/>
              <w:rPr>
                <w:rFonts w:ascii="Times New Roman"/>
              </w:rPr>
            </w:pPr>
            <w:r>
              <w:rPr>
                <w:rFonts w:ascii="Times New Roman"/>
              </w:rPr>
              <w:t>相邻侧模高度差</w:t>
            </w:r>
          </w:p>
        </w:tc>
        <w:tc>
          <w:tcPr>
            <w:tcW w:w="1701" w:type="dxa"/>
            <w:shd w:val="clear" w:color="auto" w:fill="auto"/>
            <w:vAlign w:val="center"/>
          </w:tcPr>
          <w:p>
            <w:pPr>
              <w:pStyle w:val="178"/>
              <w:rPr>
                <w:rFonts w:ascii="Times New Roman"/>
              </w:rPr>
            </w:pPr>
            <w:r>
              <w:rPr>
                <w:rFonts w:ascii="Times New Roman"/>
              </w:rPr>
              <w:t>1</w:t>
            </w:r>
          </w:p>
        </w:tc>
        <w:tc>
          <w:tcPr>
            <w:tcW w:w="4666" w:type="dxa"/>
            <w:shd w:val="clear" w:color="auto" w:fill="auto"/>
            <w:vAlign w:val="center"/>
          </w:tcPr>
          <w:p>
            <w:pPr>
              <w:pStyle w:val="178"/>
              <w:rPr>
                <w:rFonts w:ascii="Times New Roman"/>
              </w:rPr>
            </w:pPr>
            <w:r>
              <w:rPr>
                <w:rFonts w:ascii="Times New Roman"/>
              </w:rPr>
              <w:t>用钢尺量测</w:t>
            </w:r>
          </w:p>
        </w:tc>
      </w:tr>
    </w:tbl>
    <w:p>
      <w:pPr>
        <w:pStyle w:val="56"/>
        <w:ind w:firstLine="360"/>
        <w:rPr>
          <w:sz w:val="18"/>
          <w:szCs w:val="18"/>
        </w:rPr>
      </w:pPr>
      <w:r>
        <w:rPr>
          <w:rFonts w:hint="eastAsia"/>
          <w:sz w:val="18"/>
          <w:szCs w:val="18"/>
        </w:rPr>
        <w:t>注：</w:t>
      </w:r>
      <w:r>
        <w:rPr>
          <w:rFonts w:ascii="Times New Roman"/>
          <w:i/>
          <w:sz w:val="18"/>
          <w:szCs w:val="18"/>
        </w:rPr>
        <w:t>L</w:t>
      </w:r>
      <w:r>
        <w:rPr>
          <w:rFonts w:ascii="Times New Roman"/>
          <w:sz w:val="18"/>
          <w:szCs w:val="18"/>
        </w:rPr>
        <w:t>为模</w:t>
      </w:r>
      <w:r>
        <w:rPr>
          <w:rFonts w:hint="eastAsia"/>
          <w:sz w:val="18"/>
          <w:szCs w:val="18"/>
        </w:rPr>
        <w:t>具与混凝土接触面中最长边的尺寸。</w:t>
      </w:r>
    </w:p>
    <w:p>
      <w:pPr>
        <w:pStyle w:val="105"/>
        <w:spacing w:before="156" w:after="156"/>
      </w:pPr>
      <w:bookmarkStart w:id="100" w:name="_Toc69885200"/>
      <w:bookmarkStart w:id="101" w:name="_Toc69916888"/>
      <w:r>
        <w:rPr>
          <w:rFonts w:hint="eastAsia"/>
        </w:rPr>
        <w:t>桁架预制板制作</w:t>
      </w:r>
      <w:bookmarkEnd w:id="100"/>
      <w:bookmarkEnd w:id="101"/>
    </w:p>
    <w:p>
      <w:pPr>
        <w:pStyle w:val="65"/>
        <w:spacing w:before="156" w:after="156"/>
        <w:outlineLvl w:val="9"/>
        <w:rPr>
          <w:rFonts w:ascii="宋体" w:hAnsi="宋体" w:eastAsia="宋体"/>
        </w:rPr>
      </w:pPr>
      <w:r>
        <w:rPr>
          <w:rFonts w:hint="eastAsia" w:ascii="宋体" w:hAnsi="宋体" w:eastAsia="宋体"/>
        </w:rPr>
        <w:t>钢筋</w:t>
      </w:r>
    </w:p>
    <w:p>
      <w:pPr>
        <w:pStyle w:val="174"/>
        <w:numPr>
          <w:ilvl w:val="0"/>
          <w:numId w:val="53"/>
        </w:numPr>
        <w:rPr>
          <w:rFonts w:ascii="Times New Roman"/>
        </w:rPr>
      </w:pPr>
      <w:r>
        <w:rPr>
          <w:rFonts w:hint="eastAsia"/>
        </w:rPr>
        <w:t>钢筋宜采用自动化机械设备加工，并应符合现行国家标准《混</w:t>
      </w:r>
      <w:r>
        <w:rPr>
          <w:rFonts w:ascii="Times New Roman"/>
        </w:rPr>
        <w:t>凝土结构工程施工规范》GB 50666 的有关规定</w:t>
      </w:r>
      <w:r>
        <w:rPr>
          <w:rFonts w:hint="eastAsia" w:ascii="Times New Roman"/>
        </w:rPr>
        <w:t>；</w:t>
      </w:r>
    </w:p>
    <w:p>
      <w:pPr>
        <w:pStyle w:val="174"/>
        <w:rPr>
          <w:rFonts w:ascii="Times New Roman"/>
        </w:rPr>
      </w:pPr>
      <w:r>
        <w:rPr>
          <w:rFonts w:ascii="Times New Roman"/>
        </w:rPr>
        <w:t>钢筋应安装牢固。入模后的钢筋发生变形、歪斜应及时扶正修理。严禁在入模后的钢筋上踩踏或行走，不得在钢筋上放置杂物</w:t>
      </w:r>
      <w:r>
        <w:rPr>
          <w:rFonts w:hint="eastAsia" w:ascii="Times New Roman"/>
        </w:rPr>
        <w:t>；</w:t>
      </w:r>
    </w:p>
    <w:p>
      <w:pPr>
        <w:pStyle w:val="174"/>
        <w:rPr>
          <w:rFonts w:ascii="Times New Roman"/>
        </w:rPr>
      </w:pPr>
      <w:r>
        <w:rPr>
          <w:rFonts w:ascii="Times New Roman"/>
        </w:rPr>
        <w:t>应采取专门措施保证钢筋的混凝土保护层厚度符合设计要求。</w:t>
      </w:r>
    </w:p>
    <w:p>
      <w:pPr>
        <w:pStyle w:val="65"/>
        <w:spacing w:before="156" w:after="156"/>
        <w:outlineLvl w:val="9"/>
        <w:rPr>
          <w:rFonts w:ascii="宋体" w:hAnsi="宋体" w:eastAsia="宋体"/>
        </w:rPr>
      </w:pPr>
      <w:r>
        <w:rPr>
          <w:rFonts w:hint="eastAsia" w:ascii="宋体" w:hAnsi="宋体" w:eastAsia="宋体"/>
        </w:rPr>
        <w:t>混凝土</w:t>
      </w:r>
    </w:p>
    <w:p>
      <w:pPr>
        <w:pStyle w:val="94"/>
        <w:spacing w:before="156" w:after="156"/>
        <w:ind w:left="0"/>
        <w:outlineLvl w:val="9"/>
        <w:rPr>
          <w:rFonts w:ascii="宋体" w:hAnsi="宋体" w:eastAsia="宋体"/>
        </w:rPr>
      </w:pPr>
      <w:r>
        <w:rPr>
          <w:rFonts w:hint="eastAsia" w:ascii="宋体" w:hAnsi="宋体" w:eastAsia="宋体"/>
        </w:rPr>
        <w:t>混凝土工作性能指标应根据桁架预制板的生产工艺确定，混凝土配合比设计应符合国家现行标准《普通混凝土配合比设计文件</w:t>
      </w:r>
      <w:r>
        <w:rPr>
          <w:rFonts w:ascii="Times New Roman" w:eastAsia="宋体"/>
        </w:rPr>
        <w:t>》JGJ 55 和《混凝土结构工程施工规范》GB 50666 的有</w:t>
      </w:r>
      <w:r>
        <w:rPr>
          <w:rFonts w:hint="eastAsia" w:ascii="宋体" w:hAnsi="宋体" w:eastAsia="宋体"/>
        </w:rPr>
        <w:t>关规定。</w:t>
      </w:r>
    </w:p>
    <w:p>
      <w:pPr>
        <w:pStyle w:val="94"/>
        <w:spacing w:before="156" w:after="156"/>
        <w:ind w:left="0"/>
        <w:outlineLvl w:val="9"/>
        <w:rPr>
          <w:rFonts w:ascii="宋体" w:hAnsi="宋体" w:eastAsia="宋体"/>
        </w:rPr>
      </w:pPr>
      <w:r>
        <w:rPr>
          <w:rFonts w:hint="eastAsia" w:ascii="宋体" w:hAnsi="宋体" w:eastAsia="宋体"/>
        </w:rPr>
        <w:t>混凝土应采用有自动计量装置的强制式搅拌机进行生产，搅拌机应具有生产数据逐盘记录和实时查询功能。</w:t>
      </w:r>
    </w:p>
    <w:p>
      <w:pPr>
        <w:pStyle w:val="94"/>
        <w:spacing w:before="156" w:after="156"/>
        <w:ind w:left="0"/>
        <w:outlineLvl w:val="9"/>
        <w:rPr>
          <w:rFonts w:ascii="宋体" w:hAnsi="宋体" w:eastAsia="宋体"/>
        </w:rPr>
      </w:pPr>
      <w:r>
        <w:rPr>
          <w:rFonts w:hint="eastAsia" w:ascii="宋体" w:hAnsi="宋体" w:eastAsia="宋体"/>
        </w:rPr>
        <w:t>混凝土浇筑应符合下列规定：</w:t>
      </w:r>
    </w:p>
    <w:p>
      <w:pPr>
        <w:pStyle w:val="174"/>
        <w:numPr>
          <w:ilvl w:val="0"/>
          <w:numId w:val="54"/>
        </w:numPr>
        <w:rPr>
          <w:rFonts w:ascii="Times New Roman"/>
        </w:rPr>
      </w:pPr>
      <w:r>
        <w:rPr>
          <w:rFonts w:hint="eastAsia"/>
        </w:rPr>
        <w:t>混凝土浇筑应连续进行并均匀摊铺，倾落</w:t>
      </w:r>
      <w:r>
        <w:rPr>
          <w:rFonts w:ascii="Times New Roman"/>
        </w:rPr>
        <w:t xml:space="preserve">高度不宜大于600mm； </w:t>
      </w:r>
    </w:p>
    <w:p>
      <w:pPr>
        <w:pStyle w:val="174"/>
        <w:rPr>
          <w:rFonts w:ascii="Times New Roman"/>
        </w:rPr>
      </w:pPr>
      <w:r>
        <w:rPr>
          <w:rFonts w:ascii="Times New Roman"/>
        </w:rPr>
        <w:t xml:space="preserve">应采取措施保证模具、钢筋、预埋件等不发生变形或移位，如有变形或移位应及时纠正；应对外露钢筋、预埋件、预留孔洞进行保护； </w:t>
      </w:r>
    </w:p>
    <w:p>
      <w:pPr>
        <w:pStyle w:val="174"/>
        <w:rPr>
          <w:rFonts w:ascii="Times New Roman"/>
        </w:rPr>
      </w:pPr>
      <w:r>
        <w:rPr>
          <w:rFonts w:ascii="Times New Roman"/>
        </w:rPr>
        <w:t xml:space="preserve">在投料完成后，宜采用振动平台振捣成型； </w:t>
      </w:r>
    </w:p>
    <w:p>
      <w:pPr>
        <w:pStyle w:val="174"/>
        <w:rPr>
          <w:rFonts w:ascii="Times New Roman"/>
        </w:rPr>
      </w:pPr>
      <w:r>
        <w:rPr>
          <w:rFonts w:ascii="Times New Roman"/>
        </w:rPr>
        <w:t xml:space="preserve">振捣完成后应及时量测混凝土浇筑厚度，必要时应作相应处理； </w:t>
      </w:r>
    </w:p>
    <w:p>
      <w:pPr>
        <w:pStyle w:val="174"/>
      </w:pPr>
      <w:r>
        <w:rPr>
          <w:rFonts w:ascii="Times New Roman"/>
        </w:rPr>
        <w:t>混凝土从出机到浇筑完成时间应符合现行国家标准《混凝土结构工程施工规范》GB 50666 的</w:t>
      </w:r>
      <w:r>
        <w:rPr>
          <w:rFonts w:hint="eastAsia"/>
        </w:rPr>
        <w:t>有关规定。</w:t>
      </w:r>
    </w:p>
    <w:p>
      <w:pPr>
        <w:pStyle w:val="94"/>
        <w:spacing w:before="156" w:after="156"/>
        <w:ind w:left="0"/>
        <w:outlineLvl w:val="9"/>
        <w:rPr>
          <w:rFonts w:ascii="宋体" w:hAnsi="宋体" w:eastAsia="宋体"/>
        </w:rPr>
      </w:pPr>
      <w:r>
        <w:rPr>
          <w:rFonts w:hint="eastAsia" w:ascii="宋体" w:hAnsi="宋体" w:eastAsia="宋体"/>
        </w:rPr>
        <w:t>桁架预制板的养护应根据生产计划选择自然养护、自然养护加养护剂或加热养护等方式。当采用加热养护时，应建立加热养护制度，加热养护制度应通过试验确定；宜采用加热养护温度自动控制装置，最高养护温度不宜超过</w:t>
      </w:r>
      <w:r>
        <w:rPr>
          <w:rFonts w:ascii="Times New Roman" w:eastAsia="宋体"/>
        </w:rPr>
        <w:t>70℃</w:t>
      </w:r>
      <w:r>
        <w:rPr>
          <w:rFonts w:hint="eastAsia" w:ascii="宋体" w:hAnsi="宋体" w:eastAsia="宋体"/>
        </w:rPr>
        <w:t>。</w:t>
      </w:r>
    </w:p>
    <w:p>
      <w:pPr>
        <w:pStyle w:val="94"/>
        <w:spacing w:before="156" w:after="156"/>
        <w:ind w:left="0"/>
        <w:outlineLvl w:val="9"/>
        <w:rPr>
          <w:rFonts w:ascii="宋体" w:hAnsi="宋体" w:eastAsia="宋体"/>
        </w:rPr>
      </w:pPr>
      <w:r>
        <w:rPr>
          <w:rFonts w:hint="eastAsia" w:ascii="宋体" w:hAnsi="宋体" w:eastAsia="宋体"/>
        </w:rPr>
        <w:t>桁架预制板顶面粗糙面成型宜采用拉毛工艺，侧面粗糙面成型宜采用露骨料工艺，也可采用其他可靠工艺成型。</w:t>
      </w:r>
    </w:p>
    <w:p>
      <w:pPr>
        <w:pStyle w:val="65"/>
        <w:spacing w:before="156" w:after="156"/>
        <w:outlineLvl w:val="9"/>
        <w:rPr>
          <w:rFonts w:ascii="宋体" w:hAnsi="宋体" w:eastAsia="宋体"/>
        </w:rPr>
      </w:pPr>
      <w:r>
        <w:rPr>
          <w:rFonts w:hint="eastAsia" w:ascii="宋体" w:hAnsi="宋体" w:eastAsia="宋体"/>
        </w:rPr>
        <w:t>脱模与标识</w:t>
      </w:r>
    </w:p>
    <w:p>
      <w:pPr>
        <w:pStyle w:val="94"/>
        <w:spacing w:before="156" w:after="156"/>
        <w:ind w:left="0"/>
        <w:outlineLvl w:val="9"/>
        <w:rPr>
          <w:rFonts w:ascii="宋体" w:hAnsi="宋体" w:eastAsia="宋体"/>
        </w:rPr>
      </w:pPr>
      <w:r>
        <w:rPr>
          <w:rFonts w:hint="eastAsia" w:ascii="宋体" w:hAnsi="宋体" w:eastAsia="宋体"/>
        </w:rPr>
        <w:t>桁架预制板吊运应符合下列规定：</w:t>
      </w:r>
    </w:p>
    <w:p>
      <w:pPr>
        <w:pStyle w:val="174"/>
        <w:numPr>
          <w:ilvl w:val="0"/>
          <w:numId w:val="55"/>
        </w:numPr>
      </w:pPr>
      <w:r>
        <w:rPr>
          <w:rFonts w:hint="eastAsia"/>
        </w:rPr>
        <w:t>应根据桁架预制板的尺寸、重量和起重设备作业半径等选择吊具和起重设备。所采用的吊具、起重设备及其操作，应符合国家现行有关标准及产品应用技术手册的规定；</w:t>
      </w:r>
    </w:p>
    <w:p>
      <w:pPr>
        <w:pStyle w:val="174"/>
        <w:rPr>
          <w:rFonts w:ascii="Times New Roman"/>
        </w:rPr>
      </w:pPr>
      <w:r>
        <w:rPr>
          <w:rFonts w:hint="eastAsia"/>
        </w:rPr>
        <w:t>脱模起吊时吊点位置与数量的确定应符合附</w:t>
      </w:r>
      <w:r>
        <w:rPr>
          <w:rFonts w:ascii="Times New Roman"/>
        </w:rPr>
        <w:t>录C 的有关规定；钢筋桁架兼作吊点时，尚应符合本文件第6.2.9 条的规定</w:t>
      </w:r>
      <w:r>
        <w:rPr>
          <w:rFonts w:hint="eastAsia" w:ascii="Times New Roman"/>
        </w:rPr>
        <w:t>；</w:t>
      </w:r>
    </w:p>
    <w:p>
      <w:pPr>
        <w:pStyle w:val="174"/>
        <w:rPr>
          <w:rFonts w:ascii="Times New Roman"/>
        </w:rPr>
      </w:pPr>
      <w:r>
        <w:rPr>
          <w:rFonts w:ascii="Times New Roman"/>
        </w:rPr>
        <w:t>应保证吊具连接可靠，并应采取措施保证起重设备的主钩位置、吊具及桁架预制板重心在竖直方向上重合</w:t>
      </w:r>
      <w:r>
        <w:rPr>
          <w:rFonts w:hint="eastAsia" w:ascii="Times New Roman"/>
        </w:rPr>
        <w:t>；</w:t>
      </w:r>
    </w:p>
    <w:p>
      <w:pPr>
        <w:pStyle w:val="174"/>
        <w:rPr>
          <w:rFonts w:ascii="Times New Roman"/>
        </w:rPr>
      </w:pPr>
      <w:r>
        <w:rPr>
          <w:rFonts w:ascii="Times New Roman"/>
        </w:rPr>
        <w:t>吊索水平夹角不宜小于60°，且不应小于45°</w:t>
      </w:r>
      <w:r>
        <w:rPr>
          <w:rFonts w:hint="eastAsia" w:ascii="Times New Roman"/>
        </w:rPr>
        <w:t>；</w:t>
      </w:r>
    </w:p>
    <w:p>
      <w:pPr>
        <w:pStyle w:val="174"/>
        <w:rPr>
          <w:rFonts w:ascii="Times New Roman"/>
        </w:rPr>
      </w:pPr>
      <w:r>
        <w:rPr>
          <w:rFonts w:ascii="Times New Roman"/>
        </w:rPr>
        <w:t>应采用慢起、稳升、缓放的操作方式，吊运过程应保持稳定，不得偏斜摇摆和扭转，严禁吊运构件长时间悬停在空中</w:t>
      </w:r>
      <w:r>
        <w:rPr>
          <w:rFonts w:hint="eastAsia" w:ascii="Times New Roman"/>
        </w:rPr>
        <w:t>；</w:t>
      </w:r>
    </w:p>
    <w:p>
      <w:pPr>
        <w:pStyle w:val="174"/>
      </w:pPr>
      <w:r>
        <w:rPr>
          <w:rFonts w:hint="eastAsia"/>
        </w:rPr>
        <w:t>对尺寸较大、形状复杂的桁架预制板，应采用分配桁架等工具式吊具，并应采取避免构件变形和损伤的临时加固措施。</w:t>
      </w:r>
    </w:p>
    <w:p>
      <w:pPr>
        <w:pStyle w:val="94"/>
        <w:spacing w:before="156" w:after="156"/>
        <w:ind w:left="0"/>
        <w:outlineLvl w:val="9"/>
        <w:rPr>
          <w:rFonts w:ascii="Times New Roman" w:eastAsia="宋体"/>
        </w:rPr>
      </w:pPr>
      <w:r>
        <w:rPr>
          <w:rFonts w:hint="eastAsia" w:ascii="宋体" w:hAnsi="宋体" w:eastAsia="宋体"/>
        </w:rPr>
        <w:t>桁架预制板</w:t>
      </w:r>
      <w:r>
        <w:rPr>
          <w:rFonts w:ascii="Times New Roman" w:eastAsia="宋体"/>
        </w:rPr>
        <w:t>脱模时，同条件养护的混凝土立方体试块抗压强度应满足设计要求，当设计无具体要求时，不应低于15MPa。</w:t>
      </w:r>
    </w:p>
    <w:p>
      <w:pPr>
        <w:pStyle w:val="94"/>
        <w:spacing w:before="156" w:after="156"/>
        <w:ind w:left="0"/>
        <w:outlineLvl w:val="9"/>
        <w:rPr>
          <w:rFonts w:ascii="宋体" w:hAnsi="宋体" w:eastAsia="宋体"/>
        </w:rPr>
      </w:pPr>
      <w:r>
        <w:rPr>
          <w:rFonts w:ascii="Times New Roman" w:eastAsia="宋体"/>
        </w:rPr>
        <w:t>桁架预制板脱模后</w:t>
      </w:r>
      <w:r>
        <w:rPr>
          <w:rFonts w:hint="eastAsia" w:ascii="宋体" w:hAnsi="宋体" w:eastAsia="宋体"/>
        </w:rPr>
        <w:t>，对不影响结构性能的局部破损或表面非受力细微裂缝，可用修补浆料进行修补。</w:t>
      </w:r>
    </w:p>
    <w:p>
      <w:pPr>
        <w:pStyle w:val="94"/>
        <w:spacing w:before="156" w:after="156"/>
        <w:ind w:left="0"/>
        <w:outlineLvl w:val="9"/>
        <w:rPr>
          <w:rFonts w:ascii="宋体" w:hAnsi="宋体" w:eastAsia="宋体"/>
        </w:rPr>
      </w:pPr>
      <w:r>
        <w:rPr>
          <w:rFonts w:hint="eastAsia" w:ascii="宋体" w:hAnsi="宋体" w:eastAsia="宋体"/>
        </w:rPr>
        <w:t>桁架预制板成品质量检查后，应及时在构件上设置产品标识、吊点位置标识及桁架预制板安装方向标识。</w:t>
      </w:r>
    </w:p>
    <w:p>
      <w:pPr>
        <w:pStyle w:val="94"/>
        <w:spacing w:before="156" w:after="156"/>
        <w:ind w:left="0"/>
        <w:outlineLvl w:val="9"/>
        <w:rPr>
          <w:rFonts w:ascii="宋体" w:hAnsi="宋体" w:eastAsia="宋体"/>
        </w:rPr>
      </w:pPr>
      <w:r>
        <w:rPr>
          <w:rFonts w:hint="eastAsia" w:ascii="宋体" w:hAnsi="宋体" w:eastAsia="宋体"/>
        </w:rPr>
        <w:t>产品标识宜包括工程名称、构件编号、构件规格、构件重量、生产企业、制作日期、质检员等信息。</w:t>
      </w:r>
    </w:p>
    <w:p>
      <w:pPr>
        <w:pStyle w:val="105"/>
        <w:spacing w:before="156" w:after="156"/>
      </w:pPr>
      <w:bookmarkStart w:id="102" w:name="_Toc69916889"/>
      <w:bookmarkStart w:id="103" w:name="_Toc69885201"/>
      <w:r>
        <w:rPr>
          <w:rFonts w:hint="eastAsia"/>
        </w:rPr>
        <w:t>桁架预制板堆放与运输</w:t>
      </w:r>
      <w:bookmarkEnd w:id="102"/>
      <w:bookmarkEnd w:id="103"/>
    </w:p>
    <w:p>
      <w:pPr>
        <w:pStyle w:val="65"/>
        <w:spacing w:before="156" w:after="156"/>
        <w:outlineLvl w:val="9"/>
        <w:rPr>
          <w:rFonts w:ascii="宋体" w:hAnsi="宋体" w:eastAsia="宋体"/>
        </w:rPr>
      </w:pPr>
      <w:r>
        <w:rPr>
          <w:rFonts w:hint="eastAsia" w:ascii="宋体" w:hAnsi="宋体" w:eastAsia="宋体"/>
        </w:rPr>
        <w:t>桁架预制板的运输与堆放应制定专项方案。专项方案宜包括堆放场地、固定要求、堆放支垫、运输时间、运输次序、运输线路及成品保护措施等。</w:t>
      </w:r>
    </w:p>
    <w:p>
      <w:pPr>
        <w:pStyle w:val="65"/>
        <w:spacing w:before="156" w:after="156"/>
        <w:outlineLvl w:val="9"/>
        <w:rPr>
          <w:rFonts w:ascii="宋体" w:hAnsi="宋体" w:eastAsia="宋体"/>
        </w:rPr>
      </w:pPr>
      <w:r>
        <w:rPr>
          <w:rFonts w:hint="eastAsia" w:ascii="宋体" w:hAnsi="宋体" w:eastAsia="宋体"/>
        </w:rPr>
        <w:t>桁架预制板的堆放应符合下列规定：</w:t>
      </w:r>
    </w:p>
    <w:p>
      <w:pPr>
        <w:pStyle w:val="174"/>
        <w:numPr>
          <w:ilvl w:val="0"/>
          <w:numId w:val="56"/>
        </w:numPr>
      </w:pPr>
      <w:r>
        <w:rPr>
          <w:rFonts w:hint="eastAsia"/>
        </w:rPr>
        <w:t>堆放场地应平整、坚实，并应有排水措施；</w:t>
      </w:r>
    </w:p>
    <w:p>
      <w:pPr>
        <w:pStyle w:val="174"/>
      </w:pPr>
      <w:r>
        <w:rPr>
          <w:rFonts w:hint="eastAsia"/>
        </w:rPr>
        <w:t>宜采用专用堆放架进行堆放；</w:t>
      </w:r>
    </w:p>
    <w:p>
      <w:pPr>
        <w:pStyle w:val="174"/>
      </w:pPr>
      <w:r>
        <w:rPr>
          <w:rFonts w:hint="eastAsia"/>
        </w:rPr>
        <w:t>桁架预制板应平放，钢筋桁架应向上，严禁倒置；</w:t>
      </w:r>
    </w:p>
    <w:p>
      <w:pPr>
        <w:pStyle w:val="174"/>
        <w:rPr>
          <w:rFonts w:ascii="Times New Roman"/>
        </w:rPr>
      </w:pPr>
      <w:r>
        <w:rPr>
          <w:rFonts w:hint="eastAsia"/>
        </w:rPr>
        <w:t>应合理布置桁架预制板垫块，垫</w:t>
      </w:r>
      <w:r>
        <w:rPr>
          <w:rFonts w:ascii="Times New Roman"/>
        </w:rPr>
        <w:t>块位置宜与吊点位置一致；</w:t>
      </w:r>
    </w:p>
    <w:p>
      <w:pPr>
        <w:pStyle w:val="174"/>
        <w:rPr>
          <w:rFonts w:ascii="Times New Roman"/>
        </w:rPr>
      </w:pPr>
      <w:r>
        <w:rPr>
          <w:rFonts w:ascii="Times New Roman"/>
        </w:rPr>
        <w:t>桁架预制板多层叠放时，各层垫块应上下对齐，叠放层数不宜大于6层；当大于6层时，应采取防止倾覆的措施。</w:t>
      </w:r>
    </w:p>
    <w:p>
      <w:pPr>
        <w:pStyle w:val="65"/>
        <w:spacing w:before="156" w:after="156"/>
        <w:outlineLvl w:val="9"/>
        <w:rPr>
          <w:rFonts w:ascii="宋体" w:hAnsi="宋体" w:eastAsia="宋体"/>
        </w:rPr>
      </w:pPr>
      <w:r>
        <w:rPr>
          <w:rFonts w:hint="eastAsia" w:ascii="宋体" w:hAnsi="宋体" w:eastAsia="宋体"/>
        </w:rPr>
        <w:t>桁架预制板装车前应进行检查。吊具、专用运输架应完好、齐全；吊具与桁架预制板规格应匹配。吊装时，不应错挂、漏挂。桁架预制板吊运应符合本文件</w:t>
      </w:r>
      <w:r>
        <w:rPr>
          <w:rFonts w:ascii="Times New Roman" w:eastAsia="宋体"/>
        </w:rPr>
        <w:t>第7.3.3.1条的</w:t>
      </w:r>
      <w:r>
        <w:rPr>
          <w:rFonts w:hint="eastAsia" w:ascii="宋体" w:hAnsi="宋体" w:eastAsia="宋体"/>
        </w:rPr>
        <w:t>规定。</w:t>
      </w:r>
    </w:p>
    <w:p>
      <w:pPr>
        <w:pStyle w:val="65"/>
        <w:spacing w:before="156" w:after="156"/>
        <w:outlineLvl w:val="9"/>
        <w:rPr>
          <w:rFonts w:ascii="宋体" w:hAnsi="宋体" w:eastAsia="宋体"/>
        </w:rPr>
      </w:pPr>
      <w:r>
        <w:rPr>
          <w:rFonts w:hint="eastAsia" w:ascii="宋体" w:hAnsi="宋体" w:eastAsia="宋体"/>
        </w:rPr>
        <w:t>桁架预制板的运输应符合下列规定：</w:t>
      </w:r>
    </w:p>
    <w:p>
      <w:pPr>
        <w:pStyle w:val="174"/>
        <w:numPr>
          <w:ilvl w:val="0"/>
          <w:numId w:val="57"/>
        </w:numPr>
      </w:pPr>
      <w:r>
        <w:rPr>
          <w:rFonts w:hint="eastAsia"/>
        </w:rPr>
        <w:t>宜采用专用运输车进行运输；当采用非专用运输车时，应采取相应的加固、保护措施；</w:t>
      </w:r>
    </w:p>
    <w:p>
      <w:pPr>
        <w:pStyle w:val="174"/>
      </w:pPr>
      <w:r>
        <w:rPr>
          <w:rFonts w:hint="eastAsia"/>
        </w:rPr>
        <w:t>应采用专用运输架进行运输；</w:t>
      </w:r>
    </w:p>
    <w:p>
      <w:pPr>
        <w:pStyle w:val="174"/>
      </w:pPr>
      <w:r>
        <w:rPr>
          <w:rFonts w:hint="eastAsia"/>
        </w:rPr>
        <w:t>桁架预制板应平放，并用夹具与专用运输架绑扎牢固；桁架预制板边角和绑扎接触部位应采用柔性垫衬材料保护；专用运输架、车厢板和桁架预制板间应放入柔性材料；</w:t>
      </w:r>
    </w:p>
    <w:p>
      <w:pPr>
        <w:pStyle w:val="174"/>
      </w:pPr>
      <w:r>
        <w:rPr>
          <w:rFonts w:hint="eastAsia"/>
        </w:rPr>
        <w:t>桁架预制板堆放高度不应超过运输路线的限高要求。</w:t>
      </w:r>
    </w:p>
    <w:p>
      <w:pPr>
        <w:pStyle w:val="65"/>
        <w:spacing w:before="156" w:after="156"/>
        <w:outlineLvl w:val="9"/>
        <w:rPr>
          <w:rFonts w:ascii="宋体" w:hAnsi="宋体" w:eastAsia="宋体"/>
        </w:rPr>
      </w:pPr>
      <w:r>
        <w:rPr>
          <w:rFonts w:hint="eastAsia" w:ascii="宋体" w:hAnsi="宋体" w:eastAsia="宋体"/>
        </w:rPr>
        <w:t>桁架预制板堆放位置和次序、装车位置和次序，宜与工程施工进度及次序相衔接。</w:t>
      </w:r>
    </w:p>
    <w:p>
      <w:pPr>
        <w:pStyle w:val="105"/>
        <w:spacing w:before="156" w:after="156"/>
      </w:pPr>
      <w:bookmarkStart w:id="104" w:name="_Toc69885202"/>
      <w:bookmarkStart w:id="105" w:name="_Toc69916890"/>
      <w:r>
        <w:rPr>
          <w:rFonts w:hint="eastAsia"/>
        </w:rPr>
        <w:t>质量检查与验收</w:t>
      </w:r>
      <w:bookmarkEnd w:id="104"/>
      <w:bookmarkEnd w:id="105"/>
    </w:p>
    <w:p>
      <w:pPr>
        <w:pStyle w:val="65"/>
        <w:spacing w:before="156" w:after="156"/>
        <w:outlineLvl w:val="9"/>
        <w:rPr>
          <w:rFonts w:ascii="宋体" w:hAnsi="宋体" w:eastAsia="宋体"/>
        </w:rPr>
      </w:pPr>
      <w:r>
        <w:rPr>
          <w:rFonts w:hint="eastAsia" w:ascii="宋体" w:hAnsi="宋体" w:eastAsia="宋体"/>
        </w:rPr>
        <w:t>桁架预制板的质量检查与验收应符合国家现行有关标准的规定。</w:t>
      </w:r>
    </w:p>
    <w:p>
      <w:pPr>
        <w:pStyle w:val="65"/>
        <w:spacing w:before="156" w:after="156"/>
        <w:outlineLvl w:val="9"/>
        <w:rPr>
          <w:rFonts w:ascii="宋体" w:hAnsi="宋体" w:eastAsia="宋体"/>
        </w:rPr>
      </w:pPr>
      <w:r>
        <w:rPr>
          <w:rFonts w:hint="eastAsia" w:ascii="宋体" w:hAnsi="宋体" w:eastAsia="宋体"/>
        </w:rPr>
        <w:t xml:space="preserve">桁架预制板原材料、部品及配件，应按国家现行有关标准、设计文件及合同约定进行进厂检验。检验批划分应符合下列规定： </w:t>
      </w:r>
    </w:p>
    <w:p>
      <w:pPr>
        <w:pStyle w:val="174"/>
        <w:numPr>
          <w:ilvl w:val="0"/>
          <w:numId w:val="58"/>
        </w:numPr>
      </w:pPr>
      <w:r>
        <w:rPr>
          <w:rFonts w:hint="eastAsia"/>
        </w:rPr>
        <w:t xml:space="preserve">桁架预制板生产企业将采购的同一厂家同批次材料、配件及半成品用于生产不同工程的预制构件时，可统一划分检验批； </w:t>
      </w:r>
    </w:p>
    <w:p>
      <w:pPr>
        <w:pStyle w:val="174"/>
      </w:pPr>
      <w:r>
        <w:rPr>
          <w:rFonts w:hint="eastAsia"/>
        </w:rPr>
        <w:t>获得认证的产品或来源稳定且连续三批均一次检验合格的产品，进厂验收时检验批容量可按有关标准的规定扩大一倍。扩大检验批容量后的检验中，出现不合格情况时，应按扩大前的检验批容量重新检验，且该产品不得再次扩大检验批容量。</w:t>
      </w:r>
    </w:p>
    <w:p>
      <w:pPr>
        <w:pStyle w:val="65"/>
        <w:spacing w:before="156" w:after="156"/>
        <w:outlineLvl w:val="9"/>
        <w:rPr>
          <w:rFonts w:ascii="宋体" w:hAnsi="宋体" w:eastAsia="宋体"/>
        </w:rPr>
      </w:pPr>
      <w:r>
        <w:rPr>
          <w:rFonts w:hint="eastAsia" w:ascii="宋体" w:hAnsi="宋体" w:eastAsia="宋体"/>
        </w:rPr>
        <w:t>钢筋进厂时，应全数检查外观质量，并应按国家现行有关标准的规定抽取试件作力学性能和重量偏差检验，检验结果应符合相关标准的规定，检查数量应按进厂批次和产品的抽样检验方案确定。</w:t>
      </w:r>
    </w:p>
    <w:p>
      <w:pPr>
        <w:pStyle w:val="65"/>
        <w:spacing w:before="156" w:after="156"/>
        <w:outlineLvl w:val="9"/>
        <w:rPr>
          <w:rFonts w:ascii="宋体" w:hAnsi="宋体" w:eastAsia="宋体"/>
        </w:rPr>
      </w:pPr>
      <w:r>
        <w:rPr>
          <w:rFonts w:hint="eastAsia" w:ascii="宋体" w:hAnsi="宋体" w:eastAsia="宋体"/>
        </w:rPr>
        <w:t xml:space="preserve">当钢筋桁架采用外购的成型钢筋时，进厂检验应符合下列规定： </w:t>
      </w:r>
    </w:p>
    <w:p>
      <w:pPr>
        <w:pStyle w:val="174"/>
        <w:numPr>
          <w:ilvl w:val="0"/>
          <w:numId w:val="59"/>
        </w:numPr>
      </w:pPr>
      <w:r>
        <w:rPr>
          <w:rFonts w:hint="eastAsia"/>
        </w:rPr>
        <w:t>应检查质量证明文件和交货验收单；质量证明文件应至少包括出厂合格证、钢筋及钢筋桁架检验报告等；</w:t>
      </w:r>
    </w:p>
    <w:p>
      <w:pPr>
        <w:pStyle w:val="174"/>
        <w:rPr>
          <w:rFonts w:ascii="Times New Roman"/>
        </w:rPr>
      </w:pPr>
      <w:r>
        <w:rPr>
          <w:rFonts w:hint="eastAsia"/>
        </w:rPr>
        <w:t>钢筋桁架应按批进行外观质量和尺寸偏差检验，每批中应至少抽</w:t>
      </w:r>
      <w:r>
        <w:rPr>
          <w:rFonts w:ascii="Times New Roman"/>
        </w:rPr>
        <w:t>取3件</w:t>
      </w:r>
      <w:r>
        <w:rPr>
          <w:rFonts w:hint="eastAsia" w:ascii="Times New Roman"/>
        </w:rPr>
        <w:t>；</w:t>
      </w:r>
    </w:p>
    <w:p>
      <w:pPr>
        <w:pStyle w:val="174"/>
        <w:rPr>
          <w:rFonts w:ascii="Times New Roman"/>
        </w:rPr>
      </w:pPr>
      <w:r>
        <w:rPr>
          <w:rFonts w:ascii="Times New Roman"/>
        </w:rPr>
        <w:t>钢筋桁架应按批进行重量偏差检验，每批中应至少抽取3件。量取总长度并测重，计算每米长度重量，结果应不超过理论重量的±7.0%</w:t>
      </w:r>
      <w:r>
        <w:rPr>
          <w:rFonts w:hint="eastAsia" w:ascii="Times New Roman"/>
        </w:rPr>
        <w:t>；</w:t>
      </w:r>
      <w:r>
        <w:rPr>
          <w:rFonts w:ascii="Times New Roman"/>
        </w:rPr>
        <w:t xml:space="preserve"> </w:t>
      </w:r>
    </w:p>
    <w:p>
      <w:pPr>
        <w:pStyle w:val="174"/>
        <w:rPr>
          <w:rFonts w:ascii="Times New Roman"/>
        </w:rPr>
      </w:pPr>
      <w:r>
        <w:rPr>
          <w:rFonts w:ascii="Times New Roman"/>
        </w:rPr>
        <w:t>钢筋桁架应按批进行力学性能检验，每批中每种钢筋牌号、规格均应至少抽取1个钢筋试件，总数不应少于3个；对由热轧钢筋制成的钢筋桁架，当有预制构件生产企业或监理单位的代表驻厂监督加工过程，并提供钢筋桁架试件力学性能检验报告时，可不进行力学性能检验</w:t>
      </w:r>
      <w:r>
        <w:rPr>
          <w:rFonts w:hint="eastAsia" w:ascii="Times New Roman"/>
        </w:rPr>
        <w:t>；</w:t>
      </w:r>
    </w:p>
    <w:p>
      <w:pPr>
        <w:pStyle w:val="174"/>
        <w:rPr>
          <w:rFonts w:ascii="Times New Roman"/>
        </w:rPr>
      </w:pPr>
      <w:r>
        <w:rPr>
          <w:rFonts w:ascii="Times New Roman"/>
        </w:rPr>
        <w:t>一个检验批应为同一厂家、同一类型且同一钢筋来源的钢筋桁架，且总重量不应大于30t，不足30t按一批计。</w:t>
      </w:r>
    </w:p>
    <w:p>
      <w:pPr>
        <w:pStyle w:val="65"/>
        <w:spacing w:before="156" w:after="156"/>
        <w:outlineLvl w:val="9"/>
        <w:rPr>
          <w:rFonts w:ascii="宋体" w:hAnsi="宋体" w:eastAsia="宋体"/>
        </w:rPr>
      </w:pPr>
      <w:r>
        <w:rPr>
          <w:rFonts w:hint="eastAsia" w:ascii="宋体" w:hAnsi="宋体" w:eastAsia="宋体"/>
        </w:rPr>
        <w:t>桁架预制板制作浇筑混凝土前，应进行隐蔽工程检查，检查应包含下列内容：</w:t>
      </w:r>
    </w:p>
    <w:p>
      <w:pPr>
        <w:pStyle w:val="174"/>
        <w:numPr>
          <w:ilvl w:val="0"/>
          <w:numId w:val="60"/>
        </w:numPr>
      </w:pPr>
      <w:r>
        <w:rPr>
          <w:rFonts w:hint="eastAsia"/>
        </w:rPr>
        <w:t>钢筋桁架和纵向钢筋的规格、数量、位置、间距、长度等；</w:t>
      </w:r>
    </w:p>
    <w:p>
      <w:pPr>
        <w:pStyle w:val="174"/>
      </w:pPr>
      <w:r>
        <w:rPr>
          <w:rFonts w:hint="eastAsia"/>
        </w:rPr>
        <w:t>预埋件、预留插筋的规格、数量、位置及固定措施；</w:t>
      </w:r>
    </w:p>
    <w:p>
      <w:pPr>
        <w:pStyle w:val="174"/>
      </w:pPr>
      <w:r>
        <w:rPr>
          <w:rFonts w:hint="eastAsia"/>
        </w:rPr>
        <w:t>预留孔洞的规格、数量、位置及固定措施；</w:t>
      </w:r>
    </w:p>
    <w:p>
      <w:pPr>
        <w:pStyle w:val="174"/>
      </w:pPr>
      <w:r>
        <w:rPr>
          <w:rFonts w:hint="eastAsia"/>
        </w:rPr>
        <w:t>钢筋的混凝土保护层厚度。</w:t>
      </w:r>
    </w:p>
    <w:p>
      <w:pPr>
        <w:pStyle w:val="65"/>
        <w:spacing w:before="156" w:after="156"/>
        <w:outlineLvl w:val="9"/>
        <w:rPr>
          <w:rFonts w:ascii="宋体" w:hAnsi="宋体" w:eastAsia="宋体"/>
        </w:rPr>
      </w:pPr>
      <w:r>
        <w:rPr>
          <w:rFonts w:hint="eastAsia" w:ascii="宋体" w:hAnsi="宋体" w:eastAsia="宋体"/>
        </w:rPr>
        <w:t>桁架预制板脱模后，应进行成品质量检查，检查应包含下列内容：</w:t>
      </w:r>
    </w:p>
    <w:p>
      <w:pPr>
        <w:pStyle w:val="174"/>
        <w:numPr>
          <w:ilvl w:val="0"/>
          <w:numId w:val="61"/>
        </w:numPr>
      </w:pPr>
      <w:r>
        <w:rPr>
          <w:rFonts w:hint="eastAsia"/>
        </w:rPr>
        <w:t>外观质量；</w:t>
      </w:r>
    </w:p>
    <w:p>
      <w:pPr>
        <w:pStyle w:val="174"/>
      </w:pPr>
      <w:r>
        <w:rPr>
          <w:rFonts w:hint="eastAsia"/>
        </w:rPr>
        <w:t>尺寸偏差；</w:t>
      </w:r>
    </w:p>
    <w:p>
      <w:pPr>
        <w:pStyle w:val="174"/>
      </w:pPr>
      <w:r>
        <w:rPr>
          <w:rFonts w:hint="eastAsia"/>
        </w:rPr>
        <w:t>粗糙面质量；</w:t>
      </w:r>
    </w:p>
    <w:p>
      <w:pPr>
        <w:pStyle w:val="174"/>
      </w:pPr>
      <w:r>
        <w:rPr>
          <w:rFonts w:hint="eastAsia"/>
        </w:rPr>
        <w:t>预埋件、预留插筋的规格、数量、位置；</w:t>
      </w:r>
    </w:p>
    <w:p>
      <w:pPr>
        <w:pStyle w:val="174"/>
      </w:pPr>
      <w:r>
        <w:rPr>
          <w:rFonts w:hint="eastAsia"/>
        </w:rPr>
        <w:t>预留孔洞的规格、数量、位置。</w:t>
      </w:r>
    </w:p>
    <w:p>
      <w:pPr>
        <w:pStyle w:val="65"/>
        <w:spacing w:before="156" w:after="156"/>
        <w:outlineLvl w:val="9"/>
        <w:rPr>
          <w:rFonts w:ascii="宋体" w:hAnsi="宋体" w:eastAsia="宋体"/>
        </w:rPr>
      </w:pPr>
      <w:r>
        <w:rPr>
          <w:rFonts w:hint="eastAsia" w:ascii="宋体" w:hAnsi="宋体" w:eastAsia="宋体"/>
        </w:rPr>
        <w:t>桁架预制板的尺寸偏差和检验方法应符合设计要求；当设计无具体要求时，应符合表</w:t>
      </w:r>
      <w:r>
        <w:rPr>
          <w:rFonts w:ascii="Times New Roman" w:eastAsia="宋体"/>
        </w:rPr>
        <w:t>5的</w:t>
      </w:r>
      <w:r>
        <w:rPr>
          <w:rFonts w:hint="eastAsia" w:ascii="宋体" w:hAnsi="宋体" w:eastAsia="宋体"/>
        </w:rPr>
        <w:t>规定。</w:t>
      </w:r>
    </w:p>
    <w:p>
      <w:pPr>
        <w:pStyle w:val="112"/>
        <w:spacing w:before="156" w:after="156"/>
      </w:pPr>
      <w:r>
        <w:rPr>
          <w:rFonts w:hint="eastAsia"/>
        </w:rPr>
        <w:t>桁架预制板尺寸允许偏差及检验方法</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699"/>
        <w:gridCol w:w="709"/>
        <w:gridCol w:w="850"/>
        <w:gridCol w:w="1701"/>
        <w:gridCol w:w="1560"/>
        <w:gridCol w:w="381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699" w:type="dxa"/>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项次</w:t>
            </w:r>
          </w:p>
        </w:tc>
        <w:tc>
          <w:tcPr>
            <w:tcW w:w="3260" w:type="dxa"/>
            <w:gridSpan w:val="3"/>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检查项目</w:t>
            </w:r>
          </w:p>
        </w:tc>
        <w:tc>
          <w:tcPr>
            <w:tcW w:w="1560" w:type="dxa"/>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允许偏差(mm)</w:t>
            </w:r>
          </w:p>
        </w:tc>
        <w:tc>
          <w:tcPr>
            <w:tcW w:w="3815" w:type="dxa"/>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检验方法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restart"/>
            <w:tcBorders>
              <w:top w:val="single" w:color="auto" w:sz="8" w:space="0"/>
            </w:tcBorders>
            <w:shd w:val="clear" w:color="auto" w:fill="auto"/>
            <w:vAlign w:val="center"/>
          </w:tcPr>
          <w:p>
            <w:pPr>
              <w:pStyle w:val="178"/>
              <w:rPr>
                <w:rFonts w:ascii="Times New Roman"/>
              </w:rPr>
            </w:pPr>
            <w:r>
              <w:rPr>
                <w:rFonts w:ascii="Times New Roman"/>
              </w:rPr>
              <w:t>1</w:t>
            </w:r>
          </w:p>
        </w:tc>
        <w:tc>
          <w:tcPr>
            <w:tcW w:w="709" w:type="dxa"/>
            <w:vMerge w:val="restart"/>
            <w:tcBorders>
              <w:top w:val="single" w:color="auto" w:sz="8" w:space="0"/>
            </w:tcBorders>
            <w:shd w:val="clear" w:color="auto" w:fill="auto"/>
            <w:vAlign w:val="center"/>
          </w:tcPr>
          <w:p>
            <w:pPr>
              <w:pStyle w:val="178"/>
              <w:rPr>
                <w:rFonts w:ascii="Times New Roman"/>
              </w:rPr>
            </w:pPr>
            <w:r>
              <w:rPr>
                <w:rFonts w:ascii="Times New Roman"/>
              </w:rPr>
              <w:t>规格</w:t>
            </w:r>
          </w:p>
          <w:p>
            <w:pPr>
              <w:pStyle w:val="178"/>
              <w:rPr>
                <w:rFonts w:ascii="Times New Roman"/>
              </w:rPr>
            </w:pPr>
            <w:r>
              <w:rPr>
                <w:rFonts w:ascii="Times New Roman"/>
              </w:rPr>
              <w:t>尺寸</w:t>
            </w:r>
          </w:p>
        </w:tc>
        <w:tc>
          <w:tcPr>
            <w:tcW w:w="850" w:type="dxa"/>
            <w:vMerge w:val="restart"/>
            <w:tcBorders>
              <w:top w:val="single" w:color="auto" w:sz="8" w:space="0"/>
            </w:tcBorders>
            <w:shd w:val="clear" w:color="auto" w:fill="auto"/>
            <w:vAlign w:val="center"/>
          </w:tcPr>
          <w:p>
            <w:pPr>
              <w:pStyle w:val="178"/>
              <w:rPr>
                <w:rFonts w:ascii="Times New Roman"/>
              </w:rPr>
            </w:pPr>
            <w:r>
              <w:rPr>
                <w:rFonts w:ascii="Times New Roman"/>
              </w:rPr>
              <w:t>长度</w:t>
            </w:r>
          </w:p>
        </w:tc>
        <w:tc>
          <w:tcPr>
            <w:tcW w:w="1701" w:type="dxa"/>
            <w:tcBorders>
              <w:top w:val="single" w:color="auto" w:sz="8" w:space="0"/>
            </w:tcBorders>
            <w:shd w:val="clear" w:color="auto" w:fill="auto"/>
            <w:vAlign w:val="center"/>
          </w:tcPr>
          <w:p>
            <w:pPr>
              <w:pStyle w:val="178"/>
              <w:rPr>
                <w:rFonts w:ascii="Times New Roman"/>
              </w:rPr>
            </w:pPr>
            <w:r>
              <w:rPr>
                <w:rFonts w:ascii="Times New Roman"/>
              </w:rPr>
              <w:t>≤6m</w:t>
            </w:r>
          </w:p>
        </w:tc>
        <w:tc>
          <w:tcPr>
            <w:tcW w:w="1560" w:type="dxa"/>
            <w:tcBorders>
              <w:top w:val="single" w:color="auto" w:sz="8" w:space="0"/>
            </w:tcBorders>
            <w:shd w:val="clear" w:color="auto" w:fill="auto"/>
            <w:vAlign w:val="center"/>
          </w:tcPr>
          <w:p>
            <w:pPr>
              <w:pStyle w:val="178"/>
              <w:rPr>
                <w:rFonts w:ascii="Times New Roman"/>
              </w:rPr>
            </w:pPr>
            <w:r>
              <w:rPr>
                <w:rFonts w:ascii="Times New Roman"/>
              </w:rPr>
              <w:t>±3</w:t>
            </w:r>
          </w:p>
        </w:tc>
        <w:tc>
          <w:tcPr>
            <w:tcW w:w="3815" w:type="dxa"/>
            <w:vMerge w:val="restart"/>
            <w:tcBorders>
              <w:top w:val="single" w:color="auto" w:sz="8" w:space="0"/>
            </w:tcBorders>
            <w:shd w:val="clear" w:color="auto" w:fill="auto"/>
            <w:vAlign w:val="center"/>
          </w:tcPr>
          <w:p>
            <w:pPr>
              <w:pStyle w:val="178"/>
              <w:rPr>
                <w:rFonts w:ascii="Times New Roman"/>
              </w:rPr>
            </w:pPr>
            <w:r>
              <w:rPr>
                <w:rFonts w:ascii="Times New Roman"/>
              </w:rPr>
              <w:t>用尺量两端及中间部，取其中偏差绝对值较大值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78"/>
              <w:rPr>
                <w:rFonts w:ascii="Times New Roman"/>
              </w:rPr>
            </w:pPr>
          </w:p>
        </w:tc>
        <w:tc>
          <w:tcPr>
            <w:tcW w:w="709" w:type="dxa"/>
            <w:vMerge w:val="continue"/>
            <w:shd w:val="clear" w:color="auto" w:fill="auto"/>
            <w:vAlign w:val="center"/>
          </w:tcPr>
          <w:p>
            <w:pPr>
              <w:pStyle w:val="178"/>
              <w:rPr>
                <w:rFonts w:ascii="Times New Roman"/>
              </w:rPr>
            </w:pPr>
          </w:p>
        </w:tc>
        <w:tc>
          <w:tcPr>
            <w:tcW w:w="850" w:type="dxa"/>
            <w:vMerge w:val="continue"/>
            <w:shd w:val="clear" w:color="auto" w:fill="auto"/>
            <w:vAlign w:val="center"/>
          </w:tcPr>
          <w:p>
            <w:pPr>
              <w:pStyle w:val="178"/>
              <w:rPr>
                <w:rFonts w:ascii="Times New Roman"/>
              </w:rPr>
            </w:pPr>
          </w:p>
        </w:tc>
        <w:tc>
          <w:tcPr>
            <w:tcW w:w="1701" w:type="dxa"/>
            <w:shd w:val="clear" w:color="auto" w:fill="auto"/>
            <w:vAlign w:val="center"/>
          </w:tcPr>
          <w:p>
            <w:pPr>
              <w:pStyle w:val="178"/>
              <w:rPr>
                <w:rFonts w:ascii="Times New Roman"/>
              </w:rPr>
            </w:pPr>
            <w:r>
              <w:rPr>
                <w:rFonts w:ascii="Times New Roman"/>
              </w:rPr>
              <w:t>＞6m</w:t>
            </w:r>
          </w:p>
        </w:tc>
        <w:tc>
          <w:tcPr>
            <w:tcW w:w="1560" w:type="dxa"/>
            <w:shd w:val="clear" w:color="auto" w:fill="auto"/>
            <w:vAlign w:val="center"/>
          </w:tcPr>
          <w:p>
            <w:pPr>
              <w:pStyle w:val="178"/>
              <w:rPr>
                <w:rFonts w:ascii="Times New Roman"/>
              </w:rPr>
            </w:pPr>
            <w:r>
              <w:rPr>
                <w:rFonts w:ascii="Times New Roman"/>
              </w:rPr>
              <w:t>±5</w:t>
            </w:r>
          </w:p>
        </w:tc>
        <w:tc>
          <w:tcPr>
            <w:tcW w:w="3815" w:type="dxa"/>
            <w:vMerge w:val="continue"/>
            <w:shd w:val="clear" w:color="auto" w:fill="auto"/>
            <w:vAlign w:val="center"/>
          </w:tcPr>
          <w:p>
            <w:pPr>
              <w:pStyle w:val="178"/>
              <w:rPr>
                <w:rFonts w:ascii="Times New Roma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44" w:hRule="atLeast"/>
          <w:jc w:val="center"/>
        </w:trPr>
        <w:tc>
          <w:tcPr>
            <w:tcW w:w="699" w:type="dxa"/>
            <w:shd w:val="clear" w:color="auto" w:fill="auto"/>
            <w:vAlign w:val="center"/>
          </w:tcPr>
          <w:p>
            <w:pPr>
              <w:pStyle w:val="178"/>
              <w:rPr>
                <w:rFonts w:ascii="Times New Roman"/>
              </w:rPr>
            </w:pPr>
            <w:r>
              <w:rPr>
                <w:rFonts w:ascii="Times New Roman"/>
              </w:rPr>
              <w:t>2</w:t>
            </w:r>
          </w:p>
        </w:tc>
        <w:tc>
          <w:tcPr>
            <w:tcW w:w="709" w:type="dxa"/>
            <w:vMerge w:val="continue"/>
            <w:shd w:val="clear" w:color="auto" w:fill="auto"/>
            <w:vAlign w:val="center"/>
          </w:tcPr>
          <w:p>
            <w:pPr>
              <w:pStyle w:val="178"/>
              <w:rPr>
                <w:rFonts w:ascii="Times New Roman"/>
              </w:rPr>
            </w:pPr>
          </w:p>
        </w:tc>
        <w:tc>
          <w:tcPr>
            <w:tcW w:w="2551" w:type="dxa"/>
            <w:gridSpan w:val="2"/>
            <w:shd w:val="clear" w:color="auto" w:fill="auto"/>
            <w:vAlign w:val="center"/>
          </w:tcPr>
          <w:p>
            <w:pPr>
              <w:pStyle w:val="178"/>
              <w:rPr>
                <w:rFonts w:ascii="Times New Roman"/>
              </w:rPr>
            </w:pPr>
            <w:r>
              <w:rPr>
                <w:rFonts w:ascii="Times New Roman"/>
              </w:rPr>
              <w:t>宽度</w:t>
            </w:r>
          </w:p>
        </w:tc>
        <w:tc>
          <w:tcPr>
            <w:tcW w:w="1560" w:type="dxa"/>
            <w:shd w:val="clear" w:color="auto" w:fill="auto"/>
            <w:vAlign w:val="center"/>
          </w:tcPr>
          <w:p>
            <w:pPr>
              <w:pStyle w:val="178"/>
              <w:rPr>
                <w:rFonts w:ascii="Times New Roman"/>
              </w:rPr>
            </w:pPr>
            <w:r>
              <w:rPr>
                <w:rFonts w:ascii="Times New Roman"/>
              </w:rPr>
              <w:t>±5</w:t>
            </w:r>
          </w:p>
          <w:p>
            <w:pPr>
              <w:pStyle w:val="178"/>
              <w:rPr>
                <w:rFonts w:ascii="Times New Roman"/>
              </w:rPr>
            </w:pPr>
            <w:r>
              <w:rPr>
                <w:rFonts w:ascii="Times New Roman"/>
              </w:rPr>
              <w:t>（密拼：2，－4）</w:t>
            </w:r>
          </w:p>
        </w:tc>
        <w:tc>
          <w:tcPr>
            <w:tcW w:w="3815" w:type="dxa"/>
            <w:shd w:val="clear" w:color="auto" w:fill="auto"/>
            <w:vAlign w:val="center"/>
          </w:tcPr>
          <w:p>
            <w:pPr>
              <w:pStyle w:val="178"/>
              <w:rPr>
                <w:rFonts w:ascii="Times New Roman"/>
              </w:rPr>
            </w:pPr>
            <w:r>
              <w:rPr>
                <w:rFonts w:ascii="Times New Roman"/>
              </w:rPr>
              <w:t>用尺量两端及中间部，取其中偏差绝对值较大值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44" w:hRule="atLeast"/>
          <w:jc w:val="center"/>
        </w:trPr>
        <w:tc>
          <w:tcPr>
            <w:tcW w:w="699" w:type="dxa"/>
            <w:shd w:val="clear" w:color="auto" w:fill="auto"/>
            <w:vAlign w:val="center"/>
          </w:tcPr>
          <w:p>
            <w:pPr>
              <w:pStyle w:val="178"/>
              <w:rPr>
                <w:rFonts w:ascii="Times New Roman"/>
              </w:rPr>
            </w:pPr>
            <w:r>
              <w:rPr>
                <w:rFonts w:ascii="Times New Roman"/>
              </w:rPr>
              <w:t>3</w:t>
            </w:r>
          </w:p>
        </w:tc>
        <w:tc>
          <w:tcPr>
            <w:tcW w:w="709" w:type="dxa"/>
            <w:vMerge w:val="continue"/>
            <w:shd w:val="clear" w:color="auto" w:fill="auto"/>
            <w:vAlign w:val="center"/>
          </w:tcPr>
          <w:p>
            <w:pPr>
              <w:pStyle w:val="178"/>
              <w:rPr>
                <w:rFonts w:ascii="Times New Roman"/>
              </w:rPr>
            </w:pPr>
          </w:p>
        </w:tc>
        <w:tc>
          <w:tcPr>
            <w:tcW w:w="2551" w:type="dxa"/>
            <w:gridSpan w:val="2"/>
            <w:shd w:val="clear" w:color="auto" w:fill="auto"/>
            <w:vAlign w:val="center"/>
          </w:tcPr>
          <w:p>
            <w:pPr>
              <w:pStyle w:val="178"/>
              <w:rPr>
                <w:rFonts w:ascii="Times New Roman"/>
              </w:rPr>
            </w:pPr>
            <w:r>
              <w:rPr>
                <w:rFonts w:ascii="Times New Roman"/>
              </w:rPr>
              <w:t>厚度</w:t>
            </w:r>
          </w:p>
        </w:tc>
        <w:tc>
          <w:tcPr>
            <w:tcW w:w="1560" w:type="dxa"/>
            <w:shd w:val="clear" w:color="auto" w:fill="auto"/>
            <w:vAlign w:val="center"/>
          </w:tcPr>
          <w:p>
            <w:pPr>
              <w:pStyle w:val="178"/>
              <w:rPr>
                <w:rFonts w:ascii="Times New Roman"/>
              </w:rPr>
            </w:pPr>
            <w:r>
              <w:rPr>
                <w:rFonts w:ascii="Times New Roman"/>
              </w:rPr>
              <w:t>±5</w:t>
            </w:r>
          </w:p>
        </w:tc>
        <w:tc>
          <w:tcPr>
            <w:tcW w:w="3815" w:type="dxa"/>
            <w:shd w:val="clear" w:color="auto" w:fill="auto"/>
            <w:vAlign w:val="center"/>
          </w:tcPr>
          <w:p>
            <w:pPr>
              <w:pStyle w:val="178"/>
              <w:rPr>
                <w:rFonts w:ascii="Times New Roman"/>
              </w:rPr>
            </w:pPr>
            <w:r>
              <w:rPr>
                <w:rFonts w:ascii="Times New Roman"/>
              </w:rPr>
              <w:t>用尺量板四角和四边中部位置共8处，取其中偏差绝对值较大值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44" w:hRule="atLeast"/>
          <w:jc w:val="center"/>
        </w:trPr>
        <w:tc>
          <w:tcPr>
            <w:tcW w:w="699" w:type="dxa"/>
            <w:shd w:val="clear" w:color="auto" w:fill="auto"/>
            <w:vAlign w:val="center"/>
          </w:tcPr>
          <w:p>
            <w:pPr>
              <w:pStyle w:val="178"/>
              <w:rPr>
                <w:rFonts w:ascii="Times New Roman"/>
              </w:rPr>
            </w:pPr>
            <w:r>
              <w:rPr>
                <w:rFonts w:ascii="Times New Roman"/>
              </w:rPr>
              <w:t>4</w:t>
            </w:r>
          </w:p>
        </w:tc>
        <w:tc>
          <w:tcPr>
            <w:tcW w:w="709" w:type="dxa"/>
            <w:vMerge w:val="continue"/>
            <w:shd w:val="clear" w:color="auto" w:fill="auto"/>
            <w:vAlign w:val="center"/>
          </w:tcPr>
          <w:p>
            <w:pPr>
              <w:pStyle w:val="178"/>
              <w:rPr>
                <w:rFonts w:ascii="Times New Roman"/>
              </w:rPr>
            </w:pPr>
          </w:p>
        </w:tc>
        <w:tc>
          <w:tcPr>
            <w:tcW w:w="2551" w:type="dxa"/>
            <w:gridSpan w:val="2"/>
            <w:shd w:val="clear" w:color="auto" w:fill="auto"/>
            <w:vAlign w:val="center"/>
          </w:tcPr>
          <w:p>
            <w:pPr>
              <w:pStyle w:val="178"/>
              <w:rPr>
                <w:rFonts w:ascii="Times New Roman"/>
              </w:rPr>
            </w:pPr>
            <w:r>
              <w:rPr>
                <w:rFonts w:ascii="Times New Roman"/>
              </w:rPr>
              <w:t>对角线差</w:t>
            </w:r>
          </w:p>
        </w:tc>
        <w:tc>
          <w:tcPr>
            <w:tcW w:w="1560" w:type="dxa"/>
            <w:shd w:val="clear" w:color="auto" w:fill="auto"/>
            <w:vAlign w:val="center"/>
          </w:tcPr>
          <w:p>
            <w:pPr>
              <w:pStyle w:val="178"/>
              <w:rPr>
                <w:rFonts w:ascii="Times New Roman"/>
              </w:rPr>
            </w:pPr>
            <w:r>
              <w:rPr>
                <w:rFonts w:ascii="Times New Roman"/>
              </w:rPr>
              <w:t>6</w:t>
            </w:r>
          </w:p>
        </w:tc>
        <w:tc>
          <w:tcPr>
            <w:tcW w:w="3815" w:type="dxa"/>
            <w:shd w:val="clear" w:color="auto" w:fill="auto"/>
            <w:vAlign w:val="center"/>
          </w:tcPr>
          <w:p>
            <w:pPr>
              <w:pStyle w:val="178"/>
              <w:rPr>
                <w:rFonts w:ascii="Times New Roman"/>
              </w:rPr>
            </w:pPr>
            <w:r>
              <w:rPr>
                <w:rFonts w:ascii="Times New Roman"/>
              </w:rPr>
              <w:t>在构件表面，用尺量测两对角线的长度，取其绝对值的差值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rPr>
                <w:rFonts w:ascii="Times New Roman"/>
              </w:rPr>
            </w:pPr>
            <w:r>
              <w:rPr>
                <w:rFonts w:ascii="Times New Roman"/>
              </w:rPr>
              <w:t>5</w:t>
            </w:r>
          </w:p>
        </w:tc>
        <w:tc>
          <w:tcPr>
            <w:tcW w:w="709" w:type="dxa"/>
            <w:vMerge w:val="restart"/>
            <w:shd w:val="clear" w:color="auto" w:fill="auto"/>
            <w:vAlign w:val="center"/>
          </w:tcPr>
          <w:p>
            <w:pPr>
              <w:pStyle w:val="178"/>
              <w:rPr>
                <w:rFonts w:ascii="Times New Roman"/>
              </w:rPr>
            </w:pPr>
            <w:r>
              <w:rPr>
                <w:rFonts w:ascii="Times New Roman"/>
              </w:rPr>
              <w:t>外形</w:t>
            </w:r>
          </w:p>
        </w:tc>
        <w:tc>
          <w:tcPr>
            <w:tcW w:w="2551" w:type="dxa"/>
            <w:gridSpan w:val="2"/>
            <w:shd w:val="clear" w:color="auto" w:fill="auto"/>
            <w:vAlign w:val="center"/>
          </w:tcPr>
          <w:p>
            <w:pPr>
              <w:pStyle w:val="178"/>
              <w:rPr>
                <w:rFonts w:ascii="Times New Roman"/>
              </w:rPr>
            </w:pPr>
            <w:r>
              <w:rPr>
                <w:rFonts w:ascii="Times New Roman"/>
              </w:rPr>
              <w:t>下表面平整度</w:t>
            </w:r>
          </w:p>
        </w:tc>
        <w:tc>
          <w:tcPr>
            <w:tcW w:w="1560" w:type="dxa"/>
            <w:shd w:val="clear" w:color="auto" w:fill="auto"/>
            <w:vAlign w:val="center"/>
          </w:tcPr>
          <w:p>
            <w:pPr>
              <w:pStyle w:val="178"/>
              <w:rPr>
                <w:rFonts w:ascii="Times New Roman"/>
              </w:rPr>
            </w:pPr>
            <w:r>
              <w:rPr>
                <w:rFonts w:ascii="Times New Roman"/>
              </w:rPr>
              <w:t>3</w:t>
            </w:r>
          </w:p>
        </w:tc>
        <w:tc>
          <w:tcPr>
            <w:tcW w:w="3815" w:type="dxa"/>
            <w:shd w:val="clear" w:color="auto" w:fill="auto"/>
            <w:vAlign w:val="center"/>
          </w:tcPr>
          <w:p>
            <w:pPr>
              <w:pStyle w:val="178"/>
              <w:rPr>
                <w:rFonts w:ascii="Times New Roman"/>
              </w:rPr>
            </w:pPr>
            <w:r>
              <w:rPr>
                <w:rFonts w:ascii="Times New Roman"/>
              </w:rPr>
              <w:t>用2m靠尺和塞尺量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rPr>
                <w:rFonts w:ascii="Times New Roman"/>
              </w:rPr>
            </w:pPr>
            <w:r>
              <w:rPr>
                <w:rFonts w:ascii="Times New Roman"/>
              </w:rPr>
              <w:t>6</w:t>
            </w:r>
          </w:p>
        </w:tc>
        <w:tc>
          <w:tcPr>
            <w:tcW w:w="709" w:type="dxa"/>
            <w:vMerge w:val="continue"/>
            <w:shd w:val="clear" w:color="auto" w:fill="auto"/>
            <w:vAlign w:val="center"/>
          </w:tcPr>
          <w:p>
            <w:pPr>
              <w:pStyle w:val="178"/>
              <w:rPr>
                <w:rFonts w:ascii="Times New Roman"/>
              </w:rPr>
            </w:pPr>
          </w:p>
        </w:tc>
        <w:tc>
          <w:tcPr>
            <w:tcW w:w="2551" w:type="dxa"/>
            <w:gridSpan w:val="2"/>
            <w:shd w:val="clear" w:color="auto" w:fill="auto"/>
            <w:vAlign w:val="center"/>
          </w:tcPr>
          <w:p>
            <w:pPr>
              <w:pStyle w:val="178"/>
              <w:rPr>
                <w:rFonts w:ascii="Times New Roman"/>
              </w:rPr>
            </w:pPr>
            <w:r>
              <w:rPr>
                <w:rFonts w:ascii="Times New Roman"/>
              </w:rPr>
              <w:t>侧向弯曲</w:t>
            </w:r>
          </w:p>
        </w:tc>
        <w:tc>
          <w:tcPr>
            <w:tcW w:w="1560" w:type="dxa"/>
            <w:shd w:val="clear" w:color="auto" w:fill="auto"/>
            <w:vAlign w:val="center"/>
          </w:tcPr>
          <w:p>
            <w:pPr>
              <w:pStyle w:val="178"/>
              <w:rPr>
                <w:rFonts w:ascii="Times New Roman"/>
              </w:rPr>
            </w:pPr>
            <w:r>
              <w:rPr>
                <w:rFonts w:ascii="Times New Roman"/>
              </w:rPr>
              <w:t>L</w:t>
            </w:r>
            <w:r>
              <w:rPr>
                <w:rFonts w:ascii="Times New Roman"/>
                <w:vertAlign w:val="subscript"/>
              </w:rPr>
              <w:t>1</w:t>
            </w:r>
            <w:r>
              <w:rPr>
                <w:rFonts w:ascii="Times New Roman"/>
              </w:rPr>
              <w:t>/750且≤20</w:t>
            </w:r>
          </w:p>
        </w:tc>
        <w:tc>
          <w:tcPr>
            <w:tcW w:w="3815" w:type="dxa"/>
            <w:shd w:val="clear" w:color="auto" w:fill="auto"/>
            <w:vAlign w:val="center"/>
          </w:tcPr>
          <w:p>
            <w:pPr>
              <w:pStyle w:val="178"/>
              <w:rPr>
                <w:rFonts w:ascii="Times New Roman"/>
              </w:rPr>
            </w:pPr>
            <w:r>
              <w:rPr>
                <w:rFonts w:ascii="Times New Roman"/>
              </w:rPr>
              <w:t>拉线、钢尺量最大弯曲处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44" w:hRule="atLeast"/>
          <w:jc w:val="center"/>
        </w:trPr>
        <w:tc>
          <w:tcPr>
            <w:tcW w:w="699" w:type="dxa"/>
            <w:shd w:val="clear" w:color="auto" w:fill="auto"/>
            <w:vAlign w:val="center"/>
          </w:tcPr>
          <w:p>
            <w:pPr>
              <w:pStyle w:val="178"/>
              <w:rPr>
                <w:rFonts w:ascii="Times New Roman"/>
              </w:rPr>
            </w:pPr>
            <w:r>
              <w:rPr>
                <w:rFonts w:ascii="Times New Roman"/>
              </w:rPr>
              <w:t>7</w:t>
            </w:r>
          </w:p>
        </w:tc>
        <w:tc>
          <w:tcPr>
            <w:tcW w:w="709" w:type="dxa"/>
            <w:vMerge w:val="continue"/>
            <w:shd w:val="clear" w:color="auto" w:fill="auto"/>
            <w:vAlign w:val="center"/>
          </w:tcPr>
          <w:p>
            <w:pPr>
              <w:pStyle w:val="178"/>
              <w:rPr>
                <w:rFonts w:ascii="Times New Roman"/>
              </w:rPr>
            </w:pPr>
          </w:p>
        </w:tc>
        <w:tc>
          <w:tcPr>
            <w:tcW w:w="2551" w:type="dxa"/>
            <w:gridSpan w:val="2"/>
            <w:shd w:val="clear" w:color="auto" w:fill="auto"/>
            <w:vAlign w:val="center"/>
          </w:tcPr>
          <w:p>
            <w:pPr>
              <w:pStyle w:val="178"/>
              <w:rPr>
                <w:rFonts w:ascii="Times New Roman"/>
              </w:rPr>
            </w:pPr>
            <w:r>
              <w:rPr>
                <w:rFonts w:ascii="Times New Roman"/>
              </w:rPr>
              <w:t>翘曲</w:t>
            </w:r>
          </w:p>
        </w:tc>
        <w:tc>
          <w:tcPr>
            <w:tcW w:w="1560" w:type="dxa"/>
            <w:shd w:val="clear" w:color="auto" w:fill="auto"/>
            <w:vAlign w:val="center"/>
          </w:tcPr>
          <w:p>
            <w:pPr>
              <w:pStyle w:val="178"/>
              <w:rPr>
                <w:rFonts w:ascii="Times New Roman"/>
              </w:rPr>
            </w:pPr>
            <w:r>
              <w:rPr>
                <w:rFonts w:ascii="Times New Roman"/>
              </w:rPr>
              <w:t>L</w:t>
            </w:r>
            <w:r>
              <w:rPr>
                <w:rFonts w:ascii="Times New Roman"/>
                <w:vertAlign w:val="subscript"/>
              </w:rPr>
              <w:t>1</w:t>
            </w:r>
            <w:r>
              <w:rPr>
                <w:rFonts w:ascii="Times New Roman"/>
              </w:rPr>
              <w:t>/750</w:t>
            </w:r>
          </w:p>
        </w:tc>
        <w:tc>
          <w:tcPr>
            <w:tcW w:w="3815" w:type="dxa"/>
            <w:shd w:val="clear" w:color="auto" w:fill="auto"/>
            <w:vAlign w:val="center"/>
          </w:tcPr>
          <w:p>
            <w:pPr>
              <w:pStyle w:val="178"/>
              <w:rPr>
                <w:rFonts w:ascii="Times New Roman"/>
              </w:rPr>
            </w:pPr>
            <w:r>
              <w:rPr>
                <w:rFonts w:ascii="Times New Roman"/>
              </w:rPr>
              <w:t>四对角拉两条线，量测两线交点之间的距离，其值的2倍为翘曲值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99" w:type="dxa"/>
            <w:vMerge w:val="restart"/>
            <w:tcBorders>
              <w:bottom w:val="single" w:color="auto" w:sz="4" w:space="0"/>
            </w:tcBorders>
            <w:shd w:val="clear" w:color="auto" w:fill="auto"/>
            <w:vAlign w:val="center"/>
          </w:tcPr>
          <w:p>
            <w:pPr>
              <w:pStyle w:val="178"/>
              <w:rPr>
                <w:rFonts w:ascii="Times New Roman"/>
              </w:rPr>
            </w:pPr>
            <w:r>
              <w:rPr>
                <w:rFonts w:ascii="Times New Roman"/>
              </w:rPr>
              <w:t>8</w:t>
            </w:r>
          </w:p>
        </w:tc>
        <w:tc>
          <w:tcPr>
            <w:tcW w:w="709" w:type="dxa"/>
            <w:vMerge w:val="restart"/>
            <w:shd w:val="clear" w:color="auto" w:fill="auto"/>
            <w:vAlign w:val="center"/>
          </w:tcPr>
          <w:p>
            <w:pPr>
              <w:pStyle w:val="178"/>
              <w:rPr>
                <w:rFonts w:ascii="Times New Roman"/>
              </w:rPr>
            </w:pPr>
            <w:r>
              <w:rPr>
                <w:rFonts w:ascii="Times New Roman"/>
              </w:rPr>
              <w:t>预埋</w:t>
            </w:r>
          </w:p>
          <w:p>
            <w:pPr>
              <w:pStyle w:val="178"/>
              <w:rPr>
                <w:rFonts w:ascii="Times New Roman"/>
              </w:rPr>
            </w:pPr>
            <w:r>
              <w:rPr>
                <w:rFonts w:ascii="Times New Roman"/>
              </w:rPr>
              <w:t>部件</w:t>
            </w:r>
          </w:p>
        </w:tc>
        <w:tc>
          <w:tcPr>
            <w:tcW w:w="850" w:type="dxa"/>
            <w:vMerge w:val="restart"/>
            <w:tcBorders>
              <w:bottom w:val="single" w:color="auto" w:sz="4" w:space="0"/>
            </w:tcBorders>
            <w:shd w:val="clear" w:color="auto" w:fill="auto"/>
            <w:vAlign w:val="center"/>
          </w:tcPr>
          <w:p>
            <w:pPr>
              <w:pStyle w:val="178"/>
              <w:rPr>
                <w:rFonts w:ascii="Times New Roman"/>
              </w:rPr>
            </w:pPr>
            <w:r>
              <w:rPr>
                <w:rFonts w:ascii="Times New Roman"/>
              </w:rPr>
              <w:t>预埋钢板</w:t>
            </w:r>
          </w:p>
        </w:tc>
        <w:tc>
          <w:tcPr>
            <w:tcW w:w="1701" w:type="dxa"/>
            <w:tcBorders>
              <w:bottom w:val="single" w:color="auto" w:sz="4" w:space="0"/>
            </w:tcBorders>
            <w:shd w:val="clear" w:color="auto" w:fill="auto"/>
            <w:vAlign w:val="center"/>
          </w:tcPr>
          <w:p>
            <w:pPr>
              <w:pStyle w:val="178"/>
              <w:rPr>
                <w:rFonts w:ascii="Times New Roman"/>
              </w:rPr>
            </w:pPr>
            <w:r>
              <w:rPr>
                <w:rFonts w:ascii="Times New Roman"/>
              </w:rPr>
              <w:t>中心线位置</w:t>
            </w:r>
          </w:p>
        </w:tc>
        <w:tc>
          <w:tcPr>
            <w:tcW w:w="1560" w:type="dxa"/>
            <w:tcBorders>
              <w:bottom w:val="single" w:color="auto" w:sz="4" w:space="0"/>
            </w:tcBorders>
            <w:shd w:val="clear" w:color="auto" w:fill="auto"/>
            <w:vAlign w:val="center"/>
          </w:tcPr>
          <w:p>
            <w:pPr>
              <w:pStyle w:val="178"/>
              <w:rPr>
                <w:rFonts w:ascii="Times New Roman"/>
              </w:rPr>
            </w:pPr>
            <w:r>
              <w:rPr>
                <w:rFonts w:ascii="Times New Roman"/>
              </w:rPr>
              <w:t>5</w:t>
            </w:r>
          </w:p>
        </w:tc>
        <w:tc>
          <w:tcPr>
            <w:tcW w:w="3815" w:type="dxa"/>
            <w:tcBorders>
              <w:bottom w:val="single" w:color="auto" w:sz="4" w:space="0"/>
            </w:tcBorders>
            <w:shd w:val="clear" w:color="auto" w:fill="auto"/>
            <w:vAlign w:val="center"/>
          </w:tcPr>
          <w:p>
            <w:pPr>
              <w:pStyle w:val="178"/>
              <w:rPr>
                <w:rFonts w:ascii="Times New Roman"/>
              </w:rPr>
            </w:pPr>
            <w:r>
              <w:rPr>
                <w:rFonts w:ascii="Times New Roman"/>
              </w:rPr>
              <w:t>用尺量测纵横两个方向的中心线位置，取其中较大值。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99" w:type="dxa"/>
            <w:vMerge w:val="continue"/>
            <w:tcBorders>
              <w:bottom w:val="single" w:color="auto" w:sz="4" w:space="0"/>
            </w:tcBorders>
            <w:shd w:val="clear" w:color="auto" w:fill="auto"/>
            <w:vAlign w:val="center"/>
          </w:tcPr>
          <w:p>
            <w:pPr>
              <w:pStyle w:val="178"/>
              <w:rPr>
                <w:rFonts w:ascii="Times New Roman"/>
              </w:rPr>
            </w:pPr>
          </w:p>
        </w:tc>
        <w:tc>
          <w:tcPr>
            <w:tcW w:w="709" w:type="dxa"/>
            <w:vMerge w:val="continue"/>
            <w:shd w:val="clear" w:color="auto" w:fill="auto"/>
            <w:vAlign w:val="center"/>
          </w:tcPr>
          <w:p>
            <w:pPr>
              <w:pStyle w:val="178"/>
              <w:rPr>
                <w:rFonts w:ascii="Times New Roman"/>
              </w:rPr>
            </w:pPr>
          </w:p>
        </w:tc>
        <w:tc>
          <w:tcPr>
            <w:tcW w:w="850" w:type="dxa"/>
            <w:vMerge w:val="continue"/>
            <w:tcBorders>
              <w:bottom w:val="single" w:color="auto" w:sz="4" w:space="0"/>
            </w:tcBorders>
            <w:shd w:val="clear" w:color="auto" w:fill="auto"/>
            <w:vAlign w:val="center"/>
          </w:tcPr>
          <w:p>
            <w:pPr>
              <w:pStyle w:val="178"/>
              <w:rPr>
                <w:rFonts w:ascii="Times New Roman"/>
              </w:rPr>
            </w:pPr>
          </w:p>
        </w:tc>
        <w:tc>
          <w:tcPr>
            <w:tcW w:w="1701" w:type="dxa"/>
            <w:tcBorders>
              <w:bottom w:val="single" w:color="auto" w:sz="4" w:space="0"/>
            </w:tcBorders>
            <w:shd w:val="clear" w:color="auto" w:fill="auto"/>
            <w:vAlign w:val="center"/>
          </w:tcPr>
          <w:p>
            <w:pPr>
              <w:pStyle w:val="178"/>
              <w:rPr>
                <w:rFonts w:ascii="Times New Roman"/>
              </w:rPr>
            </w:pPr>
            <w:r>
              <w:rPr>
                <w:rFonts w:ascii="Times New Roman"/>
              </w:rPr>
              <w:t>平面高差</w:t>
            </w:r>
          </w:p>
        </w:tc>
        <w:tc>
          <w:tcPr>
            <w:tcW w:w="1560" w:type="dxa"/>
            <w:tcBorders>
              <w:bottom w:val="single" w:color="auto" w:sz="4" w:space="0"/>
            </w:tcBorders>
            <w:shd w:val="clear" w:color="auto" w:fill="auto"/>
            <w:vAlign w:val="center"/>
          </w:tcPr>
          <w:p>
            <w:pPr>
              <w:pStyle w:val="178"/>
              <w:rPr>
                <w:rFonts w:ascii="Times New Roman"/>
              </w:rPr>
            </w:pPr>
            <w:r>
              <w:rPr>
                <w:rFonts w:ascii="Times New Roman"/>
              </w:rPr>
              <w:t>0，-5</w:t>
            </w:r>
          </w:p>
        </w:tc>
        <w:tc>
          <w:tcPr>
            <w:tcW w:w="3815" w:type="dxa"/>
            <w:tcBorders>
              <w:bottom w:val="single" w:color="auto" w:sz="4" w:space="0"/>
            </w:tcBorders>
            <w:shd w:val="clear" w:color="auto" w:fill="auto"/>
            <w:vAlign w:val="center"/>
          </w:tcPr>
          <w:p>
            <w:pPr>
              <w:pStyle w:val="178"/>
              <w:rPr>
                <w:rFonts w:ascii="Times New Roman"/>
              </w:rPr>
            </w:pPr>
            <w:r>
              <w:rPr>
                <w:rFonts w:ascii="Times New Roman"/>
              </w:rPr>
              <w:t>用尺紧靠在预埋件上，用楔形塞尺量测预埋件平面与混凝土面的最大缝隙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99" w:type="dxa"/>
            <w:vMerge w:val="restart"/>
            <w:tcBorders>
              <w:bottom w:val="single" w:color="auto" w:sz="4" w:space="0"/>
            </w:tcBorders>
            <w:shd w:val="clear" w:color="auto" w:fill="auto"/>
            <w:vAlign w:val="center"/>
          </w:tcPr>
          <w:p>
            <w:pPr>
              <w:pStyle w:val="178"/>
              <w:rPr>
                <w:rFonts w:ascii="Times New Roman"/>
              </w:rPr>
            </w:pPr>
            <w:r>
              <w:rPr>
                <w:rFonts w:ascii="Times New Roman"/>
              </w:rPr>
              <w:t>9</w:t>
            </w:r>
          </w:p>
        </w:tc>
        <w:tc>
          <w:tcPr>
            <w:tcW w:w="709" w:type="dxa"/>
            <w:vMerge w:val="continue"/>
            <w:shd w:val="clear" w:color="auto" w:fill="auto"/>
            <w:vAlign w:val="center"/>
          </w:tcPr>
          <w:p>
            <w:pPr>
              <w:pStyle w:val="178"/>
              <w:rPr>
                <w:rFonts w:ascii="Times New Roman"/>
              </w:rPr>
            </w:pPr>
          </w:p>
        </w:tc>
        <w:tc>
          <w:tcPr>
            <w:tcW w:w="850" w:type="dxa"/>
            <w:vMerge w:val="restart"/>
            <w:tcBorders>
              <w:bottom w:val="single" w:color="auto" w:sz="4" w:space="0"/>
            </w:tcBorders>
            <w:shd w:val="clear" w:color="auto" w:fill="auto"/>
            <w:vAlign w:val="center"/>
          </w:tcPr>
          <w:p>
            <w:pPr>
              <w:pStyle w:val="178"/>
              <w:rPr>
                <w:rFonts w:ascii="Times New Roman"/>
              </w:rPr>
            </w:pPr>
            <w:r>
              <w:rPr>
                <w:rFonts w:ascii="Times New Roman"/>
              </w:rPr>
              <w:t>预埋螺栓</w:t>
            </w:r>
          </w:p>
        </w:tc>
        <w:tc>
          <w:tcPr>
            <w:tcW w:w="1701" w:type="dxa"/>
            <w:tcBorders>
              <w:bottom w:val="single" w:color="auto" w:sz="4" w:space="0"/>
            </w:tcBorders>
            <w:shd w:val="clear" w:color="auto" w:fill="auto"/>
            <w:vAlign w:val="center"/>
          </w:tcPr>
          <w:p>
            <w:pPr>
              <w:pStyle w:val="178"/>
              <w:rPr>
                <w:rFonts w:ascii="Times New Roman"/>
              </w:rPr>
            </w:pPr>
            <w:r>
              <w:rPr>
                <w:rFonts w:ascii="Times New Roman"/>
              </w:rPr>
              <w:t>中心线位置</w:t>
            </w:r>
          </w:p>
        </w:tc>
        <w:tc>
          <w:tcPr>
            <w:tcW w:w="1560" w:type="dxa"/>
            <w:tcBorders>
              <w:bottom w:val="single" w:color="auto" w:sz="4" w:space="0"/>
            </w:tcBorders>
            <w:shd w:val="clear" w:color="auto" w:fill="auto"/>
            <w:vAlign w:val="center"/>
          </w:tcPr>
          <w:p>
            <w:pPr>
              <w:pStyle w:val="178"/>
              <w:rPr>
                <w:rFonts w:ascii="Times New Roman"/>
              </w:rPr>
            </w:pPr>
            <w:r>
              <w:rPr>
                <w:rFonts w:ascii="Times New Roman"/>
              </w:rPr>
              <w:t>2</w:t>
            </w:r>
          </w:p>
        </w:tc>
        <w:tc>
          <w:tcPr>
            <w:tcW w:w="3815" w:type="dxa"/>
            <w:tcBorders>
              <w:bottom w:val="single" w:color="auto" w:sz="4" w:space="0"/>
            </w:tcBorders>
            <w:shd w:val="clear" w:color="auto" w:fill="auto"/>
            <w:vAlign w:val="center"/>
          </w:tcPr>
          <w:p>
            <w:pPr>
              <w:pStyle w:val="178"/>
              <w:rPr>
                <w:rFonts w:ascii="Times New Roman"/>
              </w:rPr>
            </w:pPr>
            <w:r>
              <w:rPr>
                <w:rFonts w:ascii="Times New Roman"/>
              </w:rPr>
              <w:t>用尺量测纵横两个方向的中心线位置，取其中较大值。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78"/>
              <w:rPr>
                <w:rFonts w:ascii="Times New Roman"/>
              </w:rPr>
            </w:pPr>
          </w:p>
        </w:tc>
        <w:tc>
          <w:tcPr>
            <w:tcW w:w="709" w:type="dxa"/>
            <w:vMerge w:val="continue"/>
            <w:shd w:val="clear" w:color="auto" w:fill="auto"/>
            <w:vAlign w:val="center"/>
          </w:tcPr>
          <w:p>
            <w:pPr>
              <w:pStyle w:val="178"/>
              <w:rPr>
                <w:rFonts w:ascii="Times New Roman"/>
              </w:rPr>
            </w:pPr>
          </w:p>
        </w:tc>
        <w:tc>
          <w:tcPr>
            <w:tcW w:w="850" w:type="dxa"/>
            <w:vMerge w:val="continue"/>
            <w:shd w:val="clear" w:color="auto" w:fill="auto"/>
            <w:vAlign w:val="center"/>
          </w:tcPr>
          <w:p>
            <w:pPr>
              <w:pStyle w:val="178"/>
              <w:rPr>
                <w:rFonts w:ascii="Times New Roman"/>
              </w:rPr>
            </w:pPr>
          </w:p>
        </w:tc>
        <w:tc>
          <w:tcPr>
            <w:tcW w:w="1701" w:type="dxa"/>
            <w:shd w:val="clear" w:color="auto" w:fill="auto"/>
            <w:vAlign w:val="center"/>
          </w:tcPr>
          <w:p>
            <w:pPr>
              <w:pStyle w:val="178"/>
              <w:rPr>
                <w:rFonts w:ascii="Times New Roman"/>
              </w:rPr>
            </w:pPr>
            <w:r>
              <w:rPr>
                <w:rFonts w:ascii="Times New Roman"/>
              </w:rPr>
              <w:t>外露长度</w:t>
            </w:r>
          </w:p>
        </w:tc>
        <w:tc>
          <w:tcPr>
            <w:tcW w:w="1560" w:type="dxa"/>
            <w:shd w:val="clear" w:color="auto" w:fill="auto"/>
            <w:vAlign w:val="center"/>
          </w:tcPr>
          <w:p>
            <w:pPr>
              <w:pStyle w:val="178"/>
              <w:rPr>
                <w:rFonts w:ascii="Times New Roman"/>
              </w:rPr>
            </w:pPr>
            <w:r>
              <w:rPr>
                <w:rFonts w:ascii="Times New Roman"/>
              </w:rPr>
              <w:t>+10，-5</w:t>
            </w:r>
          </w:p>
        </w:tc>
        <w:tc>
          <w:tcPr>
            <w:tcW w:w="3815" w:type="dxa"/>
            <w:shd w:val="clear" w:color="auto" w:fill="auto"/>
            <w:vAlign w:val="center"/>
          </w:tcPr>
          <w:p>
            <w:pPr>
              <w:pStyle w:val="178"/>
              <w:rPr>
                <w:rFonts w:ascii="Times New Roman"/>
              </w:rPr>
            </w:pPr>
            <w:r>
              <w:rPr>
                <w:rFonts w:ascii="Times New Roman"/>
              </w:rPr>
              <w:t>用尺量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99" w:type="dxa"/>
            <w:vMerge w:val="restart"/>
            <w:tcBorders>
              <w:bottom w:val="single" w:color="auto" w:sz="4" w:space="0"/>
            </w:tcBorders>
            <w:shd w:val="clear" w:color="auto" w:fill="auto"/>
            <w:vAlign w:val="center"/>
          </w:tcPr>
          <w:p>
            <w:pPr>
              <w:pStyle w:val="178"/>
              <w:rPr>
                <w:rFonts w:ascii="Times New Roman"/>
              </w:rPr>
            </w:pPr>
            <w:r>
              <w:rPr>
                <w:rFonts w:ascii="Times New Roman"/>
              </w:rPr>
              <w:t>10</w:t>
            </w:r>
          </w:p>
        </w:tc>
        <w:tc>
          <w:tcPr>
            <w:tcW w:w="709" w:type="dxa"/>
            <w:vMerge w:val="continue"/>
            <w:tcBorders>
              <w:bottom w:val="single" w:color="auto" w:sz="4" w:space="0"/>
            </w:tcBorders>
            <w:shd w:val="clear" w:color="auto" w:fill="auto"/>
            <w:vAlign w:val="center"/>
          </w:tcPr>
          <w:p>
            <w:pPr>
              <w:pStyle w:val="178"/>
              <w:rPr>
                <w:rFonts w:ascii="Times New Roman"/>
              </w:rPr>
            </w:pPr>
          </w:p>
        </w:tc>
        <w:tc>
          <w:tcPr>
            <w:tcW w:w="850" w:type="dxa"/>
            <w:vMerge w:val="restart"/>
            <w:tcBorders>
              <w:bottom w:val="single" w:color="auto" w:sz="4" w:space="0"/>
            </w:tcBorders>
            <w:shd w:val="clear" w:color="auto" w:fill="auto"/>
            <w:vAlign w:val="center"/>
          </w:tcPr>
          <w:p>
            <w:pPr>
              <w:pStyle w:val="178"/>
              <w:rPr>
                <w:rFonts w:ascii="Times New Roman"/>
              </w:rPr>
            </w:pPr>
            <w:r>
              <w:rPr>
                <w:rFonts w:ascii="Times New Roman"/>
              </w:rPr>
              <w:t>预埋线盒、电盒</w:t>
            </w:r>
          </w:p>
        </w:tc>
        <w:tc>
          <w:tcPr>
            <w:tcW w:w="1701" w:type="dxa"/>
            <w:tcBorders>
              <w:bottom w:val="single" w:color="auto" w:sz="4" w:space="0"/>
            </w:tcBorders>
            <w:shd w:val="clear" w:color="auto" w:fill="auto"/>
            <w:vAlign w:val="center"/>
          </w:tcPr>
          <w:p>
            <w:pPr>
              <w:pStyle w:val="178"/>
              <w:rPr>
                <w:rFonts w:ascii="Times New Roman"/>
              </w:rPr>
            </w:pPr>
            <w:r>
              <w:rPr>
                <w:rFonts w:ascii="Times New Roman"/>
              </w:rPr>
              <w:t>在构件平面的水平方向中心线位置</w:t>
            </w:r>
          </w:p>
        </w:tc>
        <w:tc>
          <w:tcPr>
            <w:tcW w:w="1560" w:type="dxa"/>
            <w:tcBorders>
              <w:bottom w:val="single" w:color="auto" w:sz="4" w:space="0"/>
            </w:tcBorders>
            <w:shd w:val="clear" w:color="auto" w:fill="auto"/>
            <w:vAlign w:val="center"/>
          </w:tcPr>
          <w:p>
            <w:pPr>
              <w:pStyle w:val="178"/>
              <w:rPr>
                <w:rFonts w:ascii="Times New Roman"/>
              </w:rPr>
            </w:pPr>
            <w:r>
              <w:rPr>
                <w:rFonts w:ascii="Times New Roman"/>
              </w:rPr>
              <w:t>10</w:t>
            </w:r>
          </w:p>
        </w:tc>
        <w:tc>
          <w:tcPr>
            <w:tcW w:w="3815" w:type="dxa"/>
            <w:tcBorders>
              <w:bottom w:val="single" w:color="auto" w:sz="4" w:space="0"/>
            </w:tcBorders>
            <w:shd w:val="clear" w:color="auto" w:fill="auto"/>
            <w:vAlign w:val="center"/>
          </w:tcPr>
          <w:p>
            <w:pPr>
              <w:pStyle w:val="178"/>
              <w:rPr>
                <w:rFonts w:ascii="Times New Roman"/>
              </w:rPr>
            </w:pPr>
            <w:r>
              <w:rPr>
                <w:rFonts w:ascii="Times New Roman"/>
              </w:rPr>
              <w:t>用尺量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99" w:type="dxa"/>
            <w:vMerge w:val="continue"/>
            <w:tcBorders>
              <w:bottom w:val="single" w:color="auto" w:sz="8" w:space="0"/>
            </w:tcBorders>
            <w:shd w:val="clear" w:color="auto" w:fill="auto"/>
            <w:vAlign w:val="center"/>
          </w:tcPr>
          <w:p>
            <w:pPr>
              <w:pStyle w:val="178"/>
              <w:rPr>
                <w:rFonts w:ascii="Times New Roman"/>
              </w:rPr>
            </w:pPr>
          </w:p>
        </w:tc>
        <w:tc>
          <w:tcPr>
            <w:tcW w:w="709" w:type="dxa"/>
            <w:vMerge w:val="continue"/>
            <w:tcBorders>
              <w:bottom w:val="single" w:color="auto" w:sz="8" w:space="0"/>
            </w:tcBorders>
            <w:shd w:val="clear" w:color="auto" w:fill="auto"/>
            <w:vAlign w:val="center"/>
          </w:tcPr>
          <w:p>
            <w:pPr>
              <w:pStyle w:val="178"/>
              <w:rPr>
                <w:rFonts w:ascii="Times New Roman"/>
              </w:rPr>
            </w:pPr>
          </w:p>
        </w:tc>
        <w:tc>
          <w:tcPr>
            <w:tcW w:w="850" w:type="dxa"/>
            <w:vMerge w:val="continue"/>
            <w:tcBorders>
              <w:bottom w:val="single" w:color="auto" w:sz="8" w:space="0"/>
            </w:tcBorders>
            <w:shd w:val="clear" w:color="auto" w:fill="auto"/>
            <w:vAlign w:val="center"/>
          </w:tcPr>
          <w:p>
            <w:pPr>
              <w:pStyle w:val="178"/>
              <w:rPr>
                <w:rFonts w:ascii="Times New Roman"/>
              </w:rPr>
            </w:pPr>
          </w:p>
        </w:tc>
        <w:tc>
          <w:tcPr>
            <w:tcW w:w="1701" w:type="dxa"/>
            <w:tcBorders>
              <w:bottom w:val="single" w:color="auto" w:sz="8" w:space="0"/>
            </w:tcBorders>
            <w:shd w:val="clear" w:color="auto" w:fill="auto"/>
            <w:vAlign w:val="center"/>
          </w:tcPr>
          <w:p>
            <w:pPr>
              <w:pStyle w:val="178"/>
              <w:rPr>
                <w:rFonts w:ascii="Times New Roman"/>
              </w:rPr>
            </w:pPr>
            <w:r>
              <w:rPr>
                <w:rFonts w:ascii="Times New Roman"/>
              </w:rPr>
              <w:t>与构件表面混凝土高差</w:t>
            </w:r>
          </w:p>
        </w:tc>
        <w:tc>
          <w:tcPr>
            <w:tcW w:w="1560" w:type="dxa"/>
            <w:tcBorders>
              <w:bottom w:val="single" w:color="auto" w:sz="8" w:space="0"/>
            </w:tcBorders>
            <w:shd w:val="clear" w:color="auto" w:fill="auto"/>
            <w:vAlign w:val="center"/>
          </w:tcPr>
          <w:p>
            <w:pPr>
              <w:pStyle w:val="178"/>
              <w:rPr>
                <w:rFonts w:ascii="Times New Roman"/>
              </w:rPr>
            </w:pPr>
            <w:r>
              <w:rPr>
                <w:rFonts w:ascii="Times New Roman"/>
              </w:rPr>
              <w:t>0，-5</w:t>
            </w:r>
          </w:p>
        </w:tc>
        <w:tc>
          <w:tcPr>
            <w:tcW w:w="3815" w:type="dxa"/>
            <w:tcBorders>
              <w:bottom w:val="single" w:color="auto" w:sz="8" w:space="0"/>
            </w:tcBorders>
            <w:shd w:val="clear" w:color="auto" w:fill="auto"/>
            <w:vAlign w:val="center"/>
          </w:tcPr>
          <w:p>
            <w:pPr>
              <w:pStyle w:val="178"/>
              <w:rPr>
                <w:rFonts w:ascii="Times New Roman"/>
              </w:rPr>
            </w:pPr>
            <w:r>
              <w:rPr>
                <w:rFonts w:ascii="Times New Roman"/>
              </w:rPr>
              <w:t>用尺量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99" w:type="dxa"/>
            <w:vMerge w:val="restart"/>
            <w:tcBorders>
              <w:bottom w:val="single" w:color="auto" w:sz="4" w:space="0"/>
            </w:tcBorders>
            <w:shd w:val="clear" w:color="auto" w:fill="auto"/>
            <w:vAlign w:val="center"/>
          </w:tcPr>
          <w:p>
            <w:pPr>
              <w:pStyle w:val="178"/>
              <w:rPr>
                <w:rFonts w:ascii="Times New Roman"/>
              </w:rPr>
            </w:pPr>
            <w:r>
              <w:rPr>
                <w:rFonts w:ascii="Times New Roman"/>
              </w:rPr>
              <w:t>11</w:t>
            </w:r>
          </w:p>
        </w:tc>
        <w:tc>
          <w:tcPr>
            <w:tcW w:w="709" w:type="dxa"/>
            <w:vMerge w:val="restart"/>
            <w:tcBorders>
              <w:bottom w:val="single" w:color="auto" w:sz="4" w:space="0"/>
            </w:tcBorders>
            <w:shd w:val="clear" w:color="auto" w:fill="auto"/>
            <w:vAlign w:val="center"/>
          </w:tcPr>
          <w:p>
            <w:pPr>
              <w:pStyle w:val="178"/>
              <w:rPr>
                <w:rFonts w:ascii="Times New Roman"/>
              </w:rPr>
            </w:pPr>
            <w:r>
              <w:rPr>
                <w:rFonts w:ascii="Times New Roman"/>
              </w:rPr>
              <w:t>预留孔</w:t>
            </w:r>
          </w:p>
        </w:tc>
        <w:tc>
          <w:tcPr>
            <w:tcW w:w="2551" w:type="dxa"/>
            <w:gridSpan w:val="2"/>
            <w:tcBorders>
              <w:bottom w:val="single" w:color="auto" w:sz="4" w:space="0"/>
            </w:tcBorders>
            <w:shd w:val="clear" w:color="auto" w:fill="auto"/>
            <w:vAlign w:val="center"/>
          </w:tcPr>
          <w:p>
            <w:pPr>
              <w:pStyle w:val="178"/>
              <w:rPr>
                <w:rFonts w:ascii="Times New Roman"/>
              </w:rPr>
            </w:pPr>
            <w:r>
              <w:rPr>
                <w:rFonts w:ascii="Times New Roman"/>
              </w:rPr>
              <w:t>中心线位置</w:t>
            </w:r>
          </w:p>
        </w:tc>
        <w:tc>
          <w:tcPr>
            <w:tcW w:w="1560" w:type="dxa"/>
            <w:tcBorders>
              <w:bottom w:val="single" w:color="auto" w:sz="4" w:space="0"/>
            </w:tcBorders>
            <w:shd w:val="clear" w:color="auto" w:fill="auto"/>
            <w:vAlign w:val="center"/>
          </w:tcPr>
          <w:p>
            <w:pPr>
              <w:pStyle w:val="178"/>
              <w:rPr>
                <w:rFonts w:ascii="Times New Roman"/>
              </w:rPr>
            </w:pPr>
            <w:r>
              <w:rPr>
                <w:rFonts w:ascii="Times New Roman"/>
              </w:rPr>
              <w:t>5</w:t>
            </w:r>
          </w:p>
        </w:tc>
        <w:tc>
          <w:tcPr>
            <w:tcW w:w="3815" w:type="dxa"/>
            <w:tcBorders>
              <w:bottom w:val="single" w:color="auto" w:sz="4" w:space="0"/>
            </w:tcBorders>
            <w:shd w:val="clear" w:color="auto" w:fill="auto"/>
            <w:vAlign w:val="center"/>
          </w:tcPr>
          <w:p>
            <w:pPr>
              <w:pStyle w:val="178"/>
              <w:rPr>
                <w:rFonts w:ascii="Times New Roman"/>
              </w:rPr>
            </w:pPr>
            <w:r>
              <w:rPr>
                <w:rFonts w:ascii="Times New Roman"/>
              </w:rPr>
              <w:t>用尺量测纵横两个方向的中心线位置，取其中较大值。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78"/>
              <w:rPr>
                <w:rFonts w:ascii="Times New Roman"/>
              </w:rPr>
            </w:pPr>
          </w:p>
        </w:tc>
        <w:tc>
          <w:tcPr>
            <w:tcW w:w="709" w:type="dxa"/>
            <w:vMerge w:val="continue"/>
            <w:shd w:val="clear" w:color="auto" w:fill="auto"/>
            <w:vAlign w:val="center"/>
          </w:tcPr>
          <w:p>
            <w:pPr>
              <w:pStyle w:val="178"/>
              <w:rPr>
                <w:rFonts w:ascii="Times New Roman"/>
              </w:rPr>
            </w:pPr>
          </w:p>
        </w:tc>
        <w:tc>
          <w:tcPr>
            <w:tcW w:w="2551" w:type="dxa"/>
            <w:gridSpan w:val="2"/>
            <w:shd w:val="clear" w:color="auto" w:fill="auto"/>
            <w:vAlign w:val="center"/>
          </w:tcPr>
          <w:p>
            <w:pPr>
              <w:pStyle w:val="178"/>
              <w:rPr>
                <w:rFonts w:ascii="Times New Roman"/>
              </w:rPr>
            </w:pPr>
            <w:r>
              <w:rPr>
                <w:rFonts w:ascii="Times New Roman"/>
              </w:rPr>
              <w:t>孔尺寸</w:t>
            </w:r>
          </w:p>
        </w:tc>
        <w:tc>
          <w:tcPr>
            <w:tcW w:w="1560" w:type="dxa"/>
            <w:shd w:val="clear" w:color="auto" w:fill="auto"/>
            <w:vAlign w:val="center"/>
          </w:tcPr>
          <w:p>
            <w:pPr>
              <w:pStyle w:val="178"/>
              <w:rPr>
                <w:rFonts w:ascii="Times New Roman"/>
              </w:rPr>
            </w:pPr>
            <w:r>
              <w:rPr>
                <w:rFonts w:ascii="Times New Roman"/>
              </w:rPr>
              <w:t>±5</w:t>
            </w:r>
          </w:p>
        </w:tc>
        <w:tc>
          <w:tcPr>
            <w:tcW w:w="3815" w:type="dxa"/>
            <w:shd w:val="clear" w:color="auto" w:fill="auto"/>
            <w:vAlign w:val="center"/>
          </w:tcPr>
          <w:p>
            <w:pPr>
              <w:pStyle w:val="178"/>
              <w:rPr>
                <w:rFonts w:ascii="Times New Roman"/>
              </w:rPr>
            </w:pPr>
            <w:r>
              <w:rPr>
                <w:rFonts w:ascii="Times New Roman"/>
              </w:rPr>
              <w:t>用尺量测纵横两个方向尺寸，取其中较大值。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99" w:type="dxa"/>
            <w:vMerge w:val="restart"/>
            <w:tcBorders>
              <w:bottom w:val="single" w:color="auto" w:sz="4" w:space="0"/>
            </w:tcBorders>
            <w:shd w:val="clear" w:color="auto" w:fill="auto"/>
            <w:vAlign w:val="center"/>
          </w:tcPr>
          <w:p>
            <w:pPr>
              <w:pStyle w:val="178"/>
              <w:rPr>
                <w:rFonts w:ascii="Times New Roman"/>
              </w:rPr>
            </w:pPr>
            <w:r>
              <w:rPr>
                <w:rFonts w:ascii="Times New Roman"/>
              </w:rPr>
              <w:t>12</w:t>
            </w:r>
          </w:p>
        </w:tc>
        <w:tc>
          <w:tcPr>
            <w:tcW w:w="709" w:type="dxa"/>
            <w:vMerge w:val="restart"/>
            <w:tcBorders>
              <w:bottom w:val="single" w:color="auto" w:sz="4" w:space="0"/>
            </w:tcBorders>
            <w:shd w:val="clear" w:color="auto" w:fill="auto"/>
            <w:vAlign w:val="center"/>
          </w:tcPr>
          <w:p>
            <w:pPr>
              <w:pStyle w:val="178"/>
              <w:rPr>
                <w:rFonts w:ascii="Times New Roman"/>
              </w:rPr>
            </w:pPr>
            <w:r>
              <w:rPr>
                <w:rFonts w:ascii="Times New Roman"/>
              </w:rPr>
              <w:t>预留洞</w:t>
            </w:r>
          </w:p>
        </w:tc>
        <w:tc>
          <w:tcPr>
            <w:tcW w:w="2551" w:type="dxa"/>
            <w:gridSpan w:val="2"/>
            <w:tcBorders>
              <w:bottom w:val="single" w:color="auto" w:sz="4" w:space="0"/>
            </w:tcBorders>
            <w:shd w:val="clear" w:color="auto" w:fill="auto"/>
            <w:vAlign w:val="center"/>
          </w:tcPr>
          <w:p>
            <w:pPr>
              <w:pStyle w:val="178"/>
              <w:rPr>
                <w:rFonts w:ascii="Times New Roman"/>
              </w:rPr>
            </w:pPr>
            <w:r>
              <w:rPr>
                <w:rFonts w:ascii="Times New Roman"/>
              </w:rPr>
              <w:t>中心线位置</w:t>
            </w:r>
          </w:p>
        </w:tc>
        <w:tc>
          <w:tcPr>
            <w:tcW w:w="1560" w:type="dxa"/>
            <w:tcBorders>
              <w:bottom w:val="single" w:color="auto" w:sz="4" w:space="0"/>
            </w:tcBorders>
            <w:shd w:val="clear" w:color="auto" w:fill="auto"/>
            <w:vAlign w:val="center"/>
          </w:tcPr>
          <w:p>
            <w:pPr>
              <w:pStyle w:val="178"/>
              <w:rPr>
                <w:rFonts w:ascii="Times New Roman"/>
              </w:rPr>
            </w:pPr>
            <w:r>
              <w:rPr>
                <w:rFonts w:ascii="Times New Roman"/>
              </w:rPr>
              <w:t>5</w:t>
            </w:r>
          </w:p>
        </w:tc>
        <w:tc>
          <w:tcPr>
            <w:tcW w:w="3815" w:type="dxa"/>
            <w:tcBorders>
              <w:bottom w:val="single" w:color="auto" w:sz="4" w:space="0"/>
            </w:tcBorders>
            <w:shd w:val="clear" w:color="auto" w:fill="auto"/>
            <w:vAlign w:val="center"/>
          </w:tcPr>
          <w:p>
            <w:pPr>
              <w:pStyle w:val="178"/>
              <w:rPr>
                <w:rFonts w:ascii="Times New Roman"/>
              </w:rPr>
            </w:pPr>
            <w:r>
              <w:rPr>
                <w:rFonts w:ascii="Times New Roman"/>
              </w:rPr>
              <w:t>用尺量测纵横两个方向的中心线位置，取其中较大值。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78"/>
              <w:rPr>
                <w:rFonts w:ascii="Times New Roman"/>
              </w:rPr>
            </w:pPr>
          </w:p>
        </w:tc>
        <w:tc>
          <w:tcPr>
            <w:tcW w:w="709" w:type="dxa"/>
            <w:vMerge w:val="continue"/>
            <w:shd w:val="clear" w:color="auto" w:fill="auto"/>
            <w:vAlign w:val="center"/>
          </w:tcPr>
          <w:p>
            <w:pPr>
              <w:pStyle w:val="178"/>
              <w:rPr>
                <w:rFonts w:ascii="Times New Roman"/>
              </w:rPr>
            </w:pPr>
          </w:p>
        </w:tc>
        <w:tc>
          <w:tcPr>
            <w:tcW w:w="2551" w:type="dxa"/>
            <w:gridSpan w:val="2"/>
            <w:shd w:val="clear" w:color="auto" w:fill="auto"/>
            <w:vAlign w:val="center"/>
          </w:tcPr>
          <w:p>
            <w:pPr>
              <w:pStyle w:val="178"/>
              <w:rPr>
                <w:rFonts w:ascii="Times New Roman"/>
              </w:rPr>
            </w:pPr>
            <w:r>
              <w:rPr>
                <w:rFonts w:ascii="Times New Roman"/>
              </w:rPr>
              <w:t>洞口尺寸、深度</w:t>
            </w:r>
          </w:p>
        </w:tc>
        <w:tc>
          <w:tcPr>
            <w:tcW w:w="1560" w:type="dxa"/>
            <w:shd w:val="clear" w:color="auto" w:fill="auto"/>
            <w:vAlign w:val="center"/>
          </w:tcPr>
          <w:p>
            <w:pPr>
              <w:pStyle w:val="178"/>
              <w:rPr>
                <w:rFonts w:ascii="Times New Roman"/>
              </w:rPr>
            </w:pPr>
            <w:r>
              <w:rPr>
                <w:rFonts w:ascii="Times New Roman"/>
              </w:rPr>
              <w:t>±5</w:t>
            </w:r>
          </w:p>
        </w:tc>
        <w:tc>
          <w:tcPr>
            <w:tcW w:w="3815" w:type="dxa"/>
            <w:shd w:val="clear" w:color="auto" w:fill="auto"/>
            <w:vAlign w:val="center"/>
          </w:tcPr>
          <w:p>
            <w:pPr>
              <w:pStyle w:val="178"/>
              <w:rPr>
                <w:rFonts w:ascii="Times New Roman"/>
              </w:rPr>
            </w:pPr>
            <w:r>
              <w:rPr>
                <w:rFonts w:ascii="Times New Roman"/>
              </w:rPr>
              <w:t>用尺量测纵横两个方向尺寸，取其中较大值。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99" w:type="dxa"/>
            <w:vMerge w:val="restart"/>
            <w:tcBorders>
              <w:bottom w:val="single" w:color="auto" w:sz="4" w:space="0"/>
            </w:tcBorders>
            <w:shd w:val="clear" w:color="auto" w:fill="auto"/>
            <w:vAlign w:val="center"/>
          </w:tcPr>
          <w:p>
            <w:pPr>
              <w:pStyle w:val="178"/>
              <w:rPr>
                <w:rFonts w:ascii="Times New Roman"/>
              </w:rPr>
            </w:pPr>
            <w:r>
              <w:rPr>
                <w:rFonts w:ascii="Times New Roman"/>
              </w:rPr>
              <w:t>13</w:t>
            </w:r>
          </w:p>
        </w:tc>
        <w:tc>
          <w:tcPr>
            <w:tcW w:w="709" w:type="dxa"/>
            <w:vMerge w:val="restart"/>
            <w:tcBorders>
              <w:bottom w:val="single" w:color="auto" w:sz="4" w:space="0"/>
            </w:tcBorders>
            <w:shd w:val="clear" w:color="auto" w:fill="auto"/>
            <w:vAlign w:val="center"/>
          </w:tcPr>
          <w:p>
            <w:pPr>
              <w:pStyle w:val="178"/>
              <w:rPr>
                <w:rFonts w:ascii="Times New Roman"/>
              </w:rPr>
            </w:pPr>
            <w:r>
              <w:rPr>
                <w:rFonts w:ascii="Times New Roman"/>
              </w:rPr>
              <w:t>预留</w:t>
            </w:r>
          </w:p>
          <w:p>
            <w:pPr>
              <w:pStyle w:val="178"/>
              <w:rPr>
                <w:rFonts w:ascii="Times New Roman"/>
              </w:rPr>
            </w:pPr>
            <w:r>
              <w:rPr>
                <w:rFonts w:ascii="Times New Roman"/>
              </w:rPr>
              <w:t>插筋</w:t>
            </w:r>
          </w:p>
        </w:tc>
        <w:tc>
          <w:tcPr>
            <w:tcW w:w="2551" w:type="dxa"/>
            <w:gridSpan w:val="2"/>
            <w:tcBorders>
              <w:bottom w:val="single" w:color="auto" w:sz="4" w:space="0"/>
            </w:tcBorders>
            <w:shd w:val="clear" w:color="auto" w:fill="auto"/>
            <w:vAlign w:val="center"/>
          </w:tcPr>
          <w:p>
            <w:pPr>
              <w:pStyle w:val="178"/>
              <w:rPr>
                <w:rFonts w:ascii="Times New Roman"/>
              </w:rPr>
            </w:pPr>
            <w:r>
              <w:rPr>
                <w:rFonts w:ascii="Times New Roman"/>
              </w:rPr>
              <w:t>中心线位置</w:t>
            </w:r>
          </w:p>
        </w:tc>
        <w:tc>
          <w:tcPr>
            <w:tcW w:w="1560" w:type="dxa"/>
            <w:tcBorders>
              <w:bottom w:val="single" w:color="auto" w:sz="4" w:space="0"/>
            </w:tcBorders>
            <w:shd w:val="clear" w:color="auto" w:fill="auto"/>
            <w:vAlign w:val="center"/>
          </w:tcPr>
          <w:p>
            <w:pPr>
              <w:pStyle w:val="178"/>
              <w:rPr>
                <w:rFonts w:ascii="Times New Roman"/>
              </w:rPr>
            </w:pPr>
            <w:r>
              <w:rPr>
                <w:rFonts w:ascii="Times New Roman"/>
              </w:rPr>
              <w:t>3</w:t>
            </w:r>
          </w:p>
        </w:tc>
        <w:tc>
          <w:tcPr>
            <w:tcW w:w="3815" w:type="dxa"/>
            <w:tcBorders>
              <w:bottom w:val="single" w:color="auto" w:sz="4" w:space="0"/>
            </w:tcBorders>
            <w:shd w:val="clear" w:color="auto" w:fill="auto"/>
            <w:vAlign w:val="center"/>
          </w:tcPr>
          <w:p>
            <w:pPr>
              <w:pStyle w:val="178"/>
              <w:rPr>
                <w:rFonts w:ascii="Times New Roman"/>
              </w:rPr>
            </w:pPr>
            <w:r>
              <w:rPr>
                <w:rFonts w:ascii="Times New Roman"/>
              </w:rPr>
              <w:t>用尺量测纵横两个方向的中心线位置，取其中较大值。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tcBorders>
              <w:bottom w:val="single" w:color="auto" w:sz="8" w:space="0"/>
            </w:tcBorders>
            <w:shd w:val="clear" w:color="auto" w:fill="auto"/>
            <w:vAlign w:val="center"/>
          </w:tcPr>
          <w:p>
            <w:pPr>
              <w:pStyle w:val="178"/>
              <w:rPr>
                <w:rFonts w:ascii="Times New Roman"/>
              </w:rPr>
            </w:pPr>
          </w:p>
        </w:tc>
        <w:tc>
          <w:tcPr>
            <w:tcW w:w="709" w:type="dxa"/>
            <w:vMerge w:val="continue"/>
            <w:tcBorders>
              <w:bottom w:val="single" w:color="auto" w:sz="8" w:space="0"/>
            </w:tcBorders>
            <w:shd w:val="clear" w:color="auto" w:fill="auto"/>
            <w:vAlign w:val="center"/>
          </w:tcPr>
          <w:p>
            <w:pPr>
              <w:pStyle w:val="178"/>
              <w:rPr>
                <w:rFonts w:ascii="Times New Roman"/>
              </w:rPr>
            </w:pPr>
          </w:p>
        </w:tc>
        <w:tc>
          <w:tcPr>
            <w:tcW w:w="2551" w:type="dxa"/>
            <w:gridSpan w:val="2"/>
            <w:tcBorders>
              <w:bottom w:val="single" w:color="auto" w:sz="8" w:space="0"/>
            </w:tcBorders>
            <w:shd w:val="clear" w:color="auto" w:fill="auto"/>
            <w:vAlign w:val="center"/>
          </w:tcPr>
          <w:p>
            <w:pPr>
              <w:pStyle w:val="178"/>
              <w:rPr>
                <w:rFonts w:ascii="Times New Roman"/>
              </w:rPr>
            </w:pPr>
            <w:r>
              <w:rPr>
                <w:rFonts w:ascii="Times New Roman"/>
              </w:rPr>
              <w:t>外露长度</w:t>
            </w:r>
          </w:p>
        </w:tc>
        <w:tc>
          <w:tcPr>
            <w:tcW w:w="1560" w:type="dxa"/>
            <w:tcBorders>
              <w:bottom w:val="single" w:color="auto" w:sz="8" w:space="0"/>
            </w:tcBorders>
            <w:shd w:val="clear" w:color="auto" w:fill="auto"/>
            <w:vAlign w:val="center"/>
          </w:tcPr>
          <w:p>
            <w:pPr>
              <w:pStyle w:val="178"/>
              <w:rPr>
                <w:rFonts w:ascii="Times New Roman"/>
              </w:rPr>
            </w:pPr>
            <w:r>
              <w:rPr>
                <w:rFonts w:ascii="Times New Roman"/>
              </w:rPr>
              <w:t>±5</w:t>
            </w:r>
          </w:p>
        </w:tc>
        <w:tc>
          <w:tcPr>
            <w:tcW w:w="3815" w:type="dxa"/>
            <w:tcBorders>
              <w:bottom w:val="single" w:color="auto" w:sz="8" w:space="0"/>
            </w:tcBorders>
            <w:shd w:val="clear" w:color="auto" w:fill="auto"/>
            <w:vAlign w:val="center"/>
          </w:tcPr>
          <w:p>
            <w:pPr>
              <w:pStyle w:val="178"/>
              <w:rPr>
                <w:rFonts w:ascii="Times New Roman"/>
              </w:rPr>
            </w:pPr>
            <w:r>
              <w:rPr>
                <w:rFonts w:ascii="Times New Roman"/>
              </w:rPr>
              <w:t>用尺量</w:t>
            </w:r>
          </w:p>
        </w:tc>
      </w:tr>
    </w:tbl>
    <w:p>
      <w:pPr>
        <w:pStyle w:val="56"/>
        <w:ind w:firstLine="360"/>
        <w:rPr>
          <w:sz w:val="18"/>
          <w:szCs w:val="18"/>
        </w:rPr>
      </w:pPr>
      <w:r>
        <w:rPr>
          <w:rFonts w:hint="eastAsia"/>
          <w:sz w:val="18"/>
          <w:szCs w:val="18"/>
        </w:rPr>
        <w:t xml:space="preserve">注：1 </w:t>
      </w:r>
      <w:r>
        <w:rPr>
          <w:rFonts w:ascii="Times New Roman"/>
          <w:i/>
          <w:sz w:val="18"/>
          <w:szCs w:val="18"/>
        </w:rPr>
        <w:t>L</w:t>
      </w:r>
      <w:r>
        <w:rPr>
          <w:rFonts w:hint="eastAsia"/>
          <w:sz w:val="18"/>
          <w:szCs w:val="18"/>
        </w:rPr>
        <w:t>为构件长度</w:t>
      </w:r>
      <w:r>
        <w:rPr>
          <w:rFonts w:ascii="Times New Roman"/>
          <w:sz w:val="18"/>
          <w:szCs w:val="18"/>
        </w:rPr>
        <w:t>(mm)</w:t>
      </w:r>
      <w:r>
        <w:rPr>
          <w:rFonts w:hint="eastAsia"/>
          <w:sz w:val="18"/>
          <w:szCs w:val="18"/>
        </w:rPr>
        <w:t>；</w:t>
      </w:r>
    </w:p>
    <w:p>
      <w:pPr>
        <w:pStyle w:val="56"/>
        <w:ind w:firstLine="720" w:firstLineChars="400"/>
        <w:rPr>
          <w:sz w:val="18"/>
          <w:szCs w:val="18"/>
        </w:rPr>
      </w:pPr>
      <w:r>
        <w:rPr>
          <w:rFonts w:hint="eastAsia"/>
          <w:sz w:val="18"/>
          <w:szCs w:val="18"/>
        </w:rPr>
        <w:t>2 检查中心线、螺栓和孔道位置偏差时，应沿纵、横两个方向量测，并取其中偏差较大值。</w:t>
      </w:r>
    </w:p>
    <w:p>
      <w:pPr>
        <w:pStyle w:val="65"/>
        <w:spacing w:before="156" w:after="156"/>
        <w:outlineLvl w:val="9"/>
        <w:rPr>
          <w:rFonts w:ascii="宋体" w:hAnsi="宋体" w:eastAsia="宋体"/>
        </w:rPr>
      </w:pPr>
      <w:r>
        <w:rPr>
          <w:rFonts w:hint="eastAsia" w:ascii="宋体" w:hAnsi="宋体" w:eastAsia="宋体"/>
        </w:rPr>
        <w:t>桁架预制板出厂前应进行质量检验，并形成质量证明文件。质量检验内容应包括外观质量、尺寸偏差和混凝土强度。混凝土强度应符合设计要求及国家现行有关标准的规定。</w:t>
      </w:r>
    </w:p>
    <w:p>
      <w:pPr>
        <w:pStyle w:val="65"/>
        <w:spacing w:before="156" w:after="156"/>
        <w:outlineLvl w:val="9"/>
        <w:rPr>
          <w:rFonts w:ascii="宋体" w:hAnsi="宋体" w:eastAsia="宋体"/>
        </w:rPr>
      </w:pPr>
      <w:r>
        <w:rPr>
          <w:rFonts w:hint="eastAsia" w:ascii="宋体" w:hAnsi="宋体" w:eastAsia="宋体"/>
        </w:rPr>
        <w:t xml:space="preserve">桁架预制板的质量证明文件应包括以下内容： </w:t>
      </w:r>
    </w:p>
    <w:p>
      <w:pPr>
        <w:pStyle w:val="174"/>
        <w:numPr>
          <w:ilvl w:val="0"/>
          <w:numId w:val="62"/>
        </w:numPr>
      </w:pPr>
      <w:r>
        <w:rPr>
          <w:rFonts w:hint="eastAsia"/>
        </w:rPr>
        <w:t>出厂合格证；</w:t>
      </w:r>
    </w:p>
    <w:p>
      <w:pPr>
        <w:pStyle w:val="174"/>
      </w:pPr>
      <w:r>
        <w:rPr>
          <w:rFonts w:hint="eastAsia"/>
        </w:rPr>
        <w:t xml:space="preserve">钢筋和钢筋桁架检验报告； </w:t>
      </w:r>
    </w:p>
    <w:p>
      <w:pPr>
        <w:pStyle w:val="174"/>
      </w:pPr>
      <w:r>
        <w:rPr>
          <w:rFonts w:hint="eastAsia"/>
        </w:rPr>
        <w:t>混凝土强度检验报告；</w:t>
      </w:r>
    </w:p>
    <w:p>
      <w:pPr>
        <w:pStyle w:val="174"/>
      </w:pPr>
      <w:r>
        <w:rPr>
          <w:rFonts w:hint="eastAsia"/>
        </w:rPr>
        <w:t>合同要求的其他质量证明文件。</w:t>
      </w:r>
    </w:p>
    <w:p>
      <w:pPr>
        <w:pStyle w:val="104"/>
        <w:spacing w:before="312" w:after="312"/>
      </w:pPr>
      <w:bookmarkStart w:id="106" w:name="_Toc69916891"/>
      <w:r>
        <w:rPr>
          <w:rFonts w:hint="eastAsia"/>
        </w:rPr>
        <w:t>施工与验收</w:t>
      </w:r>
      <w:bookmarkEnd w:id="106"/>
    </w:p>
    <w:p>
      <w:pPr>
        <w:pStyle w:val="105"/>
        <w:spacing w:before="156" w:after="156"/>
      </w:pPr>
      <w:bookmarkStart w:id="107" w:name="_Toc69916892"/>
      <w:r>
        <w:rPr>
          <w:rFonts w:hint="eastAsia"/>
        </w:rPr>
        <w:t>一般规定</w:t>
      </w:r>
      <w:bookmarkEnd w:id="107"/>
    </w:p>
    <w:p>
      <w:pPr>
        <w:pStyle w:val="65"/>
        <w:spacing w:before="156" w:after="156"/>
        <w:outlineLvl w:val="9"/>
        <w:rPr>
          <w:rFonts w:ascii="宋体" w:hAnsi="宋体" w:eastAsia="宋体"/>
        </w:rPr>
      </w:pPr>
      <w:r>
        <w:rPr>
          <w:rFonts w:hint="eastAsia" w:ascii="宋体" w:hAnsi="宋体" w:eastAsia="宋体"/>
        </w:rPr>
        <w:t>桁架预制板吊装施工前应编制专项施工方案，并对施工人员进行质量安全技术交底。专项施工方案中应有保障安全的措施。</w:t>
      </w:r>
    </w:p>
    <w:p>
      <w:pPr>
        <w:pStyle w:val="65"/>
        <w:spacing w:before="156" w:after="156"/>
        <w:outlineLvl w:val="9"/>
        <w:rPr>
          <w:rFonts w:ascii="宋体" w:hAnsi="宋体" w:eastAsia="宋体"/>
        </w:rPr>
      </w:pPr>
      <w:r>
        <w:rPr>
          <w:rFonts w:hint="eastAsia" w:ascii="宋体" w:hAnsi="宋体" w:eastAsia="宋体"/>
        </w:rPr>
        <w:t>施工现场应根据施工平面规划设置运输道路和堆放场地，并应符合下列规定：</w:t>
      </w:r>
    </w:p>
    <w:p>
      <w:pPr>
        <w:pStyle w:val="174"/>
        <w:numPr>
          <w:ilvl w:val="0"/>
          <w:numId w:val="63"/>
        </w:numPr>
      </w:pPr>
      <w:r>
        <w:rPr>
          <w:rFonts w:hint="eastAsia"/>
        </w:rPr>
        <w:t xml:space="preserve">现场运输道路和存放场地应平整、坚实，并应有排水措施； </w:t>
      </w:r>
    </w:p>
    <w:p>
      <w:pPr>
        <w:pStyle w:val="174"/>
      </w:pPr>
      <w:r>
        <w:rPr>
          <w:rFonts w:hint="eastAsia"/>
        </w:rPr>
        <w:t xml:space="preserve">现场运输道路应按照预制构件运输车辆的要求合理设置转弯半径及道路坡度； </w:t>
      </w:r>
    </w:p>
    <w:p>
      <w:pPr>
        <w:pStyle w:val="174"/>
      </w:pPr>
      <w:r>
        <w:rPr>
          <w:rFonts w:hint="eastAsia"/>
        </w:rPr>
        <w:t>运到施工现场的桁架预制板需要堆放时，应按规格、使用部位、吊装顺序分别堆放，并应符合本文件</w:t>
      </w:r>
      <w:r>
        <w:rPr>
          <w:rFonts w:ascii="Times New Roman"/>
        </w:rPr>
        <w:t>第7.4.2条的有</w:t>
      </w:r>
      <w:r>
        <w:rPr>
          <w:rFonts w:hint="eastAsia"/>
        </w:rPr>
        <w:t>关规定；</w:t>
      </w:r>
    </w:p>
    <w:p>
      <w:pPr>
        <w:pStyle w:val="174"/>
      </w:pPr>
      <w:r>
        <w:rPr>
          <w:rFonts w:hint="eastAsia"/>
        </w:rPr>
        <w:t>堆放场地应设置在吊装设备的有效起重范围内。</w:t>
      </w:r>
    </w:p>
    <w:p>
      <w:pPr>
        <w:pStyle w:val="65"/>
        <w:spacing w:before="156" w:after="156"/>
        <w:outlineLvl w:val="9"/>
        <w:rPr>
          <w:rFonts w:ascii="宋体" w:hAnsi="宋体" w:eastAsia="宋体"/>
        </w:rPr>
      </w:pPr>
      <w:r>
        <w:rPr>
          <w:rFonts w:hint="eastAsia" w:ascii="宋体" w:hAnsi="宋体" w:eastAsia="宋体"/>
        </w:rPr>
        <w:t>桁架预制板卸放、吊装工作范围内不得有障碍物。</w:t>
      </w:r>
    </w:p>
    <w:p>
      <w:pPr>
        <w:pStyle w:val="65"/>
        <w:spacing w:before="156" w:after="156"/>
        <w:outlineLvl w:val="9"/>
        <w:rPr>
          <w:rFonts w:ascii="宋体" w:hAnsi="宋体" w:eastAsia="宋体"/>
        </w:rPr>
      </w:pPr>
      <w:r>
        <w:rPr>
          <w:rFonts w:hint="eastAsia" w:ascii="宋体" w:hAnsi="宋体" w:eastAsia="宋体"/>
        </w:rPr>
        <w:t>施工过程中，不应在桁架预制板上集中堆放大量施工材料或使其承受较大的冲击荷载，施工材料自重及施工荷载不应超过设计允许值。</w:t>
      </w:r>
    </w:p>
    <w:p>
      <w:pPr>
        <w:pStyle w:val="65"/>
        <w:spacing w:before="156" w:after="156"/>
        <w:outlineLvl w:val="9"/>
        <w:rPr>
          <w:rFonts w:ascii="宋体" w:hAnsi="宋体" w:eastAsia="宋体"/>
        </w:rPr>
      </w:pPr>
      <w:r>
        <w:rPr>
          <w:rFonts w:hint="eastAsia" w:ascii="宋体" w:hAnsi="宋体" w:eastAsia="宋体"/>
        </w:rPr>
        <w:t>预埋水电管线在桁架叠合板后浇混凝土叠合层中交叉布置不应</w:t>
      </w:r>
      <w:r>
        <w:rPr>
          <w:rFonts w:ascii="Times New Roman" w:eastAsia="宋体"/>
        </w:rPr>
        <w:t>超过2</w:t>
      </w:r>
      <w:r>
        <w:rPr>
          <w:rFonts w:hint="eastAsia" w:ascii="宋体" w:hAnsi="宋体" w:eastAsia="宋体"/>
        </w:rPr>
        <w:t>层。</w:t>
      </w:r>
    </w:p>
    <w:p>
      <w:pPr>
        <w:pStyle w:val="105"/>
        <w:spacing w:before="156" w:after="156"/>
      </w:pPr>
      <w:bookmarkStart w:id="108" w:name="_Toc69916893"/>
      <w:r>
        <w:rPr>
          <w:rFonts w:hint="eastAsia"/>
        </w:rPr>
        <w:t>桁架预制板安装准备</w:t>
      </w:r>
      <w:bookmarkEnd w:id="108"/>
    </w:p>
    <w:p>
      <w:pPr>
        <w:pStyle w:val="65"/>
        <w:spacing w:before="156" w:after="156"/>
        <w:outlineLvl w:val="9"/>
        <w:rPr>
          <w:rFonts w:ascii="宋体" w:hAnsi="宋体" w:eastAsia="宋体"/>
        </w:rPr>
      </w:pPr>
      <w:r>
        <w:rPr>
          <w:rFonts w:hint="eastAsia" w:ascii="宋体" w:hAnsi="宋体" w:eastAsia="宋体"/>
        </w:rPr>
        <w:t>应核对桁架预制板的混凝土强度、规格符合设计要求，并按照施工方案中的吊装顺序对桁架预制板进行编号。</w:t>
      </w:r>
    </w:p>
    <w:p>
      <w:pPr>
        <w:pStyle w:val="65"/>
        <w:spacing w:before="156" w:after="156"/>
        <w:outlineLvl w:val="9"/>
        <w:rPr>
          <w:rFonts w:ascii="宋体" w:hAnsi="宋体" w:eastAsia="宋体"/>
        </w:rPr>
      </w:pPr>
      <w:r>
        <w:rPr>
          <w:rFonts w:hint="eastAsia" w:ascii="宋体" w:hAnsi="宋体" w:eastAsia="宋体"/>
        </w:rPr>
        <w:t>应进行测量放线，并应设置构件安装定位标识。楼层纵、横控制线和标高控制点应由底层的原始点向上引测，并应根据楼层纵、横控制线和标高控制点放出桁架预制板控制线。应根据桁架预制板编号对搁置位置进行编号。测量放线应符合现行国家标准《工程测量</w:t>
      </w:r>
      <w:r>
        <w:rPr>
          <w:rFonts w:ascii="Times New Roman" w:eastAsia="宋体"/>
        </w:rPr>
        <w:t>规范》GB 50026的</w:t>
      </w:r>
      <w:r>
        <w:rPr>
          <w:rFonts w:hint="eastAsia" w:ascii="宋体" w:hAnsi="宋体" w:eastAsia="宋体"/>
        </w:rPr>
        <w:t>有关规定。</w:t>
      </w:r>
    </w:p>
    <w:p>
      <w:pPr>
        <w:pStyle w:val="65"/>
        <w:spacing w:before="156" w:after="156"/>
        <w:outlineLvl w:val="9"/>
        <w:rPr>
          <w:rFonts w:ascii="宋体" w:hAnsi="宋体" w:eastAsia="宋体"/>
        </w:rPr>
      </w:pPr>
      <w:r>
        <w:rPr>
          <w:rFonts w:hint="eastAsia" w:ascii="宋体" w:hAnsi="宋体" w:eastAsia="宋体"/>
        </w:rPr>
        <w:t>应按现行行业标准《建筑机械使用安全技术</w:t>
      </w:r>
      <w:r>
        <w:rPr>
          <w:rFonts w:ascii="Times New Roman" w:eastAsia="宋体"/>
        </w:rPr>
        <w:t>文件》JGJ 33的</w:t>
      </w:r>
      <w:r>
        <w:rPr>
          <w:rFonts w:hint="eastAsia" w:ascii="宋体" w:hAnsi="宋体" w:eastAsia="宋体"/>
        </w:rPr>
        <w:t xml:space="preserve">有关规定，检查复核吊装设备及吊具处于安全操作状态，并应核实现场环境、天气、道路状况等满足吊装施工要求。 </w:t>
      </w:r>
    </w:p>
    <w:p>
      <w:pPr>
        <w:pStyle w:val="65"/>
        <w:spacing w:before="156" w:after="156"/>
        <w:outlineLvl w:val="9"/>
        <w:rPr>
          <w:rFonts w:ascii="宋体" w:hAnsi="宋体" w:eastAsia="宋体"/>
        </w:rPr>
      </w:pPr>
      <w:r>
        <w:rPr>
          <w:rFonts w:hint="eastAsia" w:ascii="宋体" w:hAnsi="宋体" w:eastAsia="宋体"/>
        </w:rPr>
        <w:t>吊装作业区应实施隔离封闭管理，并应设置警戒线和警戒标识；对无法隔离封闭的，应采取专项防护措施。</w:t>
      </w:r>
    </w:p>
    <w:p>
      <w:pPr>
        <w:pStyle w:val="105"/>
        <w:spacing w:before="156" w:after="156"/>
      </w:pPr>
      <w:bookmarkStart w:id="109" w:name="_Toc69916894"/>
      <w:r>
        <w:rPr>
          <w:rFonts w:hint="eastAsia"/>
        </w:rPr>
        <w:t>桁架预制板安装与连接</w:t>
      </w:r>
      <w:bookmarkEnd w:id="109"/>
    </w:p>
    <w:p>
      <w:pPr>
        <w:pStyle w:val="65"/>
        <w:spacing w:before="156" w:after="156"/>
        <w:outlineLvl w:val="9"/>
        <w:rPr>
          <w:rFonts w:ascii="宋体" w:hAnsi="宋体" w:eastAsia="宋体"/>
        </w:rPr>
      </w:pPr>
      <w:r>
        <w:rPr>
          <w:rFonts w:hint="eastAsia" w:ascii="宋体" w:hAnsi="宋体" w:eastAsia="宋体"/>
        </w:rPr>
        <w:t>每班作业时宜试吊一次，应确认起重设备与通信设施工作正常、吊具连接可靠。</w:t>
      </w:r>
    </w:p>
    <w:p>
      <w:pPr>
        <w:pStyle w:val="65"/>
        <w:spacing w:before="156" w:after="156"/>
        <w:outlineLvl w:val="9"/>
        <w:rPr>
          <w:rFonts w:ascii="宋体" w:hAnsi="宋体" w:eastAsia="宋体"/>
        </w:rPr>
      </w:pPr>
      <w:r>
        <w:rPr>
          <w:rFonts w:hint="eastAsia" w:ascii="宋体" w:hAnsi="宋体" w:eastAsia="宋体"/>
        </w:rPr>
        <w:t>每次起吊脱离运输车辆或堆放点时，应适当停顿，确认起吊系统安全可靠后方可继续提升。</w:t>
      </w:r>
    </w:p>
    <w:p>
      <w:pPr>
        <w:pStyle w:val="65"/>
        <w:spacing w:before="156" w:after="156"/>
        <w:outlineLvl w:val="9"/>
        <w:rPr>
          <w:rFonts w:ascii="宋体" w:hAnsi="宋体" w:eastAsia="宋体"/>
        </w:rPr>
      </w:pPr>
      <w:r>
        <w:rPr>
          <w:rFonts w:hint="eastAsia" w:ascii="宋体" w:hAnsi="宋体" w:eastAsia="宋体"/>
        </w:rPr>
        <w:t>桁架预制板起吊、移动、就位的全过程中，信号指挥员、司索工、起重机械司机应保持通讯畅通并协调一致。信号不明时不得吊运和安装。</w:t>
      </w:r>
    </w:p>
    <w:p>
      <w:pPr>
        <w:pStyle w:val="65"/>
        <w:spacing w:before="156" w:after="156"/>
        <w:outlineLvl w:val="9"/>
        <w:rPr>
          <w:rFonts w:ascii="宋体" w:hAnsi="宋体" w:eastAsia="宋体"/>
        </w:rPr>
      </w:pPr>
      <w:r>
        <w:rPr>
          <w:rFonts w:hint="eastAsia" w:ascii="宋体" w:hAnsi="宋体" w:eastAsia="宋体"/>
        </w:rPr>
        <w:t>桁架预制板吊装除应符合本文件</w:t>
      </w:r>
      <w:r>
        <w:rPr>
          <w:rFonts w:ascii="Times New Roman" w:eastAsia="宋体"/>
        </w:rPr>
        <w:t>第7.3.3.1条</w:t>
      </w:r>
      <w:r>
        <w:rPr>
          <w:rFonts w:hint="eastAsia" w:ascii="宋体" w:hAnsi="宋体" w:eastAsia="宋体"/>
        </w:rPr>
        <w:t>的规定外，还应符合下列规定：</w:t>
      </w:r>
    </w:p>
    <w:p>
      <w:pPr>
        <w:pStyle w:val="174"/>
        <w:numPr>
          <w:ilvl w:val="0"/>
          <w:numId w:val="64"/>
        </w:numPr>
      </w:pPr>
      <w:r>
        <w:rPr>
          <w:rFonts w:hint="eastAsia"/>
        </w:rPr>
        <w:t>应根据当天的作业内容进行班前安全技术交底；</w:t>
      </w:r>
    </w:p>
    <w:p>
      <w:pPr>
        <w:pStyle w:val="174"/>
      </w:pPr>
      <w:r>
        <w:rPr>
          <w:rFonts w:hint="eastAsia"/>
        </w:rPr>
        <w:t>应按桁架预制板编号顺序进行吊运；</w:t>
      </w:r>
    </w:p>
    <w:p>
      <w:pPr>
        <w:pStyle w:val="174"/>
      </w:pPr>
      <w:r>
        <w:rPr>
          <w:rFonts w:hint="eastAsia"/>
        </w:rPr>
        <w:t>应垂直吊运，严禁斜拉、斜吊；</w:t>
      </w:r>
    </w:p>
    <w:p>
      <w:pPr>
        <w:pStyle w:val="174"/>
      </w:pPr>
      <w:r>
        <w:rPr>
          <w:rFonts w:hint="eastAsia"/>
        </w:rPr>
        <w:t>在吊装过程中，宜设置缆风绳控制桁架预制板转动。</w:t>
      </w:r>
    </w:p>
    <w:p>
      <w:pPr>
        <w:pStyle w:val="65"/>
        <w:spacing w:before="156" w:after="156"/>
        <w:outlineLvl w:val="9"/>
        <w:rPr>
          <w:rFonts w:ascii="宋体" w:hAnsi="宋体" w:eastAsia="宋体"/>
        </w:rPr>
      </w:pPr>
      <w:r>
        <w:rPr>
          <w:rFonts w:hint="eastAsia" w:ascii="宋体" w:hAnsi="宋体" w:eastAsia="宋体"/>
        </w:rPr>
        <w:t>桁架预制板吊装就位后，应及时对安装位置、安装标高、相邻构件平整度、高低差、接缝宽度进行校核和调整，并采取临时固定措施；当不满足设计要求时，应将桁架预制板重新起吊，并通过可调节托座进行调节。</w:t>
      </w:r>
    </w:p>
    <w:p>
      <w:pPr>
        <w:pStyle w:val="65"/>
        <w:spacing w:before="156" w:after="156"/>
        <w:outlineLvl w:val="9"/>
        <w:rPr>
          <w:rFonts w:ascii="宋体" w:hAnsi="宋体" w:eastAsia="宋体"/>
        </w:rPr>
      </w:pPr>
      <w:r>
        <w:rPr>
          <w:rFonts w:hint="eastAsia" w:ascii="宋体" w:hAnsi="宋体" w:eastAsia="宋体"/>
        </w:rPr>
        <w:t>应在桁架预制板定位校准和临时固定调整完成后，方可摘除吊具。</w:t>
      </w:r>
    </w:p>
    <w:p>
      <w:pPr>
        <w:pStyle w:val="65"/>
        <w:spacing w:before="156" w:after="156"/>
        <w:outlineLvl w:val="9"/>
        <w:rPr>
          <w:rFonts w:ascii="宋体" w:hAnsi="宋体" w:eastAsia="宋体"/>
        </w:rPr>
      </w:pPr>
      <w:r>
        <w:rPr>
          <w:rFonts w:hint="eastAsia" w:ascii="宋体" w:hAnsi="宋体" w:eastAsia="宋体"/>
        </w:rPr>
        <w:t>桁架预制板安装的临时支撑架体除应符合本文件</w:t>
      </w:r>
      <w:r>
        <w:rPr>
          <w:rFonts w:ascii="Times New Roman" w:eastAsia="宋体"/>
        </w:rPr>
        <w:t>第6.2.11</w:t>
      </w:r>
      <w:r>
        <w:rPr>
          <w:rFonts w:hint="eastAsia" w:ascii="宋体" w:hAnsi="宋体" w:eastAsia="宋体"/>
        </w:rPr>
        <w:t>条的有关规定外，尚应符合下列规定：</w:t>
      </w:r>
    </w:p>
    <w:p>
      <w:pPr>
        <w:pStyle w:val="174"/>
        <w:numPr>
          <w:ilvl w:val="0"/>
          <w:numId w:val="65"/>
        </w:numPr>
        <w:rPr>
          <w:rFonts w:ascii="Times New Roman"/>
        </w:rPr>
      </w:pPr>
      <w:r>
        <w:rPr>
          <w:rFonts w:hint="eastAsia"/>
        </w:rPr>
        <w:t>宜选用定型独立钢支柱或其</w:t>
      </w:r>
      <w:r>
        <w:rPr>
          <w:rFonts w:ascii="Times New Roman"/>
        </w:rPr>
        <w:t>他工具式支架</w:t>
      </w:r>
      <w:r>
        <w:rPr>
          <w:rFonts w:hint="eastAsia" w:ascii="Times New Roman"/>
        </w:rPr>
        <w:t>；</w:t>
      </w:r>
    </w:p>
    <w:p>
      <w:pPr>
        <w:pStyle w:val="174"/>
        <w:rPr>
          <w:rFonts w:ascii="Times New Roman"/>
        </w:rPr>
      </w:pPr>
      <w:r>
        <w:rPr>
          <w:rFonts w:ascii="Times New Roman"/>
        </w:rPr>
        <w:t>首层支撑架体的地基应平整坚实，宜采取硬化措施</w:t>
      </w:r>
      <w:r>
        <w:rPr>
          <w:rFonts w:hint="eastAsia" w:ascii="Times New Roman"/>
        </w:rPr>
        <w:t>；</w:t>
      </w:r>
    </w:p>
    <w:p>
      <w:pPr>
        <w:pStyle w:val="174"/>
        <w:rPr>
          <w:rFonts w:ascii="Times New Roman"/>
        </w:rPr>
      </w:pPr>
      <w:r>
        <w:rPr>
          <w:rFonts w:ascii="Times New Roman"/>
        </w:rPr>
        <w:t>支撑架体立杆下宜设置垫块；竖向连续支撑层数不宜少于 2 层，且上下层支撑宜对准</w:t>
      </w:r>
      <w:r>
        <w:rPr>
          <w:rFonts w:hint="eastAsia" w:ascii="Times New Roman"/>
        </w:rPr>
        <w:t>；</w:t>
      </w:r>
      <w:r>
        <w:rPr>
          <w:rFonts w:ascii="Times New Roman"/>
        </w:rPr>
        <w:t xml:space="preserve"> </w:t>
      </w:r>
    </w:p>
    <w:p>
      <w:pPr>
        <w:pStyle w:val="174"/>
        <w:rPr>
          <w:rFonts w:ascii="Times New Roman"/>
        </w:rPr>
      </w:pPr>
      <w:r>
        <w:rPr>
          <w:rFonts w:ascii="Times New Roman"/>
        </w:rPr>
        <w:t>支撑架体的高宽比不宜大于3；当高宽比大于3时，应采取加强整体稳固性的措施；支撑架体的轴向压缩变形或侧向挠度，不应大于计算高度或计算跨度的1/1000</w:t>
      </w:r>
      <w:r>
        <w:rPr>
          <w:rFonts w:hint="eastAsia" w:ascii="Times New Roman"/>
        </w:rPr>
        <w:t>；</w:t>
      </w:r>
      <w:r>
        <w:rPr>
          <w:rFonts w:ascii="Times New Roman"/>
        </w:rPr>
        <w:t xml:space="preserve"> </w:t>
      </w:r>
    </w:p>
    <w:p>
      <w:pPr>
        <w:pStyle w:val="174"/>
        <w:rPr>
          <w:rFonts w:ascii="Times New Roman"/>
        </w:rPr>
      </w:pPr>
      <w:r>
        <w:rPr>
          <w:rFonts w:ascii="Times New Roman"/>
        </w:rPr>
        <w:t>桁架预制板边缘应增设竖向支撑杆件；对泵管、布料机部位的桁架预制板底部应进行支撑加固</w:t>
      </w:r>
      <w:r>
        <w:rPr>
          <w:rFonts w:hint="eastAsia" w:ascii="Times New Roman"/>
        </w:rPr>
        <w:t>；</w:t>
      </w:r>
    </w:p>
    <w:p>
      <w:pPr>
        <w:pStyle w:val="174"/>
        <w:rPr>
          <w:rFonts w:ascii="Times New Roman"/>
        </w:rPr>
      </w:pPr>
      <w:r>
        <w:rPr>
          <w:rFonts w:ascii="Times New Roman"/>
        </w:rPr>
        <w:t>支撑架体顶部的支托梁宜垂直于钢筋桁架方向；接缝处桁架预制板临时支撑架体顶部的支托梁宜垂直于接缝且在接缝处连续</w:t>
      </w:r>
      <w:r>
        <w:rPr>
          <w:rFonts w:hint="eastAsia" w:ascii="Times New Roman"/>
        </w:rPr>
        <w:t>；</w:t>
      </w:r>
      <w:r>
        <w:rPr>
          <w:rFonts w:ascii="Times New Roman"/>
        </w:rPr>
        <w:t xml:space="preserve"> </w:t>
      </w:r>
    </w:p>
    <w:p>
      <w:pPr>
        <w:pStyle w:val="174"/>
      </w:pPr>
      <w:r>
        <w:rPr>
          <w:rFonts w:hint="eastAsia"/>
        </w:rPr>
        <w:t>支撑架体搭设完成后应对其标高进行校核；</w:t>
      </w:r>
    </w:p>
    <w:p>
      <w:pPr>
        <w:pStyle w:val="174"/>
      </w:pPr>
      <w:r>
        <w:rPr>
          <w:rFonts w:hint="eastAsia"/>
        </w:rPr>
        <w:t>支撑架体不得与外防护架相连接。</w:t>
      </w:r>
    </w:p>
    <w:p>
      <w:pPr>
        <w:pStyle w:val="65"/>
        <w:spacing w:before="156" w:after="156"/>
        <w:outlineLvl w:val="9"/>
        <w:rPr>
          <w:rFonts w:ascii="宋体" w:hAnsi="宋体" w:eastAsia="宋体"/>
        </w:rPr>
      </w:pPr>
      <w:r>
        <w:rPr>
          <w:rFonts w:hint="eastAsia" w:ascii="宋体" w:hAnsi="宋体" w:eastAsia="宋体"/>
        </w:rPr>
        <w:t>采用后浇带式整体接缝时，宜采用工具式支架和定型模板。模板与桁架预制板板侧处应采取粘贴密封条等防止漏浆的措施。</w:t>
      </w:r>
    </w:p>
    <w:p>
      <w:pPr>
        <w:pStyle w:val="105"/>
        <w:spacing w:before="156" w:after="156"/>
      </w:pPr>
      <w:bookmarkStart w:id="110" w:name="_Toc69916895"/>
      <w:r>
        <w:rPr>
          <w:rFonts w:hint="eastAsia"/>
        </w:rPr>
        <w:t>混凝土浇筑</w:t>
      </w:r>
      <w:bookmarkEnd w:id="110"/>
    </w:p>
    <w:p>
      <w:pPr>
        <w:pStyle w:val="65"/>
        <w:spacing w:before="156" w:after="156"/>
        <w:outlineLvl w:val="9"/>
        <w:rPr>
          <w:rFonts w:ascii="宋体" w:hAnsi="宋体" w:eastAsia="宋体"/>
        </w:rPr>
      </w:pPr>
      <w:r>
        <w:rPr>
          <w:rFonts w:hint="eastAsia" w:ascii="宋体" w:hAnsi="宋体" w:eastAsia="宋体"/>
        </w:rPr>
        <w:t xml:space="preserve">桁架预制板板面钢筋、附加钢筋的品种、规格和数量应符合设计要求。 </w:t>
      </w:r>
    </w:p>
    <w:p>
      <w:pPr>
        <w:pStyle w:val="65"/>
        <w:spacing w:before="156" w:after="156"/>
        <w:outlineLvl w:val="9"/>
        <w:rPr>
          <w:rFonts w:ascii="Times New Roman" w:eastAsia="宋体"/>
        </w:rPr>
      </w:pPr>
      <w:r>
        <w:rPr>
          <w:rFonts w:hint="eastAsia" w:ascii="宋体" w:hAnsi="宋体" w:eastAsia="宋体"/>
        </w:rPr>
        <w:t>混凝土配合比设计应符合国家现行标准《普通混凝土配</w:t>
      </w:r>
      <w:r>
        <w:rPr>
          <w:rFonts w:ascii="Times New Roman" w:eastAsia="宋体"/>
        </w:rPr>
        <w:t>合比设计文件》JGJ 55 和《混凝土结构工程施工规范》GB 50666的有关规定。</w:t>
      </w:r>
    </w:p>
    <w:p>
      <w:pPr>
        <w:pStyle w:val="65"/>
        <w:spacing w:before="156" w:after="156"/>
        <w:outlineLvl w:val="9"/>
        <w:rPr>
          <w:rFonts w:ascii="宋体" w:hAnsi="宋体" w:eastAsia="宋体"/>
        </w:rPr>
      </w:pPr>
      <w:r>
        <w:rPr>
          <w:rFonts w:hint="eastAsia" w:ascii="宋体" w:hAnsi="宋体" w:eastAsia="宋体"/>
        </w:rPr>
        <w:t xml:space="preserve">混凝土拌合物应符合下列规定： </w:t>
      </w:r>
    </w:p>
    <w:p>
      <w:pPr>
        <w:pStyle w:val="174"/>
        <w:numPr>
          <w:ilvl w:val="0"/>
          <w:numId w:val="66"/>
        </w:numPr>
      </w:pPr>
      <w:r>
        <w:rPr>
          <w:rFonts w:hint="eastAsia"/>
        </w:rPr>
        <w:t xml:space="preserve">卸料前逐车目测混凝土拌合物，无离析或分层现象； </w:t>
      </w:r>
    </w:p>
    <w:p>
      <w:pPr>
        <w:pStyle w:val="174"/>
      </w:pPr>
      <w:r>
        <w:rPr>
          <w:rFonts w:hint="eastAsia"/>
        </w:rPr>
        <w:t>进行混凝土和易性检查，结果应符合混凝土配合比设计要求。</w:t>
      </w:r>
    </w:p>
    <w:p>
      <w:pPr>
        <w:pStyle w:val="65"/>
        <w:spacing w:before="156" w:after="156"/>
        <w:outlineLvl w:val="9"/>
        <w:rPr>
          <w:rFonts w:ascii="宋体" w:hAnsi="宋体" w:eastAsia="宋体"/>
        </w:rPr>
      </w:pPr>
      <w:r>
        <w:rPr>
          <w:rFonts w:hint="eastAsia" w:ascii="宋体" w:hAnsi="宋体" w:eastAsia="宋体"/>
        </w:rPr>
        <w:t>桁架叠合板的混凝土浇筑应符合下列规定：</w:t>
      </w:r>
    </w:p>
    <w:p>
      <w:pPr>
        <w:pStyle w:val="174"/>
        <w:numPr>
          <w:ilvl w:val="0"/>
          <w:numId w:val="67"/>
        </w:numPr>
        <w:rPr>
          <w:rFonts w:ascii="Times New Roman"/>
        </w:rPr>
      </w:pPr>
      <w:r>
        <w:rPr>
          <w:rFonts w:hint="eastAsia"/>
        </w:rPr>
        <w:t>桁架预制板结合</w:t>
      </w:r>
      <w:r>
        <w:rPr>
          <w:rFonts w:ascii="Times New Roman"/>
        </w:rPr>
        <w:t xml:space="preserve">面疏松部分的混凝土应剔除并清理干净； </w:t>
      </w:r>
    </w:p>
    <w:p>
      <w:pPr>
        <w:pStyle w:val="174"/>
        <w:rPr>
          <w:rFonts w:ascii="Times New Roman"/>
        </w:rPr>
      </w:pPr>
      <w:r>
        <w:rPr>
          <w:rFonts w:ascii="Times New Roman"/>
        </w:rPr>
        <w:t xml:space="preserve">应在混凝土浇筑前24h对结合面及节点充分浇水湿润，浇筑前1h吸干积水； </w:t>
      </w:r>
    </w:p>
    <w:p>
      <w:pPr>
        <w:pStyle w:val="174"/>
        <w:rPr>
          <w:rFonts w:ascii="Times New Roman"/>
        </w:rPr>
      </w:pPr>
      <w:r>
        <w:rPr>
          <w:rFonts w:ascii="Times New Roman"/>
        </w:rPr>
        <w:t xml:space="preserve">浇筑时应采用振动器振捣，并应采取保证混凝土浇筑密实的措施； </w:t>
      </w:r>
    </w:p>
    <w:p>
      <w:pPr>
        <w:pStyle w:val="174"/>
      </w:pPr>
      <w:r>
        <w:rPr>
          <w:rFonts w:ascii="Times New Roman"/>
        </w:rPr>
        <w:t>混凝土浇筑应布料均衡；浇筑和振捣</w:t>
      </w:r>
      <w:r>
        <w:rPr>
          <w:rFonts w:hint="eastAsia"/>
        </w:rPr>
        <w:t xml:space="preserve">时，应有专人对模板及支架进行观察和维护，发生异常情况应及时处理； </w:t>
      </w:r>
    </w:p>
    <w:p>
      <w:pPr>
        <w:pStyle w:val="174"/>
      </w:pPr>
      <w:r>
        <w:rPr>
          <w:rFonts w:hint="eastAsia"/>
        </w:rPr>
        <w:t xml:space="preserve">桁架预制板接缝处混凝土浇筑和振捣，应采取措施防止模板、桁架预制板、钢筋、预埋件及其定位件移位； </w:t>
      </w:r>
    </w:p>
    <w:p>
      <w:pPr>
        <w:pStyle w:val="174"/>
      </w:pPr>
      <w:r>
        <w:rPr>
          <w:rFonts w:hint="eastAsia"/>
        </w:rPr>
        <w:t>后浇混凝土浇筑完成后，应及时对其表面标高进行校核。</w:t>
      </w:r>
    </w:p>
    <w:p>
      <w:pPr>
        <w:pStyle w:val="65"/>
        <w:spacing w:before="156" w:after="156"/>
        <w:outlineLvl w:val="9"/>
        <w:rPr>
          <w:rFonts w:ascii="宋体" w:hAnsi="宋体" w:eastAsia="宋体"/>
        </w:rPr>
      </w:pPr>
      <w:r>
        <w:rPr>
          <w:rFonts w:hint="eastAsia" w:ascii="宋体" w:hAnsi="宋体" w:eastAsia="宋体"/>
        </w:rPr>
        <w:t xml:space="preserve">采用泵送混凝土浇筑时，应采取措施防止泵送设备超重或冲击力过大影响桁架预制板及支撑架体的安全。 </w:t>
      </w:r>
    </w:p>
    <w:p>
      <w:pPr>
        <w:pStyle w:val="65"/>
        <w:spacing w:before="156" w:after="156"/>
        <w:outlineLvl w:val="9"/>
        <w:rPr>
          <w:rFonts w:ascii="宋体" w:hAnsi="宋体" w:eastAsia="宋体"/>
        </w:rPr>
      </w:pPr>
      <w:r>
        <w:rPr>
          <w:rFonts w:hint="eastAsia" w:ascii="宋体" w:hAnsi="宋体" w:eastAsia="宋体"/>
        </w:rPr>
        <w:t>桁架叠合板混凝土浇筑后</w:t>
      </w:r>
      <w:r>
        <w:rPr>
          <w:rFonts w:ascii="Times New Roman" w:eastAsia="宋体"/>
        </w:rPr>
        <w:t>12h内应进行洒水养护或覆盖养护。当日平均气温低于5℃时，不应采用洒水养护，宜采用薄膜覆盖养护，养护时间不少于7d。</w:t>
      </w:r>
      <w:r>
        <w:rPr>
          <w:rFonts w:hint="eastAsia" w:ascii="宋体" w:hAnsi="宋体" w:eastAsia="宋体"/>
        </w:rPr>
        <w:t xml:space="preserve"> </w:t>
      </w:r>
    </w:p>
    <w:p>
      <w:pPr>
        <w:pStyle w:val="65"/>
        <w:spacing w:before="156" w:after="156"/>
        <w:outlineLvl w:val="9"/>
        <w:rPr>
          <w:rFonts w:ascii="宋体" w:hAnsi="宋体" w:eastAsia="宋体"/>
        </w:rPr>
      </w:pPr>
      <w:r>
        <w:rPr>
          <w:rFonts w:hint="eastAsia" w:ascii="宋体" w:hAnsi="宋体" w:eastAsia="宋体"/>
        </w:rPr>
        <w:t>桁架叠合板临</w:t>
      </w:r>
      <w:r>
        <w:rPr>
          <w:rFonts w:ascii="Times New Roman" w:eastAsia="宋体"/>
        </w:rPr>
        <w:t xml:space="preserve">时支撑架体拆除时的叠合层混凝土强度，应符合设计要求和现行国家标准《混凝土结构工程施工规范》GB 50666 </w:t>
      </w:r>
      <w:r>
        <w:rPr>
          <w:rFonts w:hint="eastAsia" w:ascii="宋体" w:hAnsi="宋体" w:eastAsia="宋体"/>
        </w:rPr>
        <w:t>的有关规定。</w:t>
      </w:r>
    </w:p>
    <w:p>
      <w:pPr>
        <w:pStyle w:val="65"/>
        <w:spacing w:before="156" w:after="156"/>
        <w:outlineLvl w:val="9"/>
        <w:rPr>
          <w:rFonts w:ascii="宋体" w:hAnsi="宋体" w:eastAsia="宋体"/>
        </w:rPr>
      </w:pPr>
      <w:r>
        <w:rPr>
          <w:rFonts w:hint="eastAsia" w:ascii="宋体" w:hAnsi="宋体" w:eastAsia="宋体"/>
        </w:rPr>
        <w:t>密拼式接缝嵌填施工应符合设计要求；当设计无具体要求时，应符合下列规定：</w:t>
      </w:r>
    </w:p>
    <w:p>
      <w:pPr>
        <w:pStyle w:val="56"/>
        <w:ind w:firstLine="420"/>
        <w:rPr>
          <w:rFonts w:ascii="Times New Roman"/>
        </w:rPr>
      </w:pPr>
      <w:r>
        <w:rPr>
          <w:rFonts w:ascii="Times New Roman"/>
        </w:rPr>
        <w:t xml:space="preserve">a）应在叠合层混凝土完成浇筑、拆除临时支撑架体后进行； </w:t>
      </w:r>
    </w:p>
    <w:p>
      <w:pPr>
        <w:pStyle w:val="56"/>
        <w:ind w:firstLine="420"/>
        <w:rPr>
          <w:rFonts w:ascii="Times New Roman"/>
        </w:rPr>
      </w:pPr>
      <w:r>
        <w:rPr>
          <w:rFonts w:ascii="Times New Roman"/>
        </w:rPr>
        <w:t>b）接缝嵌填施工前，应清理接缝间的浮浆和杂物；</w:t>
      </w:r>
    </w:p>
    <w:p>
      <w:pPr>
        <w:pStyle w:val="56"/>
        <w:ind w:firstLine="420"/>
        <w:rPr>
          <w:rFonts w:ascii="Times New Roman"/>
        </w:rPr>
      </w:pPr>
      <w:r>
        <w:rPr>
          <w:rFonts w:ascii="Times New Roman"/>
        </w:rPr>
        <w:t>c）接缝采用聚合物改性水泥砂浆嵌填时，宜按第一道嵌实、第二道抹平的工序进行施工。</w:t>
      </w:r>
    </w:p>
    <w:p>
      <w:pPr>
        <w:pStyle w:val="105"/>
        <w:spacing w:before="156" w:after="156"/>
      </w:pPr>
      <w:bookmarkStart w:id="111" w:name="_Toc69916896"/>
      <w:r>
        <w:rPr>
          <w:rFonts w:hint="eastAsia"/>
        </w:rPr>
        <w:t>质量验收</w:t>
      </w:r>
      <w:bookmarkEnd w:id="111"/>
    </w:p>
    <w:p>
      <w:pPr>
        <w:pStyle w:val="65"/>
        <w:spacing w:before="156" w:after="156"/>
        <w:outlineLvl w:val="9"/>
        <w:rPr>
          <w:rFonts w:ascii="宋体" w:hAnsi="宋体" w:eastAsia="宋体"/>
        </w:rPr>
      </w:pPr>
      <w:r>
        <w:rPr>
          <w:rFonts w:hint="eastAsia" w:ascii="宋体" w:hAnsi="宋体" w:eastAsia="宋体"/>
        </w:rPr>
        <w:t>一般规定</w:t>
      </w:r>
    </w:p>
    <w:p>
      <w:pPr>
        <w:pStyle w:val="94"/>
        <w:spacing w:before="156" w:after="156"/>
        <w:ind w:left="0"/>
        <w:outlineLvl w:val="9"/>
        <w:rPr>
          <w:rFonts w:ascii="宋体" w:hAnsi="宋体" w:eastAsia="宋体"/>
        </w:rPr>
      </w:pPr>
      <w:r>
        <w:rPr>
          <w:rFonts w:hint="eastAsia" w:ascii="宋体" w:hAnsi="宋体" w:eastAsia="宋体"/>
        </w:rPr>
        <w:t>钢筋桁架混凝土叠合板施工的分项工程、检验批划分和质量验收应符合现行国家标准《混凝土结构工程施工质量验收规范》</w:t>
      </w:r>
      <w:r>
        <w:rPr>
          <w:rFonts w:ascii="Times New Roman" w:eastAsia="宋体"/>
        </w:rPr>
        <w:t>GB 50204</w:t>
      </w:r>
      <w:r>
        <w:rPr>
          <w:rFonts w:hint="eastAsia" w:ascii="宋体" w:hAnsi="宋体" w:eastAsia="宋体"/>
        </w:rPr>
        <w:t xml:space="preserve">的规定。 </w:t>
      </w:r>
    </w:p>
    <w:p>
      <w:pPr>
        <w:pStyle w:val="94"/>
        <w:spacing w:before="156" w:after="156"/>
        <w:ind w:left="0"/>
        <w:outlineLvl w:val="9"/>
        <w:rPr>
          <w:rFonts w:ascii="宋体" w:hAnsi="宋体" w:eastAsia="宋体"/>
        </w:rPr>
      </w:pPr>
      <w:r>
        <w:rPr>
          <w:rFonts w:hint="eastAsia" w:ascii="宋体" w:hAnsi="宋体" w:eastAsia="宋体"/>
        </w:rPr>
        <w:t>对钢筋桁架混凝土叠合板用的桁架预制板、原材料、配件，应按检验批进行进场验收。</w:t>
      </w:r>
    </w:p>
    <w:p>
      <w:pPr>
        <w:pStyle w:val="94"/>
        <w:spacing w:before="156" w:after="156"/>
        <w:ind w:left="0"/>
        <w:outlineLvl w:val="9"/>
        <w:rPr>
          <w:rFonts w:ascii="宋体" w:hAnsi="宋体" w:eastAsia="宋体"/>
        </w:rPr>
      </w:pPr>
      <w:r>
        <w:rPr>
          <w:rFonts w:hint="eastAsia" w:ascii="宋体" w:hAnsi="宋体" w:eastAsia="宋体"/>
        </w:rPr>
        <w:t>桁架叠合板混凝土浇筑前，应进行隐蔽工程验收，验收应包含下列内容：</w:t>
      </w:r>
    </w:p>
    <w:p>
      <w:pPr>
        <w:pStyle w:val="174"/>
        <w:numPr>
          <w:ilvl w:val="0"/>
          <w:numId w:val="68"/>
        </w:numPr>
      </w:pPr>
      <w:r>
        <w:rPr>
          <w:rFonts w:hint="eastAsia"/>
        </w:rPr>
        <w:t>桁架预制板粗糙面的质量；</w:t>
      </w:r>
    </w:p>
    <w:p>
      <w:pPr>
        <w:pStyle w:val="174"/>
      </w:pPr>
      <w:r>
        <w:rPr>
          <w:rFonts w:hint="eastAsia"/>
        </w:rPr>
        <w:t>板面钢筋、附加钢筋的牌号、规格、数量、位置、间距；</w:t>
      </w:r>
    </w:p>
    <w:p>
      <w:pPr>
        <w:pStyle w:val="174"/>
      </w:pPr>
      <w:r>
        <w:rPr>
          <w:rFonts w:hint="eastAsia"/>
        </w:rPr>
        <w:t>预埋件、预埋管线的规格、数量、位置；</w:t>
      </w:r>
    </w:p>
    <w:p>
      <w:pPr>
        <w:pStyle w:val="174"/>
      </w:pPr>
      <w:r>
        <w:rPr>
          <w:rFonts w:hint="eastAsia"/>
        </w:rPr>
        <w:t>桁架预制板接缝处的构造做法；</w:t>
      </w:r>
    </w:p>
    <w:p>
      <w:pPr>
        <w:pStyle w:val="174"/>
      </w:pPr>
      <w:r>
        <w:rPr>
          <w:rFonts w:hint="eastAsia"/>
        </w:rPr>
        <w:t>其他隐蔽项目。</w:t>
      </w:r>
    </w:p>
    <w:p>
      <w:pPr>
        <w:pStyle w:val="94"/>
        <w:spacing w:before="156" w:after="156"/>
        <w:ind w:left="0"/>
        <w:outlineLvl w:val="9"/>
        <w:rPr>
          <w:rFonts w:ascii="宋体" w:hAnsi="宋体" w:eastAsia="宋体"/>
        </w:rPr>
      </w:pPr>
      <w:r>
        <w:rPr>
          <w:rFonts w:hint="eastAsia" w:ascii="宋体" w:hAnsi="宋体" w:eastAsia="宋体"/>
        </w:rPr>
        <w:t>混凝土结构子分部工程施工质量验收时，应提供下列文件和记录：</w:t>
      </w:r>
    </w:p>
    <w:p>
      <w:pPr>
        <w:pStyle w:val="174"/>
        <w:numPr>
          <w:ilvl w:val="0"/>
          <w:numId w:val="69"/>
        </w:numPr>
      </w:pPr>
      <w:r>
        <w:rPr>
          <w:rFonts w:hint="eastAsia"/>
        </w:rPr>
        <w:t>工程设计文件、桁架预制板安装施工图和加工详图；</w:t>
      </w:r>
    </w:p>
    <w:p>
      <w:pPr>
        <w:pStyle w:val="174"/>
      </w:pPr>
      <w:r>
        <w:rPr>
          <w:rFonts w:hint="eastAsia"/>
        </w:rPr>
        <w:t>桁架预制板、主要材料及配件的质量证明文件、进场验收记录和抽样复验报告；</w:t>
      </w:r>
    </w:p>
    <w:p>
      <w:pPr>
        <w:pStyle w:val="174"/>
      </w:pPr>
      <w:r>
        <w:rPr>
          <w:rFonts w:hint="eastAsia"/>
        </w:rPr>
        <w:t>桁架预制板吊装施工记录；</w:t>
      </w:r>
    </w:p>
    <w:p>
      <w:pPr>
        <w:pStyle w:val="174"/>
      </w:pPr>
      <w:r>
        <w:rPr>
          <w:rFonts w:hint="eastAsia"/>
        </w:rPr>
        <w:t>隐蔽工程验收文件；</w:t>
      </w:r>
    </w:p>
    <w:p>
      <w:pPr>
        <w:pStyle w:val="174"/>
      </w:pPr>
      <w:r>
        <w:rPr>
          <w:rFonts w:hint="eastAsia"/>
        </w:rPr>
        <w:t>后浇混凝土强度检测报告；</w:t>
      </w:r>
    </w:p>
    <w:p>
      <w:pPr>
        <w:pStyle w:val="174"/>
      </w:pPr>
      <w:r>
        <w:rPr>
          <w:rFonts w:hint="eastAsia"/>
        </w:rPr>
        <w:t>装配式结构分项工程质量验收文件；</w:t>
      </w:r>
    </w:p>
    <w:p>
      <w:pPr>
        <w:pStyle w:val="174"/>
      </w:pPr>
      <w:r>
        <w:rPr>
          <w:rFonts w:hint="eastAsia"/>
        </w:rPr>
        <w:t>其他相关文件和记录。</w:t>
      </w:r>
    </w:p>
    <w:p>
      <w:pPr>
        <w:pStyle w:val="65"/>
        <w:spacing w:before="156" w:after="156"/>
        <w:outlineLvl w:val="9"/>
        <w:rPr>
          <w:rFonts w:ascii="宋体" w:hAnsi="宋体" w:eastAsia="宋体"/>
        </w:rPr>
      </w:pPr>
      <w:r>
        <w:rPr>
          <w:rFonts w:hint="eastAsia" w:ascii="宋体" w:hAnsi="宋体" w:eastAsia="宋体"/>
        </w:rPr>
        <w:t>主控项目</w:t>
      </w:r>
    </w:p>
    <w:p>
      <w:pPr>
        <w:pStyle w:val="94"/>
        <w:spacing w:before="156" w:after="156"/>
        <w:ind w:left="0"/>
        <w:outlineLvl w:val="9"/>
        <w:rPr>
          <w:rFonts w:ascii="宋体" w:hAnsi="宋体" w:eastAsia="宋体"/>
        </w:rPr>
      </w:pPr>
      <w:r>
        <w:rPr>
          <w:rFonts w:hint="eastAsia" w:ascii="宋体" w:hAnsi="宋体" w:eastAsia="宋体"/>
        </w:rPr>
        <w:t>专业企业生产的桁架预制板进场时，应检查质量证明文件。</w:t>
      </w:r>
    </w:p>
    <w:p>
      <w:pPr>
        <w:pStyle w:val="164"/>
        <w:numPr>
          <w:ilvl w:val="0"/>
          <w:numId w:val="0"/>
        </w:numPr>
        <w:ind w:firstLine="420" w:firstLineChars="200"/>
      </w:pPr>
      <w:r>
        <w:rPr>
          <w:rFonts w:hint="eastAsia"/>
        </w:rPr>
        <w:t xml:space="preserve">检查数量：全数检查。 </w:t>
      </w:r>
    </w:p>
    <w:p>
      <w:pPr>
        <w:pStyle w:val="164"/>
        <w:numPr>
          <w:ilvl w:val="0"/>
          <w:numId w:val="0"/>
        </w:numPr>
        <w:ind w:firstLine="420" w:firstLineChars="200"/>
      </w:pPr>
      <w:r>
        <w:rPr>
          <w:rFonts w:hint="eastAsia"/>
        </w:rPr>
        <w:t>检验方法：检查质量证明文件及质量验收记录。</w:t>
      </w:r>
    </w:p>
    <w:p>
      <w:pPr>
        <w:pStyle w:val="94"/>
        <w:spacing w:before="156" w:after="156"/>
        <w:ind w:left="0"/>
        <w:outlineLvl w:val="9"/>
        <w:rPr>
          <w:rFonts w:ascii="宋体" w:hAnsi="宋体" w:eastAsia="宋体"/>
        </w:rPr>
      </w:pPr>
      <w:r>
        <w:rPr>
          <w:rFonts w:hint="eastAsia" w:ascii="宋体" w:hAnsi="宋体" w:eastAsia="宋体"/>
        </w:rPr>
        <w:t>桁架预制板的外观质量不应有严重缺陷，且不应有影响结构性能或安装、使用功能的尺寸偏差。</w:t>
      </w:r>
    </w:p>
    <w:p>
      <w:pPr>
        <w:pStyle w:val="56"/>
        <w:ind w:firstLine="420"/>
      </w:pPr>
      <w:r>
        <w:rPr>
          <w:rFonts w:hint="eastAsia"/>
        </w:rPr>
        <w:t xml:space="preserve">检查数量：全数检查。 </w:t>
      </w:r>
    </w:p>
    <w:p>
      <w:pPr>
        <w:pStyle w:val="56"/>
        <w:ind w:firstLine="420"/>
      </w:pPr>
      <w:r>
        <w:rPr>
          <w:rFonts w:hint="eastAsia"/>
        </w:rPr>
        <w:t>检验方法：观察，尺量。</w:t>
      </w:r>
    </w:p>
    <w:p>
      <w:pPr>
        <w:pStyle w:val="94"/>
        <w:spacing w:before="156" w:after="156"/>
        <w:ind w:left="0"/>
        <w:outlineLvl w:val="9"/>
        <w:rPr>
          <w:rFonts w:ascii="宋体" w:hAnsi="宋体" w:eastAsia="宋体"/>
        </w:rPr>
      </w:pPr>
      <w:r>
        <w:rPr>
          <w:rFonts w:hint="eastAsia" w:ascii="宋体" w:hAnsi="宋体" w:eastAsia="宋体"/>
        </w:rPr>
        <w:t>桁架预制板安装的临时支撑架体应符合设计、施工方案要求及国家现行有关标准的规定。</w:t>
      </w:r>
    </w:p>
    <w:p>
      <w:pPr>
        <w:pStyle w:val="56"/>
        <w:ind w:firstLine="420"/>
      </w:pPr>
      <w:r>
        <w:rPr>
          <w:rFonts w:hint="eastAsia"/>
        </w:rPr>
        <w:t xml:space="preserve">检查数量：全数检查。 </w:t>
      </w:r>
    </w:p>
    <w:p>
      <w:pPr>
        <w:pStyle w:val="56"/>
        <w:ind w:firstLine="420"/>
      </w:pPr>
      <w:r>
        <w:rPr>
          <w:rFonts w:hint="eastAsia"/>
        </w:rPr>
        <w:t>检验方法：观察；检查施工方案、施工记录或设计文件。</w:t>
      </w:r>
    </w:p>
    <w:p>
      <w:pPr>
        <w:pStyle w:val="94"/>
        <w:spacing w:before="156" w:after="156"/>
        <w:ind w:left="0"/>
        <w:outlineLvl w:val="9"/>
        <w:rPr>
          <w:rFonts w:ascii="宋体" w:hAnsi="宋体" w:eastAsia="宋体"/>
        </w:rPr>
      </w:pPr>
      <w:r>
        <w:rPr>
          <w:rFonts w:hint="eastAsia" w:ascii="宋体" w:hAnsi="宋体" w:eastAsia="宋体"/>
        </w:rPr>
        <w:t>桁架预制板板面钢筋、附加钢筋的牌号、规格、数量应符合设计要求。</w:t>
      </w:r>
    </w:p>
    <w:p>
      <w:pPr>
        <w:pStyle w:val="56"/>
        <w:ind w:firstLine="420"/>
      </w:pPr>
      <w:r>
        <w:rPr>
          <w:rFonts w:hint="eastAsia"/>
        </w:rPr>
        <w:t xml:space="preserve">检查数量：全数检查。 </w:t>
      </w:r>
    </w:p>
    <w:p>
      <w:pPr>
        <w:pStyle w:val="56"/>
        <w:ind w:firstLine="420"/>
      </w:pPr>
      <w:r>
        <w:rPr>
          <w:rFonts w:hint="eastAsia"/>
        </w:rPr>
        <w:t>检验方法：观察，尺量。</w:t>
      </w:r>
    </w:p>
    <w:p>
      <w:pPr>
        <w:pStyle w:val="94"/>
        <w:spacing w:before="156" w:after="156"/>
        <w:ind w:left="0"/>
        <w:outlineLvl w:val="9"/>
        <w:rPr>
          <w:rFonts w:ascii="宋体" w:hAnsi="宋体" w:eastAsia="宋体"/>
        </w:rPr>
      </w:pPr>
      <w:r>
        <w:rPr>
          <w:rFonts w:hint="eastAsia" w:ascii="宋体" w:hAnsi="宋体" w:eastAsia="宋体"/>
        </w:rPr>
        <w:t>桁架叠合板后浇混凝土强度应符合设计要求。</w:t>
      </w:r>
    </w:p>
    <w:p>
      <w:pPr>
        <w:pStyle w:val="56"/>
        <w:ind w:firstLine="420"/>
      </w:pPr>
      <w:r>
        <w:rPr>
          <w:rFonts w:hint="eastAsia"/>
        </w:rPr>
        <w:t xml:space="preserve">检查数量：按批检查。 </w:t>
      </w:r>
    </w:p>
    <w:p>
      <w:pPr>
        <w:pStyle w:val="56"/>
        <w:ind w:firstLine="420"/>
      </w:pPr>
      <w:r>
        <w:rPr>
          <w:rFonts w:hint="eastAsia"/>
        </w:rPr>
        <w:t>检验方法：检查混凝土强度试验报告。</w:t>
      </w:r>
    </w:p>
    <w:p>
      <w:pPr>
        <w:pStyle w:val="94"/>
        <w:spacing w:before="156" w:after="156"/>
        <w:ind w:left="0"/>
        <w:outlineLvl w:val="9"/>
        <w:rPr>
          <w:rFonts w:ascii="宋体" w:hAnsi="宋体" w:eastAsia="宋体"/>
        </w:rPr>
      </w:pPr>
      <w:r>
        <w:rPr>
          <w:rFonts w:hint="eastAsia" w:ascii="宋体" w:hAnsi="宋体" w:eastAsia="宋体"/>
        </w:rPr>
        <w:t>桁架叠合板的外观质量不应有严重缺陷，且不应有影响结构性能或安装、使用功能的尺寸偏差。</w:t>
      </w:r>
    </w:p>
    <w:p>
      <w:pPr>
        <w:pStyle w:val="56"/>
        <w:ind w:firstLine="420"/>
      </w:pPr>
      <w:r>
        <w:rPr>
          <w:rFonts w:hint="eastAsia"/>
        </w:rPr>
        <w:t xml:space="preserve">检查数量：全数检查。 </w:t>
      </w:r>
    </w:p>
    <w:p>
      <w:pPr>
        <w:pStyle w:val="56"/>
        <w:ind w:firstLine="420"/>
      </w:pPr>
      <w:r>
        <w:rPr>
          <w:rFonts w:hint="eastAsia"/>
        </w:rPr>
        <w:t>检验方法：观察，尺量。</w:t>
      </w:r>
    </w:p>
    <w:p>
      <w:pPr>
        <w:pStyle w:val="65"/>
        <w:spacing w:before="156" w:after="156"/>
        <w:outlineLvl w:val="9"/>
        <w:rPr>
          <w:rFonts w:ascii="宋体" w:hAnsi="宋体" w:eastAsia="宋体"/>
        </w:rPr>
      </w:pPr>
      <w:r>
        <w:rPr>
          <w:rFonts w:hint="eastAsia" w:ascii="宋体" w:hAnsi="宋体" w:eastAsia="宋体"/>
        </w:rPr>
        <w:t>一般项目</w:t>
      </w:r>
    </w:p>
    <w:p>
      <w:pPr>
        <w:pStyle w:val="94"/>
        <w:spacing w:before="156" w:after="156"/>
        <w:ind w:left="0"/>
        <w:outlineLvl w:val="9"/>
        <w:rPr>
          <w:rFonts w:ascii="宋体" w:hAnsi="宋体" w:eastAsia="宋体"/>
        </w:rPr>
      </w:pPr>
      <w:r>
        <w:rPr>
          <w:rFonts w:hint="eastAsia" w:ascii="宋体" w:hAnsi="宋体" w:eastAsia="宋体"/>
        </w:rPr>
        <w:t>桁架预制板的外观质量不应有一般缺陷；当出现一般缺陷时，应按技术处理方案进行处理，并重新检查验收。</w:t>
      </w:r>
    </w:p>
    <w:p>
      <w:pPr>
        <w:pStyle w:val="56"/>
        <w:ind w:firstLine="420"/>
      </w:pPr>
      <w:r>
        <w:rPr>
          <w:rFonts w:hint="eastAsia"/>
        </w:rPr>
        <w:t xml:space="preserve">检查数量：全数检查。 </w:t>
      </w:r>
    </w:p>
    <w:p>
      <w:pPr>
        <w:pStyle w:val="56"/>
        <w:ind w:firstLine="420"/>
      </w:pPr>
      <w:r>
        <w:rPr>
          <w:rFonts w:hint="eastAsia"/>
        </w:rPr>
        <w:t>检验方法：观察；检查技术处理方案和处理记录。</w:t>
      </w:r>
    </w:p>
    <w:p>
      <w:pPr>
        <w:pStyle w:val="94"/>
        <w:spacing w:before="156" w:after="156"/>
        <w:ind w:left="0"/>
        <w:outlineLvl w:val="9"/>
        <w:rPr>
          <w:rFonts w:ascii="宋体" w:hAnsi="宋体" w:eastAsia="宋体"/>
        </w:rPr>
      </w:pPr>
      <w:r>
        <w:rPr>
          <w:rFonts w:hint="eastAsia" w:ascii="宋体" w:hAnsi="宋体" w:eastAsia="宋体"/>
        </w:rPr>
        <w:t>桁架预制板的粗糙面质量应符合设计要求。</w:t>
      </w:r>
    </w:p>
    <w:p>
      <w:pPr>
        <w:pStyle w:val="56"/>
        <w:ind w:firstLine="420"/>
      </w:pPr>
      <w:r>
        <w:rPr>
          <w:rFonts w:hint="eastAsia"/>
        </w:rPr>
        <w:t xml:space="preserve">检查数量：全数检查。 </w:t>
      </w:r>
    </w:p>
    <w:p>
      <w:pPr>
        <w:pStyle w:val="56"/>
        <w:ind w:firstLine="420"/>
      </w:pPr>
      <w:r>
        <w:rPr>
          <w:rFonts w:hint="eastAsia"/>
        </w:rPr>
        <w:t>检验方法：观察或量测。</w:t>
      </w:r>
    </w:p>
    <w:p>
      <w:pPr>
        <w:pStyle w:val="94"/>
        <w:spacing w:before="156" w:after="156"/>
        <w:ind w:left="0"/>
        <w:outlineLvl w:val="9"/>
        <w:rPr>
          <w:rFonts w:ascii="宋体" w:hAnsi="宋体" w:eastAsia="宋体"/>
        </w:rPr>
      </w:pPr>
      <w:r>
        <w:rPr>
          <w:rFonts w:hint="eastAsia" w:ascii="宋体" w:hAnsi="宋体" w:eastAsia="宋体"/>
        </w:rPr>
        <w:t xml:space="preserve">桁架预制板的预埋件、预留插筋、预留孔洞等的规格、数量、位置应符合设计要求。 </w:t>
      </w:r>
    </w:p>
    <w:p>
      <w:pPr>
        <w:pStyle w:val="56"/>
        <w:ind w:firstLine="420"/>
      </w:pPr>
      <w:r>
        <w:rPr>
          <w:rFonts w:hint="eastAsia"/>
        </w:rPr>
        <w:t xml:space="preserve">检查数量：全数检查。 </w:t>
      </w:r>
    </w:p>
    <w:p>
      <w:pPr>
        <w:pStyle w:val="56"/>
        <w:ind w:firstLine="420"/>
      </w:pPr>
      <w:r>
        <w:rPr>
          <w:rFonts w:hint="eastAsia"/>
        </w:rPr>
        <w:t>检验方法：观察，尺量；检查产品合格证。</w:t>
      </w:r>
    </w:p>
    <w:p>
      <w:pPr>
        <w:pStyle w:val="94"/>
        <w:spacing w:before="156" w:after="156"/>
        <w:ind w:left="0"/>
        <w:outlineLvl w:val="9"/>
        <w:rPr>
          <w:rFonts w:ascii="宋体" w:hAnsi="宋体" w:eastAsia="宋体"/>
        </w:rPr>
      </w:pPr>
      <w:r>
        <w:rPr>
          <w:rFonts w:hint="eastAsia" w:ascii="宋体" w:hAnsi="宋体" w:eastAsia="宋体"/>
        </w:rPr>
        <w:t>桁架预制板的尺寸偏差和检验方法应符合本文件第</w:t>
      </w:r>
      <w:r>
        <w:rPr>
          <w:rFonts w:ascii="Times New Roman" w:eastAsia="宋体"/>
        </w:rPr>
        <w:t xml:space="preserve"> 7.5.7 条</w:t>
      </w:r>
      <w:r>
        <w:rPr>
          <w:rFonts w:hint="eastAsia" w:ascii="宋体" w:hAnsi="宋体" w:eastAsia="宋体"/>
        </w:rPr>
        <w:t xml:space="preserve">的规定。 </w:t>
      </w:r>
    </w:p>
    <w:p>
      <w:pPr>
        <w:pStyle w:val="56"/>
        <w:ind w:firstLine="420"/>
      </w:pPr>
      <w:r>
        <w:rPr>
          <w:rFonts w:hint="eastAsia"/>
        </w:rPr>
        <w:t>检查数量：按批检查，同一规格桁架预制板抽检数量不应少于该规格构件数</w:t>
      </w:r>
      <w:r>
        <w:rPr>
          <w:rFonts w:ascii="Times New Roman"/>
        </w:rPr>
        <w:t>量的5%且不少于3件</w:t>
      </w:r>
      <w:r>
        <w:rPr>
          <w:rFonts w:hint="eastAsia"/>
        </w:rPr>
        <w:t>。</w:t>
      </w:r>
    </w:p>
    <w:p>
      <w:pPr>
        <w:pStyle w:val="94"/>
        <w:spacing w:before="156" w:after="156"/>
        <w:ind w:left="0"/>
        <w:outlineLvl w:val="9"/>
        <w:rPr>
          <w:rFonts w:ascii="宋体" w:hAnsi="宋体" w:eastAsia="宋体"/>
        </w:rPr>
      </w:pPr>
      <w:r>
        <w:rPr>
          <w:rFonts w:hint="eastAsia" w:ascii="宋体" w:hAnsi="宋体" w:eastAsia="宋体"/>
        </w:rPr>
        <w:t>桁架预制板安装的尺寸偏差和检验方法应符合设计要求；当设计无具体要求时，应符合</w:t>
      </w:r>
      <w:r>
        <w:rPr>
          <w:rFonts w:ascii="Times New Roman" w:eastAsia="宋体"/>
        </w:rPr>
        <w:t>表6</w:t>
      </w:r>
      <w:r>
        <w:rPr>
          <w:rFonts w:hint="eastAsia" w:ascii="宋体" w:hAnsi="宋体" w:eastAsia="宋体"/>
        </w:rPr>
        <w:t>的规定。</w:t>
      </w:r>
    </w:p>
    <w:p>
      <w:pPr>
        <w:pStyle w:val="112"/>
        <w:spacing w:before="156" w:after="156"/>
      </w:pPr>
      <w:r>
        <w:rPr>
          <w:rFonts w:hint="eastAsia"/>
        </w:rPr>
        <w:t>桁架预制板安装允许偏差和检验方法</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334"/>
        <w:gridCol w:w="2333"/>
        <w:gridCol w:w="2334"/>
        <w:gridCol w:w="233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334" w:type="dxa"/>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序号</w:t>
            </w:r>
          </w:p>
        </w:tc>
        <w:tc>
          <w:tcPr>
            <w:tcW w:w="2333" w:type="dxa"/>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项目</w:t>
            </w:r>
          </w:p>
        </w:tc>
        <w:tc>
          <w:tcPr>
            <w:tcW w:w="2334" w:type="dxa"/>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允许偏差（mm）</w:t>
            </w:r>
          </w:p>
        </w:tc>
        <w:tc>
          <w:tcPr>
            <w:tcW w:w="2333" w:type="dxa"/>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检验方法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tcBorders>
              <w:top w:val="single" w:color="auto" w:sz="8" w:space="0"/>
            </w:tcBorders>
            <w:shd w:val="clear" w:color="auto" w:fill="auto"/>
            <w:vAlign w:val="center"/>
          </w:tcPr>
          <w:p>
            <w:pPr>
              <w:pStyle w:val="178"/>
              <w:rPr>
                <w:rFonts w:ascii="Times New Roman"/>
              </w:rPr>
            </w:pPr>
            <w:r>
              <w:rPr>
                <w:rFonts w:ascii="Times New Roman"/>
              </w:rPr>
              <w:t>1</w:t>
            </w:r>
          </w:p>
        </w:tc>
        <w:tc>
          <w:tcPr>
            <w:tcW w:w="2333" w:type="dxa"/>
            <w:tcBorders>
              <w:top w:val="single" w:color="auto" w:sz="8" w:space="0"/>
            </w:tcBorders>
            <w:shd w:val="clear" w:color="auto" w:fill="auto"/>
            <w:vAlign w:val="center"/>
          </w:tcPr>
          <w:p>
            <w:pPr>
              <w:pStyle w:val="178"/>
              <w:rPr>
                <w:rFonts w:ascii="Times New Roman"/>
              </w:rPr>
            </w:pPr>
            <w:r>
              <w:rPr>
                <w:rFonts w:ascii="Times New Roman"/>
              </w:rPr>
              <w:t>桁架预制板中心线位置</w:t>
            </w:r>
          </w:p>
        </w:tc>
        <w:tc>
          <w:tcPr>
            <w:tcW w:w="2334" w:type="dxa"/>
            <w:tcBorders>
              <w:top w:val="single" w:color="auto" w:sz="8" w:space="0"/>
            </w:tcBorders>
            <w:shd w:val="clear" w:color="auto" w:fill="auto"/>
            <w:vAlign w:val="center"/>
          </w:tcPr>
          <w:p>
            <w:pPr>
              <w:pStyle w:val="178"/>
              <w:rPr>
                <w:rFonts w:ascii="Times New Roman"/>
              </w:rPr>
            </w:pPr>
            <w:r>
              <w:rPr>
                <w:rFonts w:ascii="Times New Roman"/>
              </w:rPr>
              <w:t>5</w:t>
            </w:r>
          </w:p>
        </w:tc>
        <w:tc>
          <w:tcPr>
            <w:tcW w:w="2333" w:type="dxa"/>
            <w:tcBorders>
              <w:top w:val="single" w:color="auto" w:sz="8" w:space="0"/>
            </w:tcBorders>
            <w:shd w:val="clear" w:color="auto" w:fill="auto"/>
            <w:vAlign w:val="center"/>
          </w:tcPr>
          <w:p>
            <w:pPr>
              <w:pStyle w:val="178"/>
              <w:rPr>
                <w:rFonts w:ascii="Times New Roman"/>
              </w:rPr>
            </w:pPr>
            <w:r>
              <w:rPr>
                <w:rFonts w:ascii="Times New Roman"/>
              </w:rPr>
              <w:t>用钢尺量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shd w:val="clear" w:color="auto" w:fill="auto"/>
            <w:vAlign w:val="center"/>
          </w:tcPr>
          <w:p>
            <w:pPr>
              <w:pStyle w:val="178"/>
              <w:rPr>
                <w:rFonts w:ascii="Times New Roman"/>
              </w:rPr>
            </w:pPr>
            <w:r>
              <w:rPr>
                <w:rFonts w:ascii="Times New Roman"/>
              </w:rPr>
              <w:t>2</w:t>
            </w:r>
          </w:p>
        </w:tc>
        <w:tc>
          <w:tcPr>
            <w:tcW w:w="2333" w:type="dxa"/>
            <w:shd w:val="clear" w:color="auto" w:fill="auto"/>
            <w:vAlign w:val="center"/>
          </w:tcPr>
          <w:p>
            <w:pPr>
              <w:pStyle w:val="178"/>
              <w:rPr>
                <w:rFonts w:ascii="Times New Roman"/>
              </w:rPr>
            </w:pPr>
            <w:r>
              <w:rPr>
                <w:rFonts w:ascii="Times New Roman"/>
              </w:rPr>
              <w:t>桁架预制板板底标高</w:t>
            </w:r>
          </w:p>
        </w:tc>
        <w:tc>
          <w:tcPr>
            <w:tcW w:w="2334" w:type="dxa"/>
            <w:shd w:val="clear" w:color="auto" w:fill="auto"/>
            <w:vAlign w:val="center"/>
          </w:tcPr>
          <w:p>
            <w:pPr>
              <w:pStyle w:val="178"/>
              <w:rPr>
                <w:rFonts w:ascii="Times New Roman"/>
              </w:rPr>
            </w:pPr>
            <w:r>
              <w:rPr>
                <w:rFonts w:ascii="Times New Roman"/>
              </w:rPr>
              <w:t>±5</w:t>
            </w:r>
          </w:p>
        </w:tc>
        <w:tc>
          <w:tcPr>
            <w:tcW w:w="2333" w:type="dxa"/>
            <w:shd w:val="clear" w:color="auto" w:fill="auto"/>
            <w:vAlign w:val="center"/>
          </w:tcPr>
          <w:p>
            <w:pPr>
              <w:pStyle w:val="178"/>
              <w:rPr>
                <w:rFonts w:ascii="Times New Roman"/>
              </w:rPr>
            </w:pPr>
            <w:r>
              <w:rPr>
                <w:rFonts w:ascii="Times New Roman"/>
              </w:rPr>
              <w:t>拉线或钢尺量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shd w:val="clear" w:color="auto" w:fill="auto"/>
            <w:vAlign w:val="center"/>
          </w:tcPr>
          <w:p>
            <w:pPr>
              <w:pStyle w:val="178"/>
              <w:rPr>
                <w:rFonts w:ascii="Times New Roman"/>
              </w:rPr>
            </w:pPr>
            <w:r>
              <w:rPr>
                <w:rFonts w:ascii="Times New Roman"/>
              </w:rPr>
              <w:t>3</w:t>
            </w:r>
          </w:p>
        </w:tc>
        <w:tc>
          <w:tcPr>
            <w:tcW w:w="2333" w:type="dxa"/>
            <w:shd w:val="clear" w:color="auto" w:fill="auto"/>
            <w:vAlign w:val="center"/>
          </w:tcPr>
          <w:p>
            <w:pPr>
              <w:pStyle w:val="178"/>
              <w:rPr>
                <w:rFonts w:ascii="Times New Roman"/>
              </w:rPr>
            </w:pPr>
            <w:r>
              <w:rPr>
                <w:rFonts w:ascii="Times New Roman"/>
              </w:rPr>
              <w:t>桁架预制板搁置长度</w:t>
            </w:r>
          </w:p>
        </w:tc>
        <w:tc>
          <w:tcPr>
            <w:tcW w:w="2334" w:type="dxa"/>
            <w:shd w:val="clear" w:color="auto" w:fill="auto"/>
            <w:vAlign w:val="center"/>
          </w:tcPr>
          <w:p>
            <w:pPr>
              <w:pStyle w:val="178"/>
              <w:rPr>
                <w:rFonts w:ascii="Times New Roman"/>
              </w:rPr>
            </w:pPr>
            <w:r>
              <w:rPr>
                <w:rFonts w:ascii="Times New Roman"/>
              </w:rPr>
              <w:t>±10</w:t>
            </w:r>
          </w:p>
        </w:tc>
        <w:tc>
          <w:tcPr>
            <w:tcW w:w="2333" w:type="dxa"/>
            <w:shd w:val="clear" w:color="auto" w:fill="auto"/>
            <w:vAlign w:val="center"/>
          </w:tcPr>
          <w:p>
            <w:pPr>
              <w:pStyle w:val="178"/>
              <w:rPr>
                <w:rFonts w:ascii="Times New Roman"/>
              </w:rPr>
            </w:pPr>
            <w:r>
              <w:rPr>
                <w:rFonts w:ascii="Times New Roman"/>
              </w:rPr>
              <w:t>用钢尺量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shd w:val="clear" w:color="auto" w:fill="auto"/>
            <w:vAlign w:val="center"/>
          </w:tcPr>
          <w:p>
            <w:pPr>
              <w:pStyle w:val="178"/>
              <w:rPr>
                <w:rFonts w:ascii="Times New Roman"/>
              </w:rPr>
            </w:pPr>
            <w:r>
              <w:rPr>
                <w:rFonts w:ascii="Times New Roman"/>
              </w:rPr>
              <w:t>4</w:t>
            </w:r>
          </w:p>
        </w:tc>
        <w:tc>
          <w:tcPr>
            <w:tcW w:w="2333" w:type="dxa"/>
            <w:shd w:val="clear" w:color="auto" w:fill="auto"/>
            <w:vAlign w:val="center"/>
          </w:tcPr>
          <w:p>
            <w:pPr>
              <w:pStyle w:val="178"/>
              <w:rPr>
                <w:rFonts w:ascii="Times New Roman"/>
              </w:rPr>
            </w:pPr>
            <w:r>
              <w:rPr>
                <w:rFonts w:ascii="Times New Roman"/>
              </w:rPr>
              <w:t>桁架预制板接缝平整度</w:t>
            </w:r>
          </w:p>
        </w:tc>
        <w:tc>
          <w:tcPr>
            <w:tcW w:w="2334" w:type="dxa"/>
            <w:shd w:val="clear" w:color="auto" w:fill="auto"/>
            <w:vAlign w:val="center"/>
          </w:tcPr>
          <w:p>
            <w:pPr>
              <w:pStyle w:val="178"/>
              <w:rPr>
                <w:rFonts w:ascii="Times New Roman"/>
              </w:rPr>
            </w:pPr>
            <w:r>
              <w:rPr>
                <w:rFonts w:ascii="Times New Roman"/>
              </w:rPr>
              <w:t>3</w:t>
            </w:r>
          </w:p>
        </w:tc>
        <w:tc>
          <w:tcPr>
            <w:tcW w:w="2333" w:type="dxa"/>
            <w:shd w:val="clear" w:color="auto" w:fill="auto"/>
            <w:vAlign w:val="center"/>
          </w:tcPr>
          <w:p>
            <w:pPr>
              <w:pStyle w:val="178"/>
              <w:rPr>
                <w:rFonts w:ascii="Times New Roman"/>
              </w:rPr>
            </w:pPr>
            <w:r>
              <w:rPr>
                <w:rFonts w:ascii="Times New Roman"/>
              </w:rPr>
              <w:t>用2m靠尺和塞尺量</w:t>
            </w:r>
          </w:p>
        </w:tc>
      </w:tr>
    </w:tbl>
    <w:p>
      <w:pPr>
        <w:pStyle w:val="56"/>
        <w:ind w:firstLine="360"/>
        <w:rPr>
          <w:sz w:val="18"/>
          <w:szCs w:val="18"/>
        </w:rPr>
      </w:pPr>
      <w:r>
        <w:rPr>
          <w:rFonts w:hint="eastAsia"/>
          <w:sz w:val="18"/>
          <w:szCs w:val="18"/>
        </w:rPr>
        <w:t>检查数量：按楼层、结构缝或施工段划分检验批。同一检验批内，应按有代表性的自然间抽查10%，且不小于3间；对大空间结构，可按纵、横轴线划分</w:t>
      </w:r>
      <w:r>
        <w:rPr>
          <w:rFonts w:ascii="Times New Roman"/>
          <w:sz w:val="18"/>
          <w:szCs w:val="18"/>
        </w:rPr>
        <w:t>检查面，抽查10%，且不少于3面。</w:t>
      </w:r>
    </w:p>
    <w:p>
      <w:pPr>
        <w:pStyle w:val="94"/>
        <w:spacing w:before="156" w:after="156"/>
        <w:ind w:left="0"/>
        <w:outlineLvl w:val="9"/>
        <w:rPr>
          <w:rFonts w:ascii="Times New Roman" w:eastAsia="宋体"/>
        </w:rPr>
      </w:pPr>
      <w:r>
        <w:rPr>
          <w:rFonts w:hint="eastAsia" w:ascii="宋体" w:hAnsi="宋体" w:eastAsia="宋体"/>
        </w:rPr>
        <w:t>桁架叠合板厚度的偏差应符合设计要求；当设计无具体要求时，厚度允</w:t>
      </w:r>
      <w:r>
        <w:rPr>
          <w:rFonts w:ascii="Times New Roman" w:eastAsia="宋体"/>
        </w:rPr>
        <w:t xml:space="preserve">许偏差应为±5mm。 </w:t>
      </w:r>
    </w:p>
    <w:p>
      <w:pPr>
        <w:pStyle w:val="94"/>
        <w:numPr>
          <w:ilvl w:val="0"/>
          <w:numId w:val="0"/>
        </w:numPr>
        <w:spacing w:before="0" w:beforeLines="0" w:after="0" w:afterLines="0"/>
        <w:ind w:firstLine="420" w:firstLineChars="200"/>
        <w:outlineLvl w:val="9"/>
        <w:rPr>
          <w:rFonts w:ascii="Times New Roman" w:eastAsia="宋体"/>
        </w:rPr>
      </w:pPr>
      <w:r>
        <w:rPr>
          <w:rFonts w:ascii="Times New Roman" w:eastAsia="宋体"/>
        </w:rPr>
        <w:t>检查数量：按楼层、结构缝或施工段划分检验批。同一检验批内，应按有代表性的自然间抽查 10%，且不少于 3 间；对大空间结构，可按纵、横轴线划分检查面，抽查 10%，且不少于 3 面。</w:t>
      </w:r>
    </w:p>
    <w:p>
      <w:pPr>
        <w:pStyle w:val="94"/>
        <w:numPr>
          <w:ilvl w:val="0"/>
          <w:numId w:val="0"/>
        </w:numPr>
        <w:spacing w:before="0" w:beforeLines="0" w:after="0" w:afterLines="0"/>
        <w:ind w:firstLine="420" w:firstLineChars="200"/>
        <w:outlineLvl w:val="9"/>
        <w:rPr>
          <w:rFonts w:ascii="Times New Roman" w:eastAsia="宋体"/>
        </w:rPr>
      </w:pPr>
      <w:r>
        <w:rPr>
          <w:rFonts w:ascii="Times New Roman" w:eastAsia="宋体"/>
        </w:rPr>
        <w:t>检验方法：尺量。</w:t>
      </w:r>
    </w:p>
    <w:p>
      <w:pPr>
        <w:pStyle w:val="94"/>
        <w:spacing w:before="156" w:after="156"/>
        <w:ind w:left="0"/>
        <w:outlineLvl w:val="9"/>
        <w:rPr>
          <w:rFonts w:ascii="宋体" w:hAnsi="宋体" w:eastAsia="宋体"/>
        </w:rPr>
      </w:pPr>
      <w:r>
        <w:rPr>
          <w:rFonts w:hint="eastAsia" w:ascii="宋体" w:hAnsi="宋体" w:eastAsia="宋体"/>
        </w:rPr>
        <w:t xml:space="preserve">桁架叠合板的外观质量不应有一般缺陷；当出现一般缺陷时，应按技术处理方案进行处理，并重新检查验收。 </w:t>
      </w:r>
    </w:p>
    <w:p>
      <w:pPr>
        <w:pStyle w:val="94"/>
        <w:numPr>
          <w:ilvl w:val="0"/>
          <w:numId w:val="0"/>
        </w:numPr>
        <w:spacing w:before="0" w:beforeLines="0" w:after="0" w:afterLines="0"/>
        <w:ind w:firstLine="420" w:firstLineChars="200"/>
        <w:outlineLvl w:val="9"/>
        <w:rPr>
          <w:rFonts w:ascii="宋体" w:hAnsi="宋体" w:eastAsia="宋体"/>
        </w:rPr>
      </w:pPr>
      <w:r>
        <w:rPr>
          <w:rFonts w:hint="eastAsia" w:ascii="宋体" w:hAnsi="宋体" w:eastAsia="宋体"/>
        </w:rPr>
        <w:t xml:space="preserve">检查数量：全数检查。 </w:t>
      </w:r>
    </w:p>
    <w:p>
      <w:pPr>
        <w:pStyle w:val="94"/>
        <w:numPr>
          <w:ilvl w:val="0"/>
          <w:numId w:val="0"/>
        </w:numPr>
        <w:spacing w:before="0" w:beforeLines="0" w:after="0" w:afterLines="0"/>
        <w:ind w:firstLine="420" w:firstLineChars="200"/>
        <w:outlineLvl w:val="9"/>
        <w:rPr>
          <w:rFonts w:ascii="宋体" w:hAnsi="宋体" w:eastAsia="宋体"/>
        </w:rPr>
      </w:pPr>
      <w:r>
        <w:rPr>
          <w:rFonts w:hint="eastAsia" w:ascii="宋体" w:hAnsi="宋体" w:eastAsia="宋体"/>
        </w:rPr>
        <w:t>检验方法：观察；检查技术处理方案和处理记录。</w:t>
      </w:r>
    </w:p>
    <w:p>
      <w:pPr>
        <w:pStyle w:val="94"/>
        <w:spacing w:before="156" w:after="156"/>
        <w:ind w:left="0"/>
        <w:outlineLvl w:val="9"/>
        <w:rPr>
          <w:rFonts w:ascii="宋体" w:hAnsi="宋体" w:eastAsia="宋体"/>
        </w:rPr>
      </w:pPr>
      <w:r>
        <w:rPr>
          <w:rFonts w:hint="eastAsia" w:ascii="宋体" w:hAnsi="宋体" w:eastAsia="宋体"/>
        </w:rPr>
        <w:t>桁架预制板接缝嵌填应均匀、顺直、密实、表面平滑，不应漏嵌。</w:t>
      </w:r>
    </w:p>
    <w:p>
      <w:pPr>
        <w:pStyle w:val="56"/>
        <w:ind w:firstLine="420"/>
      </w:pPr>
      <w:r>
        <w:rPr>
          <w:rFonts w:hint="eastAsia"/>
        </w:rPr>
        <w:t xml:space="preserve">检查数量：全数检查。 </w:t>
      </w:r>
    </w:p>
    <w:p>
      <w:pPr>
        <w:pStyle w:val="56"/>
        <w:ind w:firstLine="420"/>
      </w:pPr>
      <w:r>
        <w:rPr>
          <w:rFonts w:hint="eastAsia"/>
        </w:rPr>
        <w:t>检验方法：观察。</w:t>
      </w:r>
    </w:p>
    <w:p>
      <w:pPr>
        <w:pStyle w:val="56"/>
        <w:ind w:firstLine="1050" w:firstLineChars="500"/>
        <w:sectPr>
          <w:pgSz w:w="11906" w:h="16838"/>
          <w:pgMar w:top="567" w:right="1134" w:bottom="1134" w:left="1134" w:header="1418" w:footer="1134" w:gutter="284"/>
          <w:pgNumType w:start="1"/>
          <w:cols w:space="425" w:num="1"/>
          <w:formProt w:val="0"/>
          <w:docGrid w:type="lines" w:linePitch="312" w:charSpace="0"/>
        </w:sectPr>
      </w:pPr>
    </w:p>
    <w:bookmarkEnd w:id="30"/>
    <w:p>
      <w:pPr>
        <w:pStyle w:val="198"/>
        <w:rPr>
          <w:vanish w:val="0"/>
        </w:rPr>
      </w:pPr>
      <w:bookmarkStart w:id="112" w:name="BookMark5"/>
    </w:p>
    <w:p>
      <w:pPr>
        <w:pStyle w:val="199"/>
        <w:rPr>
          <w:vanish w:val="0"/>
        </w:rPr>
      </w:pPr>
    </w:p>
    <w:p>
      <w:pPr>
        <w:pStyle w:val="76"/>
        <w:spacing w:before="78" w:after="156"/>
      </w:pPr>
      <w:r>
        <w:br w:type="textWrapping"/>
      </w:r>
      <w:bookmarkStart w:id="113" w:name="_Toc69916897"/>
      <w:r>
        <w:rPr>
          <w:rFonts w:hint="eastAsia"/>
        </w:rPr>
        <w:t>（规范性）</w:t>
      </w:r>
      <w:r>
        <w:br w:type="textWrapping"/>
      </w:r>
      <w:r>
        <w:rPr>
          <w:rFonts w:hint="eastAsia"/>
        </w:rPr>
        <w:t>钢筋桁架质量检验方法</w:t>
      </w:r>
      <w:bookmarkEnd w:id="113"/>
    </w:p>
    <w:p>
      <w:pPr>
        <w:pStyle w:val="79"/>
        <w:spacing w:before="156" w:after="156"/>
        <w:outlineLvl w:val="9"/>
        <w:rPr>
          <w:rFonts w:ascii="宋体" w:hAnsi="宋体" w:eastAsia="宋体"/>
        </w:rPr>
      </w:pPr>
      <w:r>
        <w:rPr>
          <w:rFonts w:hint="eastAsia" w:ascii="宋体" w:hAnsi="宋体" w:eastAsia="宋体"/>
        </w:rPr>
        <w:t xml:space="preserve">钢筋桁架原材钢筋进厂时，应检查质量证明文件，并应按国家现行相关标准的规定抽取试件作力学性能和重量偏差检验，检验结果应符合国家现行相关标准的规定。 </w:t>
      </w:r>
    </w:p>
    <w:p>
      <w:pPr>
        <w:pStyle w:val="79"/>
        <w:numPr>
          <w:ilvl w:val="0"/>
          <w:numId w:val="0"/>
        </w:numPr>
        <w:spacing w:before="0" w:beforeLines="0" w:after="0" w:afterLines="0"/>
        <w:ind w:firstLine="420" w:firstLineChars="200"/>
        <w:outlineLvl w:val="9"/>
        <w:rPr>
          <w:rFonts w:ascii="宋体" w:hAnsi="宋体" w:eastAsia="宋体"/>
        </w:rPr>
      </w:pPr>
      <w:r>
        <w:rPr>
          <w:rFonts w:hint="eastAsia" w:ascii="宋体" w:hAnsi="宋体" w:eastAsia="宋体"/>
        </w:rPr>
        <w:t xml:space="preserve">检查数量：按进厂批次和产品的抽样检验方案确定。 </w:t>
      </w:r>
    </w:p>
    <w:p>
      <w:pPr>
        <w:pStyle w:val="79"/>
        <w:numPr>
          <w:ilvl w:val="0"/>
          <w:numId w:val="0"/>
        </w:numPr>
        <w:spacing w:before="0" w:beforeLines="0" w:after="0" w:afterLines="0"/>
        <w:ind w:firstLine="420" w:firstLineChars="200"/>
        <w:outlineLvl w:val="9"/>
        <w:rPr>
          <w:rFonts w:ascii="宋体" w:hAnsi="宋体" w:eastAsia="宋体"/>
        </w:rPr>
      </w:pPr>
      <w:r>
        <w:rPr>
          <w:rFonts w:hint="eastAsia" w:ascii="宋体" w:hAnsi="宋体" w:eastAsia="宋体"/>
        </w:rPr>
        <w:t>检验方法：检查质量证明文件和抽样检验报告。</w:t>
      </w:r>
    </w:p>
    <w:p>
      <w:pPr>
        <w:pStyle w:val="79"/>
        <w:spacing w:before="156" w:after="156"/>
        <w:outlineLvl w:val="9"/>
        <w:rPr>
          <w:rFonts w:ascii="宋体" w:hAnsi="宋体" w:eastAsia="宋体"/>
        </w:rPr>
      </w:pPr>
      <w:r>
        <w:rPr>
          <w:rFonts w:hint="eastAsia" w:ascii="宋体" w:hAnsi="宋体" w:eastAsia="宋体"/>
        </w:rPr>
        <w:t xml:space="preserve">钢筋桁架的质量检验应符合下列规定： </w:t>
      </w:r>
    </w:p>
    <w:p>
      <w:pPr>
        <w:pStyle w:val="174"/>
        <w:numPr>
          <w:ilvl w:val="0"/>
          <w:numId w:val="70"/>
        </w:numPr>
        <w:rPr>
          <w:rFonts w:ascii="Times New Roman"/>
        </w:rPr>
      </w:pPr>
      <w:r>
        <w:rPr>
          <w:rFonts w:hint="eastAsia"/>
        </w:rPr>
        <w:t>钢筋桁架应按批进行外观</w:t>
      </w:r>
      <w:r>
        <w:rPr>
          <w:rFonts w:ascii="Times New Roman"/>
        </w:rPr>
        <w:t>质量和尺寸偏差检验，同一检验批的首件必检，加工过程中应进行抽检，抽检次数不应少于2次，每次抽检1件；外观质量应满足本文件第A.0.3条的要求，尺寸偏差应满足本文件第A.0.4条的要求；当抽检合格率不为100%时，应全数检查，剔除不合格品</w:t>
      </w:r>
      <w:r>
        <w:rPr>
          <w:rFonts w:hint="eastAsia" w:ascii="Times New Roman"/>
        </w:rPr>
        <w:t>；</w:t>
      </w:r>
    </w:p>
    <w:p>
      <w:pPr>
        <w:pStyle w:val="174"/>
      </w:pPr>
      <w:r>
        <w:rPr>
          <w:rFonts w:hint="eastAsia"/>
        </w:rPr>
        <w:t>钢筋桁架应按批进行力学性能检验，每批</w:t>
      </w:r>
      <w:r>
        <w:rPr>
          <w:rFonts w:ascii="Times New Roman"/>
        </w:rPr>
        <w:t>应随机抽取1件钢筋桁架进行试验；力学性能检验试件制作及测试方法应符合本文件附录Ｂ的规定；拉伸、弯曲试验检验结果应符合国家现行相关标准的规定，焊点的受剪承载力不应小于腹杆钢筋屈服承载力的0.6倍，并应符合现行行业标准《钢筋焊接及验收文件》JGJ18的有关规定</w:t>
      </w:r>
      <w:r>
        <w:rPr>
          <w:rFonts w:hint="eastAsia" w:ascii="Times New Roman"/>
        </w:rPr>
        <w:t>；</w:t>
      </w:r>
    </w:p>
    <w:p>
      <w:pPr>
        <w:pStyle w:val="174"/>
      </w:pPr>
      <w:r>
        <w:rPr>
          <w:rFonts w:hint="eastAsia"/>
        </w:rPr>
        <w:t>一个检验</w:t>
      </w:r>
      <w:r>
        <w:rPr>
          <w:rFonts w:ascii="Times New Roman"/>
        </w:rPr>
        <w:t>批应为同一设备、同一台班加工的同一规格的钢筋桁架，且总重量不应大于30t，不足30t按一批计。</w:t>
      </w:r>
    </w:p>
    <w:p>
      <w:pPr>
        <w:pStyle w:val="79"/>
        <w:spacing w:before="156" w:after="156"/>
        <w:outlineLvl w:val="9"/>
        <w:rPr>
          <w:rFonts w:ascii="宋体" w:hAnsi="宋体" w:eastAsia="宋体"/>
        </w:rPr>
      </w:pPr>
      <w:r>
        <w:rPr>
          <w:rFonts w:hint="eastAsia"/>
        </w:rPr>
        <w:t xml:space="preserve"> </w:t>
      </w:r>
      <w:r>
        <w:rPr>
          <w:rFonts w:hint="eastAsia" w:ascii="宋体" w:hAnsi="宋体" w:eastAsia="宋体"/>
        </w:rPr>
        <w:t>钢筋桁架的外观质量应满足下列要求：</w:t>
      </w:r>
    </w:p>
    <w:p>
      <w:pPr>
        <w:pStyle w:val="174"/>
        <w:numPr>
          <w:ilvl w:val="0"/>
          <w:numId w:val="71"/>
        </w:numPr>
      </w:pPr>
      <w:r>
        <w:rPr>
          <w:rFonts w:hint="eastAsia"/>
        </w:rPr>
        <w:t>除毛刺、表面浮锈和因钢筋调直造成的表面轻微损伤外，钢筋桁架表面不应有影响使用的缺陷；</w:t>
      </w:r>
    </w:p>
    <w:p>
      <w:pPr>
        <w:pStyle w:val="174"/>
      </w:pPr>
      <w:r>
        <w:rPr>
          <w:rFonts w:hint="eastAsia"/>
        </w:rPr>
        <w:t>钢筋桁架上弦焊点不得开焊；下弦焊点开焊</w:t>
      </w:r>
      <w:r>
        <w:rPr>
          <w:rFonts w:ascii="Times New Roman"/>
        </w:rPr>
        <w:t>数量不应超过下弦焊点总数的 4％</w:t>
      </w:r>
      <w:r>
        <w:rPr>
          <w:rFonts w:hint="eastAsia"/>
        </w:rPr>
        <w:t>，且不应连续开焊，端部焊点不应开焊；</w:t>
      </w:r>
    </w:p>
    <w:p>
      <w:pPr>
        <w:pStyle w:val="174"/>
      </w:pPr>
      <w:r>
        <w:rPr>
          <w:rFonts w:hint="eastAsia"/>
        </w:rPr>
        <w:t>焊点处熔化金属应均匀，不应脱落、漏焊，且应无裂纹、多孔性缺陷和明显的烧伤现象。</w:t>
      </w:r>
    </w:p>
    <w:p>
      <w:pPr>
        <w:pStyle w:val="79"/>
        <w:spacing w:before="156" w:after="156"/>
        <w:outlineLvl w:val="9"/>
        <w:rPr>
          <w:rFonts w:ascii="宋体" w:hAnsi="宋体" w:eastAsia="宋体"/>
        </w:rPr>
      </w:pPr>
      <w:r>
        <w:rPr>
          <w:rFonts w:hint="eastAsia" w:ascii="宋体" w:hAnsi="宋体" w:eastAsia="宋体"/>
        </w:rPr>
        <w:t>钢筋桁架的尺寸偏差和检验方法应符</w:t>
      </w:r>
      <w:r>
        <w:rPr>
          <w:rFonts w:ascii="Times New Roman" w:eastAsia="宋体"/>
        </w:rPr>
        <w:t>合表A.1的</w:t>
      </w:r>
      <w:r>
        <w:rPr>
          <w:rFonts w:hint="eastAsia" w:ascii="宋体" w:hAnsi="宋体" w:eastAsia="宋体"/>
        </w:rPr>
        <w:t>规定。</w:t>
      </w:r>
    </w:p>
    <w:p>
      <w:pPr>
        <w:pStyle w:val="77"/>
        <w:spacing w:before="156" w:after="156"/>
      </w:pPr>
      <w:r>
        <w:rPr>
          <w:rFonts w:hint="eastAsia"/>
        </w:rPr>
        <w:t>钢筋桁架尺寸允许偏差及检验方法</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114"/>
        <w:gridCol w:w="3115"/>
        <w:gridCol w:w="311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3114" w:type="dxa"/>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项次</w:t>
            </w:r>
          </w:p>
        </w:tc>
        <w:tc>
          <w:tcPr>
            <w:tcW w:w="3115" w:type="dxa"/>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允许偏差(mm)</w:t>
            </w:r>
          </w:p>
        </w:tc>
        <w:tc>
          <w:tcPr>
            <w:tcW w:w="3115" w:type="dxa"/>
            <w:tcBorders>
              <w:top w:val="single" w:color="auto" w:sz="8" w:space="0"/>
              <w:bottom w:val="single" w:color="auto" w:sz="8" w:space="0"/>
            </w:tcBorders>
            <w:shd w:val="clear" w:color="auto" w:fill="auto"/>
            <w:vAlign w:val="center"/>
          </w:tcPr>
          <w:p>
            <w:pPr>
              <w:pStyle w:val="178"/>
              <w:rPr>
                <w:rFonts w:ascii="Times New Roman"/>
              </w:rPr>
            </w:pPr>
            <w:r>
              <w:rPr>
                <w:rFonts w:ascii="Times New Roman"/>
              </w:rPr>
              <w:t>检验方法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4" w:type="dxa"/>
            <w:tcBorders>
              <w:top w:val="single" w:color="auto" w:sz="8" w:space="0"/>
            </w:tcBorders>
            <w:shd w:val="clear" w:color="auto" w:fill="auto"/>
            <w:vAlign w:val="center"/>
          </w:tcPr>
          <w:p>
            <w:pPr>
              <w:pStyle w:val="178"/>
              <w:rPr>
                <w:rFonts w:ascii="Times New Roman"/>
              </w:rPr>
            </w:pPr>
            <w:r>
              <w:rPr>
                <w:rFonts w:ascii="Times New Roman"/>
              </w:rPr>
              <w:t>长度</w:t>
            </w:r>
          </w:p>
        </w:tc>
        <w:tc>
          <w:tcPr>
            <w:tcW w:w="3115" w:type="dxa"/>
            <w:tcBorders>
              <w:top w:val="single" w:color="auto" w:sz="8" w:space="0"/>
            </w:tcBorders>
            <w:shd w:val="clear" w:color="auto" w:fill="auto"/>
            <w:vAlign w:val="center"/>
          </w:tcPr>
          <w:p>
            <w:pPr>
              <w:pStyle w:val="178"/>
              <w:rPr>
                <w:rFonts w:ascii="Times New Roman"/>
              </w:rPr>
            </w:pPr>
            <w:r>
              <w:rPr>
                <w:rFonts w:ascii="Times New Roman"/>
              </w:rPr>
              <w:t>总长度的±3%且不超过±20</w:t>
            </w:r>
          </w:p>
        </w:tc>
        <w:tc>
          <w:tcPr>
            <w:tcW w:w="3115" w:type="dxa"/>
            <w:tcBorders>
              <w:top w:val="single" w:color="auto" w:sz="8" w:space="0"/>
            </w:tcBorders>
            <w:shd w:val="clear" w:color="auto" w:fill="auto"/>
            <w:vAlign w:val="center"/>
          </w:tcPr>
          <w:p>
            <w:pPr>
              <w:pStyle w:val="178"/>
              <w:rPr>
                <w:rFonts w:ascii="Times New Roman"/>
              </w:rPr>
            </w:pPr>
            <w:r>
              <w:rPr>
                <w:rFonts w:ascii="Times New Roman"/>
              </w:rPr>
              <w:t>用钢尺量上弦钢筋长度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4" w:type="dxa"/>
            <w:shd w:val="clear" w:color="auto" w:fill="auto"/>
            <w:vAlign w:val="center"/>
          </w:tcPr>
          <w:p>
            <w:pPr>
              <w:pStyle w:val="178"/>
              <w:rPr>
                <w:rFonts w:ascii="Times New Roman"/>
              </w:rPr>
            </w:pPr>
            <w:r>
              <w:rPr>
                <w:rFonts w:ascii="Times New Roman"/>
              </w:rPr>
              <w:t>设计宽度</w:t>
            </w:r>
          </w:p>
        </w:tc>
        <w:tc>
          <w:tcPr>
            <w:tcW w:w="3115" w:type="dxa"/>
            <w:shd w:val="clear" w:color="auto" w:fill="auto"/>
            <w:vAlign w:val="center"/>
          </w:tcPr>
          <w:p>
            <w:pPr>
              <w:pStyle w:val="178"/>
              <w:rPr>
                <w:rFonts w:ascii="Times New Roman"/>
              </w:rPr>
            </w:pPr>
            <w:r>
              <w:rPr>
                <w:rFonts w:ascii="Times New Roman"/>
              </w:rPr>
              <w:t>±7</w:t>
            </w:r>
          </w:p>
        </w:tc>
        <w:tc>
          <w:tcPr>
            <w:tcW w:w="3115" w:type="dxa"/>
            <w:shd w:val="clear" w:color="auto" w:fill="auto"/>
            <w:vAlign w:val="center"/>
          </w:tcPr>
          <w:p>
            <w:pPr>
              <w:pStyle w:val="178"/>
              <w:rPr>
                <w:rFonts w:ascii="Times New Roman"/>
              </w:rPr>
            </w:pPr>
            <w:r>
              <w:rPr>
                <w:rFonts w:ascii="Times New Roman"/>
              </w:rPr>
              <w:t>用钢尺量钢筋桁架两端，取平均值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4" w:type="dxa"/>
            <w:shd w:val="clear" w:color="auto" w:fill="auto"/>
            <w:vAlign w:val="center"/>
          </w:tcPr>
          <w:p>
            <w:pPr>
              <w:pStyle w:val="178"/>
              <w:rPr>
                <w:rFonts w:ascii="Times New Roman"/>
              </w:rPr>
            </w:pPr>
            <w:r>
              <w:rPr>
                <w:rFonts w:ascii="Times New Roman"/>
              </w:rPr>
              <w:t>设计高度</w:t>
            </w:r>
          </w:p>
        </w:tc>
        <w:tc>
          <w:tcPr>
            <w:tcW w:w="3115" w:type="dxa"/>
            <w:shd w:val="clear" w:color="auto" w:fill="auto"/>
            <w:vAlign w:val="center"/>
          </w:tcPr>
          <w:p>
            <w:pPr>
              <w:pStyle w:val="178"/>
              <w:rPr>
                <w:rFonts w:ascii="Times New Roman"/>
              </w:rPr>
            </w:pPr>
            <w:r>
              <w:rPr>
                <w:rFonts w:ascii="Times New Roman"/>
              </w:rPr>
              <w:t>1，-3</w:t>
            </w:r>
          </w:p>
        </w:tc>
        <w:tc>
          <w:tcPr>
            <w:tcW w:w="3115" w:type="dxa"/>
            <w:shd w:val="clear" w:color="auto" w:fill="auto"/>
            <w:vAlign w:val="center"/>
          </w:tcPr>
          <w:p>
            <w:pPr>
              <w:pStyle w:val="178"/>
              <w:rPr>
                <w:rFonts w:ascii="Times New Roman"/>
              </w:rPr>
            </w:pPr>
            <w:r>
              <w:rPr>
                <w:rFonts w:ascii="Times New Roman"/>
              </w:rPr>
              <w:t>用钢尺量钢筋桁架两端，取平均值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4" w:type="dxa"/>
            <w:shd w:val="clear" w:color="auto" w:fill="auto"/>
            <w:vAlign w:val="center"/>
          </w:tcPr>
          <w:p>
            <w:pPr>
              <w:pStyle w:val="178"/>
              <w:rPr>
                <w:rFonts w:ascii="Times New Roman"/>
              </w:rPr>
            </w:pPr>
            <w:r>
              <w:rPr>
                <w:rFonts w:ascii="Times New Roman"/>
              </w:rPr>
              <w:t>相邻焊点中心距</w:t>
            </w:r>
          </w:p>
        </w:tc>
        <w:tc>
          <w:tcPr>
            <w:tcW w:w="3115" w:type="dxa"/>
            <w:shd w:val="clear" w:color="auto" w:fill="auto"/>
            <w:vAlign w:val="center"/>
          </w:tcPr>
          <w:p>
            <w:pPr>
              <w:pStyle w:val="178"/>
              <w:rPr>
                <w:rFonts w:ascii="Times New Roman"/>
              </w:rPr>
            </w:pPr>
            <w:r>
              <w:rPr>
                <w:rFonts w:ascii="Times New Roman"/>
              </w:rPr>
              <w:t>3</w:t>
            </w:r>
          </w:p>
        </w:tc>
        <w:tc>
          <w:tcPr>
            <w:tcW w:w="3115" w:type="dxa"/>
            <w:shd w:val="clear" w:color="auto" w:fill="auto"/>
            <w:vAlign w:val="center"/>
          </w:tcPr>
          <w:p>
            <w:pPr>
              <w:pStyle w:val="178"/>
              <w:rPr>
                <w:rFonts w:ascii="Times New Roman"/>
              </w:rPr>
            </w:pPr>
            <w:r>
              <w:rPr>
                <w:rFonts w:ascii="Times New Roman"/>
              </w:rPr>
              <w:t>钢尺量测5个中心距并取平均值</w:t>
            </w:r>
          </w:p>
        </w:tc>
      </w:tr>
    </w:tbl>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sectPr>
          <w:pgSz w:w="11906" w:h="16838"/>
          <w:pgMar w:top="567" w:right="1134" w:bottom="1134" w:left="1134" w:header="1418" w:footer="1134" w:gutter="284"/>
          <w:cols w:space="425" w:num="1"/>
          <w:formProt w:val="0"/>
          <w:docGrid w:type="lines" w:linePitch="312" w:charSpace="0"/>
        </w:sectPr>
      </w:pPr>
    </w:p>
    <w:p>
      <w:pPr>
        <w:pStyle w:val="198"/>
        <w:rPr>
          <w:vanish w:val="0"/>
        </w:rPr>
      </w:pPr>
    </w:p>
    <w:p>
      <w:pPr>
        <w:pStyle w:val="199"/>
        <w:rPr>
          <w:vanish w:val="0"/>
        </w:rPr>
      </w:pPr>
    </w:p>
    <w:p>
      <w:pPr>
        <w:pStyle w:val="76"/>
        <w:spacing w:before="78" w:after="156"/>
      </w:pPr>
      <w:r>
        <w:br w:type="textWrapping"/>
      </w:r>
      <w:bookmarkStart w:id="114" w:name="_Toc69916898"/>
      <w:r>
        <w:rPr>
          <w:rFonts w:hint="eastAsia"/>
        </w:rPr>
        <w:t>（规范性）</w:t>
      </w:r>
      <w:r>
        <w:br w:type="textWrapping"/>
      </w:r>
      <w:r>
        <w:rPr>
          <w:rFonts w:hint="eastAsia"/>
        </w:rPr>
        <w:t>钢筋桁架力学性能试件及测试方法</w:t>
      </w:r>
      <w:bookmarkEnd w:id="114"/>
    </w:p>
    <w:p>
      <w:pPr>
        <w:pStyle w:val="79"/>
        <w:spacing w:before="156" w:after="156"/>
        <w:outlineLvl w:val="9"/>
        <w:rPr>
          <w:rFonts w:ascii="宋体" w:hAnsi="宋体" w:eastAsia="宋体"/>
          <w:kern w:val="0"/>
        </w:rPr>
      </w:pPr>
      <w:r>
        <w:rPr>
          <w:rFonts w:ascii="宋体" w:hAnsi="宋体" w:eastAsia="宋体"/>
          <w:kern w:val="0"/>
        </w:rPr>
        <w:t xml:space="preserve">进行钢筋桁架上、下弦钢筋的拉伸和弯曲试验时，试件取样应符合下列要求： </w:t>
      </w:r>
    </w:p>
    <w:p>
      <w:pPr>
        <w:pStyle w:val="174"/>
        <w:numPr>
          <w:ilvl w:val="0"/>
          <w:numId w:val="72"/>
        </w:numPr>
      </w:pPr>
      <w:r>
        <w:t>应在上、下弦钢筋各截取</w:t>
      </w:r>
      <w:r>
        <w:rPr>
          <w:rFonts w:ascii="Times New Roman"/>
        </w:rPr>
        <w:t>不少于 2 个拉伸试验试件（图B.1），每个试件应含有不少于1个焊点；试件长度应保证夹具之间的距离不小于20d，且不应小于 180mm（d 为钢筋直径）；试件的腹杆钢筋应在距焊点约25mm处切断</w:t>
      </w:r>
      <w:r>
        <w:rPr>
          <w:rFonts w:hint="eastAsia" w:ascii="Times New Roman"/>
        </w:rPr>
        <w:t>；</w:t>
      </w:r>
    </w:p>
    <w:p>
      <w:pPr>
        <w:pStyle w:val="174"/>
        <w:numPr>
          <w:ilvl w:val="0"/>
          <w:numId w:val="0"/>
        </w:numPr>
        <w:jc w:val="center"/>
      </w:pPr>
      <w:r>
        <w:drawing>
          <wp:inline distT="0" distB="0" distL="0" distR="0">
            <wp:extent cx="2466975" cy="1895475"/>
            <wp:effectExtent l="0" t="0" r="9525"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2466975" cy="1895475"/>
                    </a:xfrm>
                    <a:prstGeom prst="rect">
                      <a:avLst/>
                    </a:prstGeom>
                    <a:noFill/>
                  </pic:spPr>
                </pic:pic>
              </a:graphicData>
            </a:graphic>
          </wp:inline>
        </w:drawing>
      </w:r>
    </w:p>
    <w:p>
      <w:pPr>
        <w:pStyle w:val="83"/>
        <w:spacing w:before="156" w:after="156"/>
        <w:ind w:firstLine="0"/>
      </w:pPr>
      <w:r>
        <w:rPr>
          <w:rFonts w:hint="eastAsia"/>
        </w:rPr>
        <w:t>桁架钢筋拉伸试样</w:t>
      </w:r>
    </w:p>
    <w:p>
      <w:pPr>
        <w:pStyle w:val="83"/>
        <w:numPr>
          <w:ilvl w:val="0"/>
          <w:numId w:val="0"/>
        </w:numPr>
        <w:spacing w:before="156" w:after="156"/>
      </w:pPr>
      <w:r>
        <w:rPr>
          <w:rFonts w:hint="eastAsia"/>
        </w:rPr>
        <w:t>1—上弦钢筋/下弦钢筋；2—腹杆钢筋</w:t>
      </w:r>
    </w:p>
    <w:p>
      <w:pPr>
        <w:pStyle w:val="174"/>
      </w:pPr>
      <w:r>
        <w:t>应在上、下弦钢筋各截取1个弯曲试验试件，试件长度根据试验设备确定。</w:t>
      </w:r>
    </w:p>
    <w:p>
      <w:pPr>
        <w:pStyle w:val="79"/>
        <w:spacing w:before="156" w:after="156"/>
        <w:outlineLvl w:val="9"/>
        <w:rPr>
          <w:rFonts w:ascii="Times New Roman" w:eastAsia="宋体"/>
        </w:rPr>
      </w:pPr>
      <w:r>
        <w:rPr>
          <w:rFonts w:hint="eastAsia" w:ascii="宋体" w:hAnsi="宋体" w:eastAsia="宋体"/>
        </w:rPr>
        <w:t>进行钢筋桁架焊点的受剪承载力试验</w:t>
      </w:r>
      <w:r>
        <w:rPr>
          <w:rFonts w:ascii="Times New Roman" w:eastAsia="宋体"/>
        </w:rPr>
        <w:t>时，应在上弦钢筋和 2 根下弦钢筋各截取不少于 1 个受剪试件（图B.2），每个试件应含有不少于 1 个焊点。试件的腹杆钢筋长度不够时可接长，夹具之间的钢筋长度不应小于 20d 且不应小于100mm。试件的上、下弦钢筋应在距焊点约 100mm 处切断。受剪承载力应按三个试件的试验结果平均值计算。</w:t>
      </w:r>
    </w:p>
    <w:p>
      <w:pPr>
        <w:pStyle w:val="56"/>
        <w:ind w:firstLine="0" w:firstLineChars="0"/>
        <w:jc w:val="center"/>
      </w:pPr>
      <w:r>
        <w:drawing>
          <wp:inline distT="0" distB="0" distL="0" distR="0">
            <wp:extent cx="2486025" cy="1800225"/>
            <wp:effectExtent l="0" t="0" r="9525"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2486025" cy="1800225"/>
                    </a:xfrm>
                    <a:prstGeom prst="rect">
                      <a:avLst/>
                    </a:prstGeom>
                    <a:noFill/>
                  </pic:spPr>
                </pic:pic>
              </a:graphicData>
            </a:graphic>
          </wp:inline>
        </w:drawing>
      </w:r>
    </w:p>
    <w:p>
      <w:pPr>
        <w:pStyle w:val="83"/>
        <w:spacing w:before="156" w:after="156"/>
        <w:ind w:firstLine="0"/>
      </w:pPr>
      <w:r>
        <w:rPr>
          <w:rFonts w:hint="eastAsia"/>
        </w:rPr>
        <w:t>桁架钢筋抗剪试样</w:t>
      </w:r>
    </w:p>
    <w:p>
      <w:pPr>
        <w:pStyle w:val="83"/>
        <w:numPr>
          <w:ilvl w:val="0"/>
          <w:numId w:val="0"/>
        </w:numPr>
        <w:spacing w:before="156" w:after="156"/>
      </w:pPr>
      <w:r>
        <w:rPr>
          <w:rFonts w:hint="eastAsia"/>
        </w:rPr>
        <w:t>1—上弦钢筋/下弦钢筋；2—腹杆钢筋</w:t>
      </w:r>
    </w:p>
    <w:p>
      <w:pPr>
        <w:pStyle w:val="79"/>
        <w:spacing w:before="156" w:after="156"/>
        <w:outlineLvl w:val="9"/>
        <w:rPr>
          <w:rFonts w:ascii="宋体" w:hAnsi="宋体" w:eastAsia="宋体"/>
        </w:rPr>
      </w:pPr>
      <w:r>
        <w:rPr>
          <w:rFonts w:hint="eastAsia" w:ascii="宋体" w:hAnsi="宋体" w:eastAsia="宋体"/>
        </w:rPr>
        <w:t>钢筋桁架上、下弦钢</w:t>
      </w:r>
      <w:r>
        <w:rPr>
          <w:rFonts w:ascii="Times New Roman" w:eastAsia="宋体"/>
        </w:rPr>
        <w:t>筋的拉伸、弯曲试验应分别按现行国家标准《金属材料拉伸试验 第 1 部分：室温试验方法》GB/T 228.1和《金属材料 弯曲试验方法》GB/T 232 的规</w:t>
      </w:r>
      <w:r>
        <w:rPr>
          <w:rFonts w:hint="eastAsia" w:ascii="宋体" w:hAnsi="宋体" w:eastAsia="宋体"/>
        </w:rPr>
        <w:t xml:space="preserve">定进行。 </w:t>
      </w:r>
    </w:p>
    <w:p>
      <w:pPr>
        <w:pStyle w:val="79"/>
        <w:spacing w:before="156" w:after="156"/>
        <w:outlineLvl w:val="9"/>
        <w:rPr>
          <w:rFonts w:ascii="宋体" w:hAnsi="宋体" w:eastAsia="宋体"/>
        </w:rPr>
      </w:pPr>
      <w:r>
        <w:rPr>
          <w:rFonts w:hint="eastAsia" w:ascii="宋体" w:hAnsi="宋体" w:eastAsia="宋体"/>
        </w:rPr>
        <w:t xml:space="preserve">钢筋桁架焊点的受剪承载力试验应符合下列规定： </w:t>
      </w:r>
    </w:p>
    <w:p>
      <w:pPr>
        <w:pStyle w:val="174"/>
        <w:numPr>
          <w:ilvl w:val="0"/>
          <w:numId w:val="73"/>
        </w:numPr>
      </w:pPr>
      <w:r>
        <w:rPr>
          <w:rFonts w:hint="eastAsia"/>
        </w:rPr>
        <w:t xml:space="preserve">应采用专用夹具将上（下）弦钢筋固定在试验机上，并将腹杆钢筋夹持端固定在试验机夹头上，腹杆钢筋应能沿其轴线方向产生变形； </w:t>
      </w:r>
    </w:p>
    <w:p>
      <w:pPr>
        <w:pStyle w:val="174"/>
      </w:pPr>
      <w:r>
        <w:rPr>
          <w:rFonts w:hint="eastAsia"/>
        </w:rPr>
        <w:t>应沿腹杆钢筋轴向施加荷载。</w:t>
      </w: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sectPr>
          <w:pgSz w:w="11906" w:h="16838"/>
          <w:pgMar w:top="567" w:right="1134" w:bottom="1134" w:left="1134" w:header="1418" w:footer="1134" w:gutter="284"/>
          <w:cols w:space="425" w:num="1"/>
          <w:formProt w:val="0"/>
          <w:docGrid w:type="lines" w:linePitch="312" w:charSpace="0"/>
        </w:sectPr>
      </w:pPr>
    </w:p>
    <w:p>
      <w:pPr>
        <w:pStyle w:val="198"/>
        <w:rPr>
          <w:vanish w:val="0"/>
        </w:rPr>
      </w:pPr>
    </w:p>
    <w:p>
      <w:pPr>
        <w:pStyle w:val="199"/>
        <w:rPr>
          <w:vanish w:val="0"/>
        </w:rPr>
      </w:pPr>
    </w:p>
    <w:p>
      <w:pPr>
        <w:pStyle w:val="76"/>
        <w:spacing w:before="78" w:after="156"/>
      </w:pPr>
      <w:r>
        <w:br w:type="textWrapping"/>
      </w:r>
      <w:bookmarkStart w:id="115" w:name="_Toc69916899"/>
      <w:r>
        <w:rPr>
          <w:rFonts w:hint="eastAsia"/>
        </w:rPr>
        <w:t>（规范性）</w:t>
      </w:r>
      <w:r>
        <w:br w:type="textWrapping"/>
      </w:r>
      <w:r>
        <w:rPr>
          <w:rFonts w:hint="eastAsia"/>
        </w:rPr>
        <w:t>桁架预制板短暂工况验算</w:t>
      </w:r>
      <w:bookmarkEnd w:id="115"/>
    </w:p>
    <w:p>
      <w:pPr>
        <w:pStyle w:val="56"/>
        <w:ind w:firstLine="420"/>
      </w:pPr>
    </w:p>
    <w:p>
      <w:pPr>
        <w:pStyle w:val="79"/>
        <w:spacing w:before="156" w:after="156"/>
        <w:outlineLvl w:val="9"/>
        <w:rPr>
          <w:rFonts w:ascii="宋体" w:hAnsi="宋体" w:eastAsia="宋体"/>
        </w:rPr>
      </w:pPr>
      <w:r>
        <w:rPr>
          <w:rFonts w:hint="eastAsia" w:ascii="宋体" w:hAnsi="宋体" w:eastAsia="宋体"/>
        </w:rPr>
        <w:t xml:space="preserve">桁架预制板短暂设计状况包括脱模、运输、堆放、吊运和施工阶段。 </w:t>
      </w:r>
    </w:p>
    <w:p>
      <w:pPr>
        <w:pStyle w:val="79"/>
        <w:spacing w:before="156" w:after="156"/>
        <w:outlineLvl w:val="9"/>
        <w:rPr>
          <w:rFonts w:ascii="宋体" w:hAnsi="宋体" w:eastAsia="宋体"/>
        </w:rPr>
      </w:pPr>
      <w:r>
        <w:rPr>
          <w:rFonts w:hint="eastAsia" w:ascii="宋体" w:hAnsi="宋体" w:eastAsia="宋体"/>
        </w:rPr>
        <w:t xml:space="preserve">桁架预制板的短暂设计状况验算应采用荷载标准组合，其中施工阶段尚应考虑荷载效应的最不利组合。 </w:t>
      </w:r>
    </w:p>
    <w:p>
      <w:pPr>
        <w:pStyle w:val="79"/>
        <w:spacing w:before="156" w:after="156"/>
        <w:outlineLvl w:val="9"/>
        <w:rPr>
          <w:rFonts w:ascii="宋体" w:hAnsi="宋体" w:eastAsia="宋体"/>
        </w:rPr>
      </w:pPr>
      <w:r>
        <w:rPr>
          <w:rFonts w:hint="eastAsia" w:ascii="宋体" w:hAnsi="宋体" w:eastAsia="宋体"/>
        </w:rPr>
        <w:t>桁架预制板的短暂设计状况验算采用的等效荷载标准值，应符合下列规定：</w:t>
      </w:r>
    </w:p>
    <w:p>
      <w:pPr>
        <w:pStyle w:val="174"/>
        <w:numPr>
          <w:ilvl w:val="0"/>
          <w:numId w:val="74"/>
        </w:numPr>
        <w:rPr>
          <w:rFonts w:ascii="Times New Roman"/>
        </w:rPr>
      </w:pPr>
      <w:r>
        <w:rPr>
          <w:rFonts w:hint="eastAsia" w:hAnsi="宋体"/>
        </w:rPr>
        <w:t>脱模验算时，等效静力</w:t>
      </w:r>
      <w:r>
        <w:rPr>
          <w:rFonts w:ascii="Times New Roman"/>
        </w:rPr>
        <w:t>荷载标准值应取构件自重标准值乘以动力系数后与脱模吸附力之和，且不宜小于构件自重标准值的1.5倍；其中，动力系数不宜小于1.2；脱模吸附力应根据实际状况取用，且不宜小于1.5kN/m</w:t>
      </w:r>
      <w:r>
        <w:rPr>
          <w:rFonts w:ascii="Times New Roman"/>
          <w:vertAlign w:val="superscript"/>
        </w:rPr>
        <w:t>2</w:t>
      </w:r>
      <w:r>
        <w:rPr>
          <w:rFonts w:hint="eastAsia" w:ascii="Times New Roman"/>
        </w:rPr>
        <w:t>；</w:t>
      </w:r>
      <w:r>
        <w:rPr>
          <w:rFonts w:ascii="Times New Roman"/>
        </w:rPr>
        <w:t xml:space="preserve"> </w:t>
      </w:r>
    </w:p>
    <w:p>
      <w:pPr>
        <w:pStyle w:val="174"/>
        <w:rPr>
          <w:rFonts w:ascii="Times New Roman"/>
        </w:rPr>
      </w:pPr>
      <w:r>
        <w:rPr>
          <w:rFonts w:ascii="Times New Roman"/>
        </w:rPr>
        <w:t>运输和吊运验算时，等效静力荷载标准值应取构件自重标准值乘以动力系数，动力系数宜取1.5</w:t>
      </w:r>
      <w:r>
        <w:rPr>
          <w:rFonts w:hint="eastAsia" w:ascii="Times New Roman"/>
        </w:rPr>
        <w:t>；</w:t>
      </w:r>
    </w:p>
    <w:p>
      <w:pPr>
        <w:pStyle w:val="174"/>
        <w:rPr>
          <w:rFonts w:ascii="Times New Roman"/>
        </w:rPr>
      </w:pPr>
      <w:r>
        <w:rPr>
          <w:rFonts w:ascii="Times New Roman"/>
        </w:rPr>
        <w:t>施工验算时，等效静力荷载标准值应取构件自重标准值乘以动力系数，动力系数可取1.2。</w:t>
      </w:r>
    </w:p>
    <w:p>
      <w:pPr>
        <w:pStyle w:val="79"/>
        <w:spacing w:before="156" w:after="156"/>
        <w:outlineLvl w:val="9"/>
        <w:rPr>
          <w:rFonts w:ascii="宋体" w:hAnsi="宋体" w:eastAsia="宋体"/>
        </w:rPr>
      </w:pPr>
      <w:r>
        <w:rPr>
          <w:rFonts w:hint="eastAsia" w:ascii="宋体" w:hAnsi="宋体" w:eastAsia="宋体"/>
        </w:rPr>
        <w:t>桁架预制板的施工阶段验算，作用在桁架预制板上的施工活荷载标准值可按实际情况计算，且取值不宜小于</w:t>
      </w:r>
      <w:r>
        <w:rPr>
          <w:rFonts w:ascii="Times New Roman" w:eastAsia="宋体"/>
        </w:rPr>
        <w:t>1.5kN/m</w:t>
      </w:r>
      <w:r>
        <w:rPr>
          <w:rFonts w:ascii="Times New Roman" w:eastAsia="宋体"/>
          <w:vertAlign w:val="superscript"/>
        </w:rPr>
        <w:t>2</w:t>
      </w:r>
      <w:r>
        <w:rPr>
          <w:rFonts w:hint="eastAsia" w:ascii="宋体" w:hAnsi="宋体" w:eastAsia="宋体"/>
        </w:rPr>
        <w:t xml:space="preserve">。 </w:t>
      </w:r>
    </w:p>
    <w:p>
      <w:pPr>
        <w:pStyle w:val="79"/>
        <w:spacing w:before="156" w:after="156"/>
        <w:outlineLvl w:val="9"/>
        <w:rPr>
          <w:rFonts w:ascii="宋体" w:hAnsi="宋体" w:eastAsia="宋体"/>
        </w:rPr>
      </w:pPr>
      <w:r>
        <w:rPr>
          <w:rFonts w:hint="eastAsia" w:ascii="宋体" w:hAnsi="宋体" w:eastAsia="宋体"/>
        </w:rPr>
        <w:t xml:space="preserve">桁架预制板的短暂设计状况验算可采用弹性方法计算其内力和变形，并应符合下列规定： </w:t>
      </w:r>
    </w:p>
    <w:p>
      <w:pPr>
        <w:pStyle w:val="174"/>
        <w:numPr>
          <w:ilvl w:val="0"/>
          <w:numId w:val="75"/>
        </w:numPr>
        <w:rPr>
          <w:rFonts w:ascii="Times New Roman"/>
        </w:rPr>
      </w:pPr>
      <w:r>
        <w:rPr>
          <w:rFonts w:hint="eastAsia" w:hAnsi="宋体"/>
        </w:rPr>
        <w:t>可简化为以吊点</w:t>
      </w:r>
      <w:r>
        <w:rPr>
          <w:rFonts w:ascii="Times New Roman"/>
        </w:rPr>
        <w:t>或者临时支撑作为简支支座的单向带悬臂的简支梁或连续梁；</w:t>
      </w:r>
    </w:p>
    <w:p>
      <w:pPr>
        <w:pStyle w:val="174"/>
        <w:rPr>
          <w:rFonts w:ascii="Times New Roman"/>
        </w:rPr>
      </w:pPr>
      <w:r>
        <w:rPr>
          <w:rFonts w:ascii="Times New Roman"/>
        </w:rPr>
        <w:t>按照吊点所在位置将桁架预制板划分为若干板带，所有板带平均承担总荷载。脱膜、运输、吊运和堆放阶段分别计算平行桁架方向和垂直桁架方向的板带内力和变形；施工阶段计算平行桁架方向的内力和变形；</w:t>
      </w:r>
    </w:p>
    <w:p>
      <w:pPr>
        <w:pStyle w:val="174"/>
        <w:rPr>
          <w:rFonts w:ascii="Times New Roman"/>
        </w:rPr>
      </w:pPr>
      <w:r>
        <w:rPr>
          <w:rFonts w:ascii="Times New Roman"/>
        </w:rPr>
        <w:t>平行桁架方向，可将宽度不大于 3000mm 的桁架预制板作为 1个板带（图</w:t>
      </w:r>
      <w:bookmarkStart w:id="116" w:name="_Hlk69913719"/>
      <w:r>
        <w:rPr>
          <w:rFonts w:ascii="Times New Roman"/>
        </w:rPr>
        <w:t>C.1</w:t>
      </w:r>
      <w:bookmarkEnd w:id="116"/>
      <w:r>
        <w:rPr>
          <w:rFonts w:ascii="Times New Roman"/>
        </w:rPr>
        <w:t>a）；</w:t>
      </w:r>
    </w:p>
    <w:p>
      <w:pPr>
        <w:pStyle w:val="174"/>
        <w:rPr>
          <w:rFonts w:ascii="Times New Roman"/>
        </w:rPr>
      </w:pPr>
      <w:r>
        <w:rPr>
          <w:rFonts w:ascii="Times New Roman"/>
        </w:rPr>
        <w:t>垂直桁架方向，以垂直桁架方向的吊点连线为中心线，板带取中心线两侧一定范围内预制板（图C.1b），每侧板宽取到板边或者相邻两个中心线的中间位置，且板带宽度不应大于15</w:t>
      </w:r>
      <w:r>
        <w:rPr>
          <w:rFonts w:ascii="Times New Roman"/>
          <w:i/>
        </w:rPr>
        <w:t>h</w:t>
      </w:r>
      <w:r>
        <w:rPr>
          <w:rFonts w:ascii="Times New Roman"/>
          <w:vertAlign w:val="subscript"/>
        </w:rPr>
        <w:t>1</w:t>
      </w:r>
      <w:r>
        <w:rPr>
          <w:rFonts w:ascii="Times New Roman"/>
        </w:rPr>
        <w:t>（</w:t>
      </w:r>
      <w:r>
        <w:rPr>
          <w:rFonts w:ascii="Times New Roman"/>
          <w:i/>
        </w:rPr>
        <w:t>h</w:t>
      </w:r>
      <w:r>
        <w:rPr>
          <w:rFonts w:ascii="Times New Roman"/>
          <w:vertAlign w:val="subscript"/>
        </w:rPr>
        <w:t>1</w:t>
      </w:r>
      <w:r>
        <w:rPr>
          <w:rFonts w:ascii="Times New Roman"/>
        </w:rPr>
        <w:t>为桁架预制板厚度）。</w:t>
      </w:r>
    </w:p>
    <w:p>
      <w:pPr>
        <w:pStyle w:val="56"/>
        <w:ind w:firstLine="0" w:firstLineChars="0"/>
        <w:jc w:val="center"/>
      </w:pPr>
      <w:r>
        <w:drawing>
          <wp:inline distT="0" distB="0" distL="0" distR="0">
            <wp:extent cx="5276215" cy="1419225"/>
            <wp:effectExtent l="0" t="0" r="635"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5276215" cy="1419225"/>
                    </a:xfrm>
                    <a:prstGeom prst="rect">
                      <a:avLst/>
                    </a:prstGeom>
                    <a:noFill/>
                  </pic:spPr>
                </pic:pic>
              </a:graphicData>
            </a:graphic>
          </wp:inline>
        </w:drawing>
      </w:r>
    </w:p>
    <w:p>
      <w:pPr>
        <w:pStyle w:val="56"/>
        <w:ind w:firstLine="1680" w:firstLineChars="800"/>
        <w:rPr>
          <w:rFonts w:ascii="黑体" w:hAnsi="黑体" w:eastAsia="黑体"/>
        </w:rPr>
      </w:pPr>
      <w:r>
        <w:rPr>
          <w:rFonts w:hint="eastAsia" w:ascii="黑体" w:hAnsi="黑体" w:eastAsia="黑体"/>
        </w:rPr>
        <w:t xml:space="preserve">（a）平行桁架方向                   </w:t>
      </w:r>
      <w:r>
        <w:rPr>
          <w:rFonts w:ascii="黑体" w:hAnsi="黑体" w:eastAsia="黑体"/>
        </w:rPr>
        <w:t xml:space="preserve"> </w:t>
      </w:r>
      <w:r>
        <w:rPr>
          <w:rFonts w:hint="eastAsia" w:ascii="黑体" w:hAnsi="黑体" w:eastAsia="黑体"/>
        </w:rPr>
        <w:t>（b）垂直桁架方向</w:t>
      </w:r>
    </w:p>
    <w:p>
      <w:pPr>
        <w:pStyle w:val="83"/>
        <w:spacing w:before="156" w:after="156"/>
        <w:ind w:firstLine="0"/>
        <w:rPr>
          <w:rFonts w:hAnsi="黑体"/>
        </w:rPr>
      </w:pPr>
      <w:r>
        <w:rPr>
          <w:rFonts w:hint="eastAsia" w:hAnsi="黑体"/>
        </w:rPr>
        <w:t>桁架预制板板带划分示意</w:t>
      </w:r>
    </w:p>
    <w:p>
      <w:pPr>
        <w:pStyle w:val="83"/>
        <w:numPr>
          <w:ilvl w:val="0"/>
          <w:numId w:val="76"/>
        </w:numPr>
        <w:spacing w:before="156" w:after="156"/>
        <w:ind w:left="0" w:firstLine="0"/>
        <w:rPr>
          <w:rFonts w:hAnsi="黑体"/>
        </w:rPr>
      </w:pPr>
      <w:r>
        <w:rPr>
          <w:rFonts w:hint="eastAsia" w:hAnsi="黑体"/>
        </w:rPr>
        <w:t>吊点；2—钢筋桁架；3—板带；4—中心线</w:t>
      </w:r>
    </w:p>
    <w:p>
      <w:pPr>
        <w:pStyle w:val="79"/>
        <w:spacing w:before="156" w:after="156"/>
        <w:outlineLvl w:val="9"/>
        <w:rPr>
          <w:rFonts w:ascii="宋体" w:hAnsi="宋体" w:eastAsia="宋体"/>
        </w:rPr>
      </w:pPr>
      <w:r>
        <w:rPr>
          <w:rFonts w:hint="eastAsia" w:ascii="宋体" w:hAnsi="宋体" w:eastAsia="宋体"/>
        </w:rPr>
        <w:t>施工阶段桁架预制板下方设置的临时支撑的位置及间距应根据验算确定，施工阶段相邻临时支撑之间桁架预制板的挠度不宜大于支撑间距的</w:t>
      </w:r>
      <w:r>
        <w:rPr>
          <w:rFonts w:ascii="Times New Roman" w:eastAsia="宋体"/>
        </w:rPr>
        <w:t>1/400</w:t>
      </w:r>
      <w:r>
        <w:rPr>
          <w:rFonts w:hint="eastAsia" w:ascii="宋体" w:hAnsi="宋体" w:eastAsia="宋体"/>
        </w:rPr>
        <w:t xml:space="preserve">。 </w:t>
      </w:r>
    </w:p>
    <w:p>
      <w:pPr>
        <w:pStyle w:val="79"/>
        <w:spacing w:before="156" w:after="156"/>
        <w:outlineLvl w:val="9"/>
        <w:rPr>
          <w:rFonts w:ascii="宋体" w:hAnsi="宋体" w:eastAsia="宋体"/>
        </w:rPr>
      </w:pPr>
      <w:r>
        <w:rPr>
          <w:rFonts w:hint="eastAsia" w:ascii="宋体" w:hAnsi="宋体" w:eastAsia="宋体"/>
        </w:rPr>
        <w:t xml:space="preserve">截面验算时，平行桁架方向宜按钢筋桁架与混凝土板组成的等效组合截面计算，垂直桁架方向按照混凝土板截面计算。 </w:t>
      </w:r>
    </w:p>
    <w:p>
      <w:pPr>
        <w:pStyle w:val="79"/>
        <w:spacing w:before="156" w:after="156"/>
        <w:outlineLvl w:val="9"/>
        <w:rPr>
          <w:rFonts w:ascii="宋体" w:hAnsi="宋体" w:eastAsia="宋体"/>
        </w:rPr>
      </w:pPr>
      <w:r>
        <w:rPr>
          <w:rFonts w:hint="eastAsia" w:ascii="宋体" w:hAnsi="宋体" w:eastAsia="宋体"/>
        </w:rPr>
        <w:t>正截面混凝土受压应力应符合下列规定：</w:t>
      </w:r>
    </w:p>
    <w:p>
      <w:pPr>
        <w:pStyle w:val="113"/>
      </w:pPr>
      <w:r>
        <w:tab/>
      </w:r>
      <m:oMath>
        <m:sSub>
          <w:bookmarkStart w:id="117" w:name="_Hlk69915277"/>
          <m:sSubPr>
            <m:ctrlPr>
              <w:rPr>
                <w:rFonts w:ascii="Cambria Math" w:hAnsi="Cambria Math"/>
                <w:i/>
              </w:rPr>
            </m:ctrlPr>
          </m:sSubPr>
          <m:e>
            <m:r>
              <m:rPr/>
              <w:rPr>
                <w:rFonts w:ascii="Cambria Math" w:hAnsi="Cambria Math"/>
              </w:rPr>
              <m:t>σ</m:t>
            </m:r>
            <m:ctrlPr>
              <w:rPr>
                <w:rFonts w:ascii="Cambria Math" w:hAnsi="Cambria Math"/>
                <w:i/>
              </w:rPr>
            </m:ctrlPr>
          </m:e>
          <m:sub>
            <m:r>
              <m:rPr/>
              <w:rPr>
                <w:rFonts w:hint="eastAsia" w:ascii="Cambria Math" w:hAnsi="Cambria Math"/>
              </w:rPr>
              <m:t>cc</m:t>
            </m:r>
            <m:ctrlPr>
              <w:rPr>
                <w:rFonts w:ascii="Cambria Math" w:hAnsi="Cambria Math"/>
                <w:i/>
              </w:rPr>
            </m:ctrlPr>
          </m:sub>
        </m:sSub>
        <m:r>
          <m:rPr/>
          <w:rPr>
            <w:rFonts w:hint="eastAsia"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M</m:t>
                </m:r>
                <m:ctrlPr>
                  <w:rPr>
                    <w:rFonts w:ascii="Cambria Math" w:hAnsi="Cambria Math"/>
                    <w:i/>
                  </w:rPr>
                </m:ctrlPr>
              </m:e>
              <m:sub>
                <m:r>
                  <m:rPr/>
                  <w:rPr>
                    <w:rFonts w:hint="eastAsia" w:ascii="Cambria Math" w:hAnsi="Cambria Math"/>
                  </w:rPr>
                  <m:t>k</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W</m:t>
                </m:r>
                <m:ctrlPr>
                  <w:rPr>
                    <w:rFonts w:ascii="Cambria Math" w:hAnsi="Cambria Math"/>
                    <w:i/>
                  </w:rPr>
                </m:ctrlPr>
              </m:e>
              <m:sub>
                <m:r>
                  <m:rPr/>
                  <w:rPr>
                    <w:rFonts w:ascii="Cambria Math" w:hAnsi="Cambria Math"/>
                  </w:rPr>
                  <m:t>c</m:t>
                </m:r>
                <m:r>
                  <m:rPr/>
                  <w:rPr>
                    <w:rFonts w:hint="eastAsia" w:ascii="Cambria Math" w:hAnsi="Cambria Math"/>
                  </w:rPr>
                  <m:t>c</m:t>
                </m:r>
                <m:ctrlPr>
                  <w:rPr>
                    <w:rFonts w:ascii="Cambria Math" w:hAnsi="Cambria Math"/>
                    <w:i/>
                  </w:rPr>
                </m:ctrlPr>
              </m:sub>
            </m:sSub>
            <m:ctrlPr>
              <w:rPr>
                <w:rFonts w:ascii="Cambria Math" w:hAnsi="Cambria Math"/>
                <w:i/>
              </w:rPr>
            </m:ctrlPr>
          </m:den>
        </m:f>
        <m:r>
          <m:rPr/>
          <w:rPr>
            <w:rFonts w:hint="eastAsia" w:ascii="Cambria Math" w:hAnsi="Cambria Math"/>
          </w:rPr>
          <m:t>≤</m:t>
        </m:r>
        <m:r>
          <m:rPr/>
          <w:rPr>
            <w:rFonts w:ascii="Cambria Math" w:hAnsi="Cambria Math"/>
          </w:rPr>
          <m:t>0.8</m:t>
        </m:r>
        <m:sSubSup>
          <m:sSubSupPr>
            <m:ctrlPr>
              <w:rPr>
                <w:rFonts w:ascii="Cambria Math" w:hAnsi="Cambria Math"/>
                <w:i/>
              </w:rPr>
            </m:ctrlPr>
          </m:sSubSupPr>
          <m:e>
            <m:r>
              <m:rPr/>
              <w:rPr>
                <w:rFonts w:hint="eastAsia" w:ascii="Cambria Math" w:hAnsi="Cambria Math"/>
              </w:rPr>
              <m:t>f</m:t>
            </m:r>
            <m:ctrlPr>
              <w:rPr>
                <w:rFonts w:ascii="Cambria Math" w:hAnsi="Cambria Math"/>
                <w:i/>
              </w:rPr>
            </m:ctrlPr>
          </m:e>
          <m:sub>
            <m:r>
              <m:rPr/>
              <w:rPr>
                <w:rFonts w:hint="eastAsia" w:ascii="Cambria Math" w:hAnsi="Cambria Math"/>
              </w:rPr>
              <m:t>ck</m:t>
            </m:r>
            <m:ctrlPr>
              <w:rPr>
                <w:rFonts w:ascii="Cambria Math" w:hAnsi="Cambria Math"/>
                <w:i/>
              </w:rPr>
            </m:ctrlPr>
          </m:sub>
          <m:sup>
            <m:r>
              <m:rPr/>
              <w:rPr>
                <w:rFonts w:hint="eastAsia" w:ascii="Cambria Math" w:hAnsi="Cambria Math"/>
              </w:rPr>
              <m:t>＇</m:t>
            </m:r>
            <m:ctrlPr>
              <w:rPr>
                <w:rFonts w:ascii="Cambria Math" w:hAnsi="Cambria Math"/>
                <w:i/>
              </w:rPr>
            </m:ctrlPr>
          </m:sup>
        </m:sSubSup>
      </m:oMath>
      <w:r>
        <w:rPr>
          <w:rFonts w:ascii="微软雅黑" w:hAnsi="微软雅黑" w:eastAsia="微软雅黑"/>
        </w:rPr>
        <w:tab/>
      </w:r>
      <w:r>
        <w:t>(C.</w:t>
      </w:r>
      <w:r>
        <w:fldChar w:fldCharType="begin"/>
      </w:r>
      <w:r>
        <w:instrText xml:space="preserve"> seq fulu_equation_132634668249371941 </w:instrText>
      </w:r>
      <w:r>
        <w:fldChar w:fldCharType="separate"/>
      </w:r>
      <w:r>
        <w:t>1</w:t>
      </w:r>
      <w:r>
        <w:fldChar w:fldCharType="end"/>
      </w:r>
      <w:r>
        <w:t>)</w:t>
      </w:r>
    </w:p>
    <w:bookmarkEnd w:id="117"/>
    <w:p>
      <w:pPr>
        <w:pStyle w:val="55"/>
        <w:ind w:firstLine="420"/>
      </w:pPr>
      <w:r>
        <w:rPr>
          <w:rFonts w:hint="eastAsia"/>
        </w:rPr>
        <w:t>式中：</w:t>
      </w:r>
    </w:p>
    <w:tbl>
      <w:tblPr>
        <w:tblStyle w:val="26"/>
        <w:tblW w:w="7881" w:type="dxa"/>
        <w:jc w:val="center"/>
        <w:tblLayout w:type="fixed"/>
        <w:tblCellMar>
          <w:top w:w="0" w:type="dxa"/>
          <w:left w:w="0" w:type="dxa"/>
          <w:bottom w:w="0" w:type="dxa"/>
          <w:right w:w="0" w:type="dxa"/>
        </w:tblCellMar>
      </w:tblPr>
      <w:tblGrid>
        <w:gridCol w:w="982"/>
        <w:gridCol w:w="6899"/>
      </w:tblGrid>
      <w:tr>
        <w:tblPrEx>
          <w:tblCellMar>
            <w:top w:w="0" w:type="dxa"/>
            <w:left w:w="0" w:type="dxa"/>
            <w:bottom w:w="0" w:type="dxa"/>
            <w:right w:w="0" w:type="dxa"/>
          </w:tblCellMar>
        </w:tblPrEx>
        <w:trPr>
          <w:trHeight w:val="473" w:hRule="atLeast"/>
          <w:jc w:val="center"/>
        </w:trPr>
        <w:tc>
          <w:tcPr>
            <w:tcW w:w="982" w:type="dxa"/>
            <w:tcBorders>
              <w:top w:val="nil"/>
              <w:left w:val="nil"/>
              <w:bottom w:val="nil"/>
              <w:right w:val="nil"/>
            </w:tcBorders>
          </w:tcPr>
          <w:p>
            <w:pPr>
              <w:autoSpaceDE w:val="0"/>
              <w:autoSpaceDN w:val="0"/>
              <w:spacing w:line="360" w:lineRule="auto"/>
              <w:jc w:val="right"/>
              <w:rPr>
                <w:rFonts w:ascii="Times New Roman" w:hAnsi="Times New Roman"/>
                <w:kern w:val="0"/>
              </w:rPr>
            </w:pPr>
            <w:r>
              <w:rPr>
                <w:rFonts w:ascii="Times New Roman" w:hAnsi="Times New Roman"/>
                <w:i/>
              </w:rPr>
              <w:t>σ</w:t>
            </w:r>
            <w:r>
              <w:rPr>
                <w:rFonts w:ascii="Times New Roman" w:hAnsi="Times New Roman"/>
                <w:vertAlign w:val="subscript"/>
              </w:rPr>
              <w:t>cc</w:t>
            </w:r>
          </w:p>
        </w:tc>
        <w:tc>
          <w:tcPr>
            <w:tcW w:w="6899" w:type="dxa"/>
            <w:tcBorders>
              <w:top w:val="nil"/>
              <w:left w:val="nil"/>
              <w:bottom w:val="nil"/>
              <w:right w:val="nil"/>
            </w:tcBorders>
            <w:vAlign w:val="center"/>
          </w:tcPr>
          <w:p>
            <w:pPr>
              <w:autoSpaceDE w:val="0"/>
              <w:autoSpaceDN w:val="0"/>
              <w:spacing w:line="360" w:lineRule="auto"/>
              <w:ind w:left="420" w:hanging="420" w:hangingChars="200"/>
              <w:jc w:val="left"/>
              <w:rPr>
                <w:rFonts w:ascii="Times New Roman" w:hAnsi="Times New Roman"/>
                <w:kern w:val="0"/>
                <w:position w:val="2"/>
              </w:rPr>
            </w:pPr>
            <w:r>
              <w:rPr>
                <w:rFonts w:ascii="Times New Roman" w:hAnsi="Times New Roman"/>
                <w:kern w:val="0"/>
              </w:rPr>
              <w:t>——</w:t>
            </w:r>
            <w:r>
              <w:rPr>
                <w:rFonts w:ascii="宋体" w:hAnsi="宋体"/>
                <w:kern w:val="0"/>
              </w:rPr>
              <w:t>各短暂</w:t>
            </w:r>
            <w:r>
              <w:rPr>
                <w:rFonts w:ascii="Times New Roman" w:hAnsi="Times New Roman"/>
                <w:bCs/>
                <w:color w:val="000000"/>
              </w:rPr>
              <w:t>设计状况下在荷载标准组合作用下产生的构件正截面边缘混凝土压应力；</w:t>
            </w:r>
          </w:p>
        </w:tc>
      </w:tr>
      <w:tr>
        <w:tblPrEx>
          <w:tblCellMar>
            <w:top w:w="0" w:type="dxa"/>
            <w:left w:w="0" w:type="dxa"/>
            <w:bottom w:w="0" w:type="dxa"/>
            <w:right w:w="0" w:type="dxa"/>
          </w:tblCellMar>
        </w:tblPrEx>
        <w:trPr>
          <w:trHeight w:val="494" w:hRule="atLeast"/>
          <w:jc w:val="center"/>
        </w:trPr>
        <w:tc>
          <w:tcPr>
            <w:tcW w:w="982" w:type="dxa"/>
            <w:tcBorders>
              <w:top w:val="nil"/>
              <w:left w:val="nil"/>
              <w:bottom w:val="nil"/>
              <w:right w:val="nil"/>
            </w:tcBorders>
          </w:tcPr>
          <w:p>
            <w:pPr>
              <w:autoSpaceDE w:val="0"/>
              <w:autoSpaceDN w:val="0"/>
              <w:spacing w:line="360" w:lineRule="auto"/>
              <w:jc w:val="right"/>
              <w:rPr>
                <w:rFonts w:ascii="Times New Roman" w:hAnsi="Times New Roman"/>
                <w:kern w:val="0"/>
              </w:rPr>
            </w:pPr>
            <w:r>
              <w:rPr>
                <w:rFonts w:ascii="Times New Roman" w:hAnsi="Times New Roman"/>
                <w:i/>
              </w:rPr>
              <w:t>W</w:t>
            </w:r>
            <w:r>
              <w:rPr>
                <w:rFonts w:ascii="Times New Roman" w:hAnsi="Times New Roman"/>
                <w:vertAlign w:val="subscript"/>
              </w:rPr>
              <w:t>cc</w:t>
            </w:r>
          </w:p>
        </w:tc>
        <w:tc>
          <w:tcPr>
            <w:tcW w:w="6899" w:type="dxa"/>
            <w:tcBorders>
              <w:top w:val="nil"/>
              <w:left w:val="nil"/>
              <w:bottom w:val="nil"/>
              <w:right w:val="nil"/>
            </w:tcBorders>
          </w:tcPr>
          <w:p>
            <w:pPr>
              <w:autoSpaceDE w:val="0"/>
              <w:autoSpaceDN w:val="0"/>
              <w:spacing w:line="360" w:lineRule="auto"/>
              <w:jc w:val="left"/>
              <w:rPr>
                <w:rFonts w:ascii="Times New Roman" w:hAnsi="Times New Roman"/>
                <w:kern w:val="0"/>
              </w:rPr>
            </w:pPr>
            <w:r>
              <w:rPr>
                <w:rFonts w:ascii="Times New Roman" w:hAnsi="Times New Roman"/>
                <w:kern w:val="0"/>
              </w:rPr>
              <w:t>——</w:t>
            </w:r>
            <w:r>
              <w:rPr>
                <w:rFonts w:ascii="Times New Roman" w:hAnsi="Times New Roman"/>
                <w:bCs/>
                <w:color w:val="000000"/>
              </w:rPr>
              <w:t>截面混凝土受压边缘弹性抵抗矩</w:t>
            </w:r>
            <w:r>
              <w:rPr>
                <w:rFonts w:ascii="Times New Roman" w:hAnsi="Times New Roman"/>
                <w:kern w:val="0"/>
              </w:rPr>
              <w:t>；</w:t>
            </w:r>
          </w:p>
        </w:tc>
      </w:tr>
      <w:tr>
        <w:tblPrEx>
          <w:tblCellMar>
            <w:top w:w="0" w:type="dxa"/>
            <w:left w:w="0" w:type="dxa"/>
            <w:bottom w:w="0" w:type="dxa"/>
            <w:right w:w="0" w:type="dxa"/>
          </w:tblCellMar>
        </w:tblPrEx>
        <w:trPr>
          <w:trHeight w:val="494" w:hRule="atLeast"/>
          <w:jc w:val="center"/>
        </w:trPr>
        <w:tc>
          <w:tcPr>
            <w:tcW w:w="982" w:type="dxa"/>
            <w:tcBorders>
              <w:top w:val="nil"/>
              <w:left w:val="nil"/>
              <w:bottom w:val="nil"/>
              <w:right w:val="nil"/>
            </w:tcBorders>
          </w:tcPr>
          <w:p>
            <w:pPr>
              <w:autoSpaceDE w:val="0"/>
              <w:autoSpaceDN w:val="0"/>
              <w:spacing w:line="360" w:lineRule="auto"/>
              <w:jc w:val="right"/>
              <w:rPr>
                <w:rFonts w:ascii="Times New Roman" w:hAnsi="Times New Roman"/>
                <w:spacing w:val="-7"/>
                <w:kern w:val="0"/>
              </w:rPr>
            </w:pPr>
            <w:r>
              <w:rPr>
                <w:rFonts w:ascii="Times New Roman" w:hAnsi="Times New Roman"/>
                <w:i/>
              </w:rPr>
              <w:t>M</w:t>
            </w:r>
            <w:r>
              <w:rPr>
                <w:rFonts w:ascii="Times New Roman" w:hAnsi="Times New Roman"/>
                <w:vertAlign w:val="subscript"/>
              </w:rPr>
              <w:t>k</w:t>
            </w:r>
          </w:p>
        </w:tc>
        <w:tc>
          <w:tcPr>
            <w:tcW w:w="6899" w:type="dxa"/>
            <w:tcBorders>
              <w:top w:val="nil"/>
              <w:left w:val="nil"/>
              <w:bottom w:val="nil"/>
              <w:right w:val="nil"/>
            </w:tcBorders>
          </w:tcPr>
          <w:p>
            <w:pPr>
              <w:autoSpaceDE w:val="0"/>
              <w:autoSpaceDN w:val="0"/>
              <w:spacing w:line="360" w:lineRule="auto"/>
              <w:ind w:left="420" w:hanging="420" w:hangingChars="200"/>
              <w:jc w:val="left"/>
              <w:rPr>
                <w:rFonts w:ascii="Times New Roman" w:hAnsi="Times New Roman"/>
                <w:kern w:val="0"/>
              </w:rPr>
            </w:pPr>
            <w:r>
              <w:rPr>
                <w:rFonts w:ascii="Times New Roman" w:hAnsi="Times New Roman"/>
                <w:kern w:val="0"/>
              </w:rPr>
              <w:t>——</w:t>
            </w:r>
            <w:r>
              <w:rPr>
                <w:rFonts w:ascii="Times New Roman" w:hAnsi="Times New Roman"/>
                <w:bCs/>
                <w:color w:val="000000"/>
              </w:rPr>
              <w:t>各短暂设计状况下在荷载标准组合作用下等效组合截面弯矩标准值</w:t>
            </w:r>
            <w:r>
              <w:rPr>
                <w:rFonts w:ascii="Times New Roman" w:hAnsi="Times New Roman"/>
                <w:kern w:val="0"/>
              </w:rPr>
              <w:t>；</w:t>
            </w:r>
          </w:p>
        </w:tc>
      </w:tr>
      <w:tr>
        <w:tblPrEx>
          <w:tblCellMar>
            <w:top w:w="0" w:type="dxa"/>
            <w:left w:w="0" w:type="dxa"/>
            <w:bottom w:w="0" w:type="dxa"/>
            <w:right w:w="0" w:type="dxa"/>
          </w:tblCellMar>
        </w:tblPrEx>
        <w:trPr>
          <w:trHeight w:val="494" w:hRule="atLeast"/>
          <w:jc w:val="center"/>
        </w:trPr>
        <w:tc>
          <w:tcPr>
            <w:tcW w:w="982" w:type="dxa"/>
            <w:tcBorders>
              <w:top w:val="nil"/>
              <w:left w:val="nil"/>
              <w:bottom w:val="nil"/>
              <w:right w:val="nil"/>
            </w:tcBorders>
          </w:tcPr>
          <w:p>
            <w:pPr>
              <w:autoSpaceDE w:val="0"/>
              <w:autoSpaceDN w:val="0"/>
              <w:spacing w:line="360" w:lineRule="auto"/>
              <w:jc w:val="right"/>
              <w:rPr>
                <w:rFonts w:ascii="Times New Roman" w:hAnsi="Times New Roman"/>
                <w:spacing w:val="-7"/>
                <w:kern w:val="0"/>
              </w:rPr>
            </w:pPr>
            <w:r>
              <w:rPr>
                <w:rFonts w:hint="eastAsia" w:ascii="Times New Roman" w:hAnsi="Times New Roman"/>
                <w:i/>
                <w:spacing w:val="-7"/>
                <w:kern w:val="0"/>
              </w:rPr>
              <w:t>f</w:t>
            </w:r>
            <w:r>
              <w:rPr>
                <w:rFonts w:ascii="Times New Roman" w:hAnsi="Times New Roman"/>
                <w:spacing w:val="-7"/>
                <w:kern w:val="0"/>
                <w:vertAlign w:val="subscript"/>
              </w:rPr>
              <w:t>ck</w:t>
            </w:r>
            <w:r>
              <w:rPr>
                <w:rFonts w:ascii="Times New Roman" w:hAnsi="Times New Roman"/>
                <w:spacing w:val="-7"/>
                <w:kern w:val="0"/>
                <w:vertAlign w:val="superscript"/>
              </w:rPr>
              <w:t>’</w:t>
            </w:r>
          </w:p>
        </w:tc>
        <w:tc>
          <w:tcPr>
            <w:tcW w:w="6899" w:type="dxa"/>
            <w:tcBorders>
              <w:top w:val="nil"/>
              <w:left w:val="nil"/>
              <w:bottom w:val="nil"/>
              <w:right w:val="nil"/>
            </w:tcBorders>
            <w:vAlign w:val="bottom"/>
          </w:tcPr>
          <w:p>
            <w:pPr>
              <w:snapToGrid w:val="0"/>
              <w:spacing w:before="62" w:beforeLines="20" w:line="360" w:lineRule="auto"/>
              <w:rPr>
                <w:rFonts w:ascii="Times New Roman" w:hAnsi="Times New Roman"/>
                <w:kern w:val="0"/>
              </w:rPr>
            </w:pPr>
            <w:r>
              <w:rPr>
                <w:rFonts w:ascii="Times New Roman" w:hAnsi="Times New Roman"/>
                <w:kern w:val="0"/>
              </w:rPr>
              <w:t>——</w:t>
            </w:r>
            <w:r>
              <w:rPr>
                <w:rFonts w:ascii="Times New Roman" w:hAnsi="Times New Roman"/>
                <w:bCs/>
                <w:color w:val="000000"/>
              </w:rPr>
              <w:t xml:space="preserve">与各短暂设计状况下的混凝土立方体抗压强度相应的抗压强度标准值，按国家标准《混凝土结构设计规范》GB 50010–2010 </w:t>
            </w:r>
            <w:r>
              <w:rPr>
                <w:rFonts w:ascii="宋体" w:hAnsi="宋体"/>
                <w:bCs/>
                <w:color w:val="000000"/>
              </w:rPr>
              <w:t xml:space="preserve">表 </w:t>
            </w:r>
            <w:r>
              <w:rPr>
                <w:rFonts w:ascii="Times New Roman" w:hAnsi="Times New Roman"/>
                <w:bCs/>
                <w:color w:val="000000"/>
              </w:rPr>
              <w:t xml:space="preserve">4.1.3 </w:t>
            </w:r>
            <w:r>
              <w:rPr>
                <w:rFonts w:ascii="宋体" w:hAnsi="宋体"/>
                <w:bCs/>
                <w:color w:val="000000"/>
              </w:rPr>
              <w:t>以线性内插法确定。</w:t>
            </w:r>
          </w:p>
        </w:tc>
      </w:tr>
    </w:tbl>
    <w:p>
      <w:pPr>
        <w:pStyle w:val="79"/>
        <w:spacing w:before="156" w:after="156"/>
        <w:outlineLvl w:val="9"/>
        <w:rPr>
          <w:rFonts w:ascii="宋体" w:hAnsi="宋体" w:eastAsia="宋体"/>
        </w:rPr>
      </w:pPr>
      <w:bookmarkStart w:id="118" w:name="_Hlk69915897"/>
      <w:r>
        <w:rPr>
          <w:rFonts w:hint="eastAsia" w:ascii="宋体" w:hAnsi="宋体" w:eastAsia="宋体"/>
        </w:rPr>
        <w:t>正截面混凝土受压应力应符合下列规定：</w:t>
      </w:r>
    </w:p>
    <w:bookmarkEnd w:id="118"/>
    <w:p>
      <w:pPr>
        <w:pStyle w:val="113"/>
      </w:pPr>
      <w:r>
        <w:tab/>
      </w:r>
      <w:bookmarkStart w:id="119" w:name="_Hlk69916032"/>
      <m:oMath>
        <m:sSub>
          <m:sSubPr>
            <m:ctrlPr>
              <w:rPr>
                <w:rFonts w:ascii="Cambria Math" w:hAnsi="Cambria Math"/>
                <w:i/>
              </w:rPr>
            </m:ctrlPr>
          </m:sSubPr>
          <m:e>
            <m:r>
              <m:rPr/>
              <w:rPr>
                <w:rFonts w:ascii="Cambria Math" w:hAnsi="Cambria Math"/>
              </w:rPr>
              <m:t>σ</m:t>
            </m:r>
            <m:ctrlPr>
              <w:rPr>
                <w:rFonts w:ascii="Cambria Math" w:hAnsi="Cambria Math"/>
                <w:i/>
              </w:rPr>
            </m:ctrlPr>
          </m:e>
          <m:sub>
            <m:r>
              <m:rPr/>
              <w:rPr>
                <w:rFonts w:hint="eastAsia" w:ascii="Cambria Math" w:hAnsi="Cambria Math"/>
              </w:rPr>
              <m:t>ct</m:t>
            </m:r>
            <m:ctrlPr>
              <w:rPr>
                <w:rFonts w:ascii="Cambria Math" w:hAnsi="Cambria Math"/>
                <w:i/>
              </w:rPr>
            </m:ctrlPr>
          </m:sub>
        </m:sSub>
        <m:r>
          <m:rPr/>
          <w:rPr>
            <w:rFonts w:hint="eastAsia"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M</m:t>
                </m:r>
                <m:ctrlPr>
                  <w:rPr>
                    <w:rFonts w:ascii="Cambria Math" w:hAnsi="Cambria Math"/>
                    <w:i/>
                  </w:rPr>
                </m:ctrlPr>
              </m:e>
              <m:sub>
                <m:r>
                  <m:rPr/>
                  <w:rPr>
                    <w:rFonts w:hint="eastAsia" w:ascii="Cambria Math" w:hAnsi="Cambria Math"/>
                  </w:rPr>
                  <m:t>k</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W</m:t>
                </m:r>
                <m:ctrlPr>
                  <w:rPr>
                    <w:rFonts w:ascii="Cambria Math" w:hAnsi="Cambria Math"/>
                    <w:i/>
                  </w:rPr>
                </m:ctrlPr>
              </m:e>
              <m:sub>
                <m:r>
                  <m:rPr/>
                  <w:rPr>
                    <w:rFonts w:ascii="Cambria Math" w:hAnsi="Cambria Math"/>
                  </w:rPr>
                  <m:t>ct</m:t>
                </m:r>
                <m:ctrlPr>
                  <w:rPr>
                    <w:rFonts w:ascii="Cambria Math" w:hAnsi="Cambria Math"/>
                    <w:i/>
                  </w:rPr>
                </m:ctrlPr>
              </m:sub>
            </m:sSub>
            <m:ctrlPr>
              <w:rPr>
                <w:rFonts w:ascii="Cambria Math" w:hAnsi="Cambria Math"/>
                <w:i/>
              </w:rPr>
            </m:ctrlPr>
          </m:den>
        </m:f>
        <m:r>
          <m:rPr/>
          <w:rPr>
            <w:rFonts w:hint="eastAsia" w:ascii="Cambria Math" w:hAnsi="Cambria Math"/>
          </w:rPr>
          <m:t>≤</m:t>
        </m:r>
        <m:r>
          <m:rPr/>
          <w:rPr>
            <w:rFonts w:ascii="Cambria Math" w:hAnsi="Cambria Math"/>
          </w:rPr>
          <m:t>1.0</m:t>
        </m:r>
        <m:sSubSup>
          <m:sSubSupPr>
            <m:ctrlPr>
              <w:rPr>
                <w:rFonts w:ascii="Cambria Math" w:hAnsi="Cambria Math"/>
                <w:i/>
              </w:rPr>
            </m:ctrlPr>
          </m:sSubSupPr>
          <m:e>
            <m:r>
              <m:rPr/>
              <w:rPr>
                <w:rFonts w:hint="eastAsia" w:ascii="Cambria Math" w:hAnsi="Cambria Math"/>
              </w:rPr>
              <m:t>f</m:t>
            </m:r>
            <m:ctrlPr>
              <w:rPr>
                <w:rFonts w:ascii="Cambria Math" w:hAnsi="Cambria Math"/>
                <w:i/>
              </w:rPr>
            </m:ctrlPr>
          </m:e>
          <m:sub>
            <m:r>
              <m:rPr/>
              <w:rPr>
                <w:rFonts w:hint="eastAsia" w:ascii="Cambria Math" w:hAnsi="Cambria Math"/>
              </w:rPr>
              <m:t>tk</m:t>
            </m:r>
            <m:ctrlPr>
              <w:rPr>
                <w:rFonts w:ascii="Cambria Math" w:hAnsi="Cambria Math"/>
                <w:i/>
              </w:rPr>
            </m:ctrlPr>
          </m:sub>
          <m:sup>
            <m:r>
              <m:rPr/>
              <w:rPr>
                <w:rFonts w:hint="eastAsia" w:ascii="Cambria Math" w:hAnsi="Cambria Math"/>
              </w:rPr>
              <m:t>＇</m:t>
            </m:r>
            <m:ctrlPr>
              <w:rPr>
                <w:rFonts w:ascii="Cambria Math" w:hAnsi="Cambria Math"/>
                <w:i/>
              </w:rPr>
            </m:ctrlPr>
          </m:sup>
        </m:sSubSup>
      </m:oMath>
      <w:r>
        <w:rPr>
          <w:rFonts w:ascii="微软雅黑" w:hAnsi="微软雅黑" w:eastAsia="微软雅黑"/>
        </w:rPr>
        <w:tab/>
      </w:r>
      <w:r>
        <w:t>(C.</w:t>
      </w:r>
      <w:r>
        <w:fldChar w:fldCharType="begin"/>
      </w:r>
      <w:r>
        <w:instrText xml:space="preserve">  seq fulu_equation_132634668249371941  </w:instrText>
      </w:r>
      <w:r>
        <w:fldChar w:fldCharType="separate"/>
      </w:r>
      <w:r>
        <w:t>2</w:t>
      </w:r>
      <w:r>
        <w:fldChar w:fldCharType="end"/>
      </w:r>
      <w:r>
        <w:t>)</w:t>
      </w:r>
      <w:bookmarkEnd w:id="119"/>
    </w:p>
    <w:p>
      <w:pPr>
        <w:pStyle w:val="55"/>
        <w:ind w:firstLine="420"/>
      </w:pPr>
      <w:r>
        <w:rPr>
          <w:rFonts w:hint="eastAsia"/>
        </w:rPr>
        <w:t>式中：</w:t>
      </w:r>
    </w:p>
    <w:tbl>
      <w:tblPr>
        <w:tblStyle w:val="26"/>
        <w:tblW w:w="5000" w:type="pct"/>
        <w:jc w:val="center"/>
        <w:tblLayout w:type="autofit"/>
        <w:tblCellMar>
          <w:top w:w="0" w:type="dxa"/>
          <w:left w:w="0" w:type="dxa"/>
          <w:bottom w:w="0" w:type="dxa"/>
          <w:right w:w="0" w:type="dxa"/>
        </w:tblCellMar>
      </w:tblPr>
      <w:tblGrid>
        <w:gridCol w:w="1166"/>
        <w:gridCol w:w="8188"/>
      </w:tblGrid>
      <w:tr>
        <w:tblPrEx>
          <w:tblCellMar>
            <w:top w:w="0" w:type="dxa"/>
            <w:left w:w="0" w:type="dxa"/>
            <w:bottom w:w="0" w:type="dxa"/>
            <w:right w:w="0" w:type="dxa"/>
          </w:tblCellMar>
        </w:tblPrEx>
        <w:trPr>
          <w:trHeight w:val="473" w:hRule="atLeast"/>
          <w:jc w:val="center"/>
        </w:trPr>
        <w:tc>
          <w:tcPr>
            <w:tcW w:w="623" w:type="pct"/>
            <w:tcBorders>
              <w:top w:val="nil"/>
              <w:left w:val="nil"/>
              <w:bottom w:val="nil"/>
              <w:right w:val="nil"/>
            </w:tcBorders>
          </w:tcPr>
          <w:p>
            <w:pPr>
              <w:autoSpaceDE w:val="0"/>
              <w:autoSpaceDN w:val="0"/>
              <w:spacing w:line="360" w:lineRule="auto"/>
              <w:jc w:val="right"/>
              <w:rPr>
                <w:rFonts w:ascii="Times New Roman" w:hAnsi="Times New Roman"/>
                <w:kern w:val="0"/>
              </w:rPr>
            </w:pPr>
            <w:r>
              <w:rPr>
                <w:rFonts w:ascii="Times New Roman" w:hAnsi="Times New Roman"/>
                <w:i/>
              </w:rPr>
              <w:t>σ</w:t>
            </w:r>
            <w:r>
              <w:rPr>
                <w:rFonts w:ascii="Times New Roman" w:hAnsi="Times New Roman"/>
                <w:vertAlign w:val="subscript"/>
              </w:rPr>
              <w:t>ct</w:t>
            </w:r>
          </w:p>
        </w:tc>
        <w:tc>
          <w:tcPr>
            <w:tcW w:w="4377" w:type="pct"/>
            <w:tcBorders>
              <w:top w:val="nil"/>
              <w:left w:val="nil"/>
              <w:bottom w:val="nil"/>
              <w:right w:val="nil"/>
            </w:tcBorders>
            <w:vAlign w:val="center"/>
          </w:tcPr>
          <w:p>
            <w:pPr>
              <w:autoSpaceDE w:val="0"/>
              <w:autoSpaceDN w:val="0"/>
              <w:spacing w:line="360" w:lineRule="auto"/>
              <w:jc w:val="left"/>
              <w:rPr>
                <w:rFonts w:ascii="Times New Roman" w:hAnsi="Times New Roman"/>
                <w:kern w:val="0"/>
                <w:position w:val="2"/>
              </w:rPr>
            </w:pPr>
            <w:r>
              <w:rPr>
                <w:rFonts w:ascii="Times New Roman" w:hAnsi="Times New Roman"/>
                <w:kern w:val="0"/>
              </w:rPr>
              <w:t>——</w:t>
            </w:r>
            <w:r>
              <w:rPr>
                <w:rFonts w:ascii="Times New Roman" w:hAnsi="Times New Roman"/>
                <w:bCs/>
                <w:color w:val="000000"/>
              </w:rPr>
              <w:t>各短暂设计状况下在荷载标准组合作用下产生的构件正截面边缘混凝土拉应力；</w:t>
            </w:r>
          </w:p>
        </w:tc>
      </w:tr>
      <w:tr>
        <w:tblPrEx>
          <w:tblCellMar>
            <w:top w:w="0" w:type="dxa"/>
            <w:left w:w="0" w:type="dxa"/>
            <w:bottom w:w="0" w:type="dxa"/>
            <w:right w:w="0" w:type="dxa"/>
          </w:tblCellMar>
        </w:tblPrEx>
        <w:trPr>
          <w:trHeight w:val="494" w:hRule="atLeast"/>
          <w:jc w:val="center"/>
        </w:trPr>
        <w:tc>
          <w:tcPr>
            <w:tcW w:w="623" w:type="pct"/>
            <w:tcBorders>
              <w:top w:val="nil"/>
              <w:left w:val="nil"/>
              <w:bottom w:val="nil"/>
              <w:right w:val="nil"/>
            </w:tcBorders>
          </w:tcPr>
          <w:p>
            <w:pPr>
              <w:autoSpaceDE w:val="0"/>
              <w:autoSpaceDN w:val="0"/>
              <w:spacing w:line="360" w:lineRule="auto"/>
              <w:jc w:val="right"/>
              <w:rPr>
                <w:rFonts w:ascii="Times New Roman" w:hAnsi="Times New Roman"/>
                <w:kern w:val="0"/>
              </w:rPr>
            </w:pPr>
            <w:r>
              <w:rPr>
                <w:rFonts w:ascii="Times New Roman" w:hAnsi="Times New Roman"/>
                <w:i/>
              </w:rPr>
              <w:t>W</w:t>
            </w:r>
            <w:r>
              <w:rPr>
                <w:rFonts w:ascii="Times New Roman" w:hAnsi="Times New Roman"/>
                <w:vertAlign w:val="subscript"/>
              </w:rPr>
              <w:t>ct</w:t>
            </w:r>
          </w:p>
        </w:tc>
        <w:tc>
          <w:tcPr>
            <w:tcW w:w="4377" w:type="pct"/>
            <w:tcBorders>
              <w:top w:val="nil"/>
              <w:left w:val="nil"/>
              <w:bottom w:val="nil"/>
              <w:right w:val="nil"/>
            </w:tcBorders>
          </w:tcPr>
          <w:p>
            <w:pPr>
              <w:autoSpaceDE w:val="0"/>
              <w:autoSpaceDN w:val="0"/>
              <w:spacing w:line="360" w:lineRule="auto"/>
              <w:jc w:val="left"/>
              <w:rPr>
                <w:rFonts w:ascii="Times New Roman" w:hAnsi="Times New Roman"/>
                <w:kern w:val="0"/>
              </w:rPr>
            </w:pPr>
            <w:r>
              <w:rPr>
                <w:rFonts w:ascii="Times New Roman" w:hAnsi="Times New Roman"/>
                <w:kern w:val="0"/>
              </w:rPr>
              <w:t>——</w:t>
            </w:r>
            <w:r>
              <w:rPr>
                <w:rFonts w:ascii="Times New Roman" w:hAnsi="Times New Roman"/>
                <w:bCs/>
                <w:color w:val="000000"/>
              </w:rPr>
              <w:t>截面混凝土受拉边缘弹性抵抗矩</w:t>
            </w:r>
            <w:r>
              <w:rPr>
                <w:rFonts w:ascii="Times New Roman" w:hAnsi="Times New Roman"/>
                <w:kern w:val="0"/>
              </w:rPr>
              <w:t>；</w:t>
            </w:r>
          </w:p>
        </w:tc>
      </w:tr>
      <w:tr>
        <w:tblPrEx>
          <w:tblCellMar>
            <w:top w:w="0" w:type="dxa"/>
            <w:left w:w="0" w:type="dxa"/>
            <w:bottom w:w="0" w:type="dxa"/>
            <w:right w:w="0" w:type="dxa"/>
          </w:tblCellMar>
        </w:tblPrEx>
        <w:trPr>
          <w:trHeight w:val="494" w:hRule="atLeast"/>
          <w:jc w:val="center"/>
        </w:trPr>
        <w:tc>
          <w:tcPr>
            <w:tcW w:w="623" w:type="pct"/>
            <w:tcBorders>
              <w:top w:val="nil"/>
              <w:left w:val="nil"/>
              <w:bottom w:val="nil"/>
              <w:right w:val="nil"/>
            </w:tcBorders>
          </w:tcPr>
          <w:p>
            <w:pPr>
              <w:autoSpaceDE w:val="0"/>
              <w:autoSpaceDN w:val="0"/>
              <w:spacing w:line="360" w:lineRule="auto"/>
              <w:jc w:val="right"/>
              <w:rPr>
                <w:rFonts w:ascii="Times New Roman" w:hAnsi="Times New Roman"/>
                <w:spacing w:val="-7"/>
                <w:kern w:val="0"/>
              </w:rPr>
            </w:pPr>
            <w:r>
              <w:rPr>
                <w:rFonts w:ascii="Times New Roman" w:hAnsi="Times New Roman"/>
                <w:i/>
                <w:spacing w:val="-7"/>
                <w:kern w:val="0"/>
              </w:rPr>
              <w:t>f</w:t>
            </w:r>
            <w:r>
              <w:rPr>
                <w:rFonts w:ascii="Times New Roman" w:hAnsi="Times New Roman"/>
                <w:spacing w:val="-7"/>
                <w:kern w:val="0"/>
                <w:vertAlign w:val="subscript"/>
              </w:rPr>
              <w:t>tk</w:t>
            </w:r>
            <w:r>
              <w:rPr>
                <w:rFonts w:ascii="Times New Roman" w:hAnsi="Times New Roman"/>
                <w:spacing w:val="-7"/>
                <w:kern w:val="0"/>
                <w:vertAlign w:val="superscript"/>
              </w:rPr>
              <w:t>’</w:t>
            </w:r>
          </w:p>
        </w:tc>
        <w:tc>
          <w:tcPr>
            <w:tcW w:w="4377" w:type="pct"/>
            <w:tcBorders>
              <w:top w:val="nil"/>
              <w:left w:val="nil"/>
              <w:bottom w:val="nil"/>
              <w:right w:val="nil"/>
            </w:tcBorders>
          </w:tcPr>
          <w:p>
            <w:pPr>
              <w:snapToGrid w:val="0"/>
              <w:spacing w:before="62" w:beforeLines="20" w:line="360" w:lineRule="auto"/>
              <w:ind w:left="420" w:hanging="420" w:hangingChars="200"/>
              <w:rPr>
                <w:rFonts w:ascii="宋体" w:hAnsi="宋体"/>
                <w:bCs/>
                <w:color w:val="000000"/>
              </w:rPr>
            </w:pPr>
            <w:r>
              <w:rPr>
                <w:rFonts w:ascii="Times New Roman" w:hAnsi="Times New Roman"/>
                <w:kern w:val="0"/>
              </w:rPr>
              <w:t>——</w:t>
            </w:r>
            <w:r>
              <w:rPr>
                <w:rFonts w:ascii="Times New Roman" w:hAnsi="Times New Roman"/>
                <w:bCs/>
                <w:color w:val="000000"/>
              </w:rPr>
              <w:t xml:space="preserve">与各短暂设计状况下的混凝土立方体抗压强度相应的抗拉强度标准值，按国家标准《混凝土结构设计规范》GB 50010-2010 </w:t>
            </w:r>
            <w:r>
              <w:rPr>
                <w:rFonts w:ascii="宋体" w:hAnsi="宋体"/>
                <w:bCs/>
                <w:color w:val="000000"/>
              </w:rPr>
              <w:t>表</w:t>
            </w:r>
            <w:r>
              <w:rPr>
                <w:rFonts w:ascii="Times New Roman" w:hAnsi="Times New Roman"/>
                <w:bCs/>
                <w:color w:val="000000"/>
              </w:rPr>
              <w:t xml:space="preserve">4.1.3 </w:t>
            </w:r>
            <w:r>
              <w:rPr>
                <w:rFonts w:ascii="宋体" w:hAnsi="宋体"/>
                <w:bCs/>
                <w:color w:val="000000"/>
              </w:rPr>
              <w:t>以线性内插法确定。</w:t>
            </w:r>
          </w:p>
        </w:tc>
      </w:tr>
      <w:bookmarkEnd w:id="112"/>
    </w:tbl>
    <w:p>
      <w:pPr>
        <w:pStyle w:val="79"/>
        <w:spacing w:before="156" w:after="156"/>
        <w:outlineLvl w:val="9"/>
        <w:rPr>
          <w:rFonts w:ascii="宋体" w:hAnsi="宋体" w:eastAsia="宋体"/>
        </w:rPr>
      </w:pPr>
      <w:bookmarkStart w:id="120" w:name="_Toc69916900"/>
      <w:r>
        <w:rPr>
          <w:rFonts w:hint="eastAsia" w:ascii="宋体" w:hAnsi="宋体" w:eastAsia="宋体"/>
        </w:rPr>
        <w:t>对平行于桁架方向的截面，上弦钢筋拉应力或压应力应符合下列规定：</w:t>
      </w:r>
    </w:p>
    <w:p>
      <w:pPr>
        <w:pStyle w:val="79"/>
        <w:numPr>
          <w:ilvl w:val="0"/>
          <w:numId w:val="0"/>
        </w:numPr>
        <w:spacing w:before="156" w:after="156"/>
        <w:ind w:firstLine="2205" w:firstLineChars="1050"/>
        <w:jc w:val="right"/>
        <w:outlineLvl w:val="9"/>
        <w:rPr>
          <w:rFonts w:ascii="宋体" w:hAnsi="宋体" w:eastAsia="宋体"/>
        </w:rPr>
      </w:pPr>
      <m:oMath>
        <m:sSub>
          <m:sSubPr>
            <m:ctrlPr>
              <w:rPr>
                <w:rFonts w:ascii="Cambria Math" w:hAnsi="Cambria Math"/>
                <w:i/>
              </w:rPr>
            </m:ctrlPr>
          </m:sSubPr>
          <m:e>
            <m:r>
              <m:rPr/>
              <w:rPr>
                <w:rFonts w:ascii="Cambria Math" w:hAnsi="Cambria Math"/>
              </w:rPr>
              <m:t>σ</m:t>
            </m:r>
            <m:ctrlPr>
              <w:rPr>
                <w:rFonts w:ascii="Cambria Math" w:hAnsi="Cambria Math"/>
                <w:i/>
              </w:rPr>
            </m:ctrlPr>
          </m:e>
          <m:sub>
            <m:r>
              <m:rPr/>
              <w:rPr>
                <w:rFonts w:hint="eastAsia" w:ascii="Cambria Math" w:hAnsi="Cambria Math"/>
              </w:rPr>
              <m:t>s</m:t>
            </m:r>
            <m:r>
              <m:rPr/>
              <w:rPr>
                <w:rFonts w:ascii="Cambria Math" w:hAnsi="Cambria Math"/>
              </w:rPr>
              <m:t>2</m:t>
            </m:r>
            <m:ctrlPr>
              <w:rPr>
                <w:rFonts w:ascii="Cambria Math" w:hAnsi="Cambria Math"/>
                <w:i/>
              </w:rPr>
            </m:ctrlPr>
          </m:sub>
        </m:sSub>
        <m:r>
          <m:rPr/>
          <w:rPr>
            <w:rFonts w:hint="eastAsia"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α</m:t>
                </m:r>
                <m:ctrlPr>
                  <w:rPr>
                    <w:rFonts w:ascii="Cambria Math" w:hAnsi="Cambria Math"/>
                    <w:i/>
                  </w:rPr>
                </m:ctrlPr>
              </m:e>
              <m:sub>
                <m:r>
                  <m:rPr/>
                  <w:rPr>
                    <w:rFonts w:ascii="Cambria Math" w:hAnsi="Cambria Math"/>
                  </w:rPr>
                  <m:t>E</m:t>
                </m:r>
                <m:ctrlPr>
                  <w:rPr>
                    <w:rFonts w:ascii="Cambria Math" w:hAnsi="Cambria Math"/>
                    <w:i/>
                  </w:rPr>
                </m:ctrlPr>
              </m:sub>
            </m:sSub>
            <m:sSub>
              <m:sSubPr>
                <m:ctrlPr>
                  <w:rPr>
                    <w:rFonts w:ascii="Cambria Math" w:hAnsi="Cambria Math"/>
                    <w:i/>
                  </w:rPr>
                </m:ctrlPr>
              </m:sSubPr>
              <m:e>
                <m:r>
                  <m:rPr/>
                  <w:rPr>
                    <w:rFonts w:ascii="Cambria Math" w:hAnsi="Cambria Math"/>
                  </w:rPr>
                  <m:t>M</m:t>
                </m:r>
                <m:ctrlPr>
                  <w:rPr>
                    <w:rFonts w:ascii="Cambria Math" w:hAnsi="Cambria Math"/>
                    <w:i/>
                  </w:rPr>
                </m:ctrlPr>
              </m:e>
              <m:sub>
                <m:r>
                  <m:rPr/>
                  <w:rPr>
                    <w:rFonts w:hint="eastAsia" w:ascii="Cambria Math" w:hAnsi="Cambria Math"/>
                  </w:rPr>
                  <m:t>k</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W</m:t>
                </m:r>
                <m:ctrlPr>
                  <w:rPr>
                    <w:rFonts w:ascii="Cambria Math" w:hAnsi="Cambria Math"/>
                    <w:i/>
                  </w:rPr>
                </m:ctrlPr>
              </m:e>
              <m:sub>
                <m:r>
                  <m:rPr/>
                  <w:rPr>
                    <w:rFonts w:ascii="Cambria Math" w:hAnsi="Cambria Math"/>
                  </w:rPr>
                  <m:t>2</m:t>
                </m:r>
                <m:ctrlPr>
                  <w:rPr>
                    <w:rFonts w:ascii="Cambria Math" w:hAnsi="Cambria Math"/>
                    <w:i/>
                  </w:rPr>
                </m:ctrlPr>
              </m:sub>
            </m:sSub>
            <m:ctrlPr>
              <w:rPr>
                <w:rFonts w:ascii="Cambria Math" w:hAnsi="Cambria Math"/>
                <w:i/>
              </w:rPr>
            </m:ctrlPr>
          </m:den>
        </m:f>
        <m:r>
          <m:rPr/>
          <w:rPr>
            <w:rFonts w:hint="eastAsia" w:ascii="Cambria Math" w:hAnsi="Cambria Math"/>
          </w:rPr>
          <m:t>≤</m:t>
        </m:r>
        <m:f>
          <m:fPr>
            <m:ctrlPr>
              <w:rPr>
                <w:rFonts w:ascii="Cambria Math" w:hAnsi="Cambria Math"/>
                <w:i/>
              </w:rPr>
            </m:ctrlPr>
          </m:fPr>
          <m:num>
            <m:sSub>
              <m:sSubPr>
                <m:ctrlPr>
                  <w:rPr>
                    <w:rFonts w:ascii="Cambria Math" w:hAnsi="Cambria Math"/>
                    <w:i/>
                  </w:rPr>
                </m:ctrlPr>
              </m:sSubPr>
              <m:e>
                <m:r>
                  <m:rPr/>
                  <w:rPr>
                    <w:rFonts w:hint="eastAsia" w:ascii="Cambria Math" w:hAnsi="Cambria Math"/>
                  </w:rPr>
                  <m:t>f</m:t>
                </m:r>
                <m:ctrlPr>
                  <w:rPr>
                    <w:rFonts w:ascii="Cambria Math" w:hAnsi="Cambria Math"/>
                    <w:i/>
                  </w:rPr>
                </m:ctrlPr>
              </m:e>
              <m:sub>
                <m:r>
                  <m:rPr/>
                  <w:rPr>
                    <w:rFonts w:ascii="Cambria Math" w:hAnsi="Cambria Math"/>
                  </w:rPr>
                  <m:t>y</m:t>
                </m:r>
                <m:r>
                  <m:rPr/>
                  <w:rPr>
                    <w:rFonts w:hint="eastAsia" w:ascii="Cambria Math" w:hAnsi="Cambria Math"/>
                  </w:rPr>
                  <m:t>k</m:t>
                </m:r>
                <m:r>
                  <m:rPr/>
                  <w:rPr>
                    <w:rFonts w:ascii="Cambria Math" w:hAnsi="Cambria Math"/>
                  </w:rPr>
                  <m:t>2</m:t>
                </m:r>
                <m:ctrlPr>
                  <w:rPr>
                    <w:rFonts w:ascii="Cambria Math" w:hAnsi="Cambria Math"/>
                    <w:i/>
                  </w:rPr>
                </m:ctrlPr>
              </m:sub>
            </m:sSub>
            <m:ctrlPr>
              <w:rPr>
                <w:rFonts w:ascii="Cambria Math" w:hAnsi="Cambria Math"/>
                <w:i/>
              </w:rPr>
            </m:ctrlPr>
          </m:num>
          <m:den>
            <m:r>
              <m:rPr/>
              <w:rPr>
                <w:rFonts w:ascii="Cambria Math" w:hAnsi="Cambria Math"/>
              </w:rPr>
              <m:t>2.0</m:t>
            </m:r>
            <m:ctrlPr>
              <w:rPr>
                <w:rFonts w:ascii="Cambria Math" w:hAnsi="Cambria Math"/>
                <w:i/>
              </w:rPr>
            </m:ctrlPr>
          </m:den>
        </m:f>
      </m:oMath>
      <w:r>
        <w:rPr>
          <w:rFonts w:ascii="微软雅黑" w:hAnsi="微软雅黑" w:eastAsia="微软雅黑"/>
        </w:rPr>
        <w:t xml:space="preserve">                               </w:t>
      </w:r>
      <w:r>
        <w:rPr>
          <w:rFonts w:ascii="宋体" w:hAnsi="宋体" w:eastAsia="宋体"/>
        </w:rPr>
        <w:t>(C.3)</w:t>
      </w:r>
      <w:bookmarkEnd w:id="120"/>
    </w:p>
    <w:p>
      <w:pPr>
        <w:pStyle w:val="76"/>
        <w:numPr>
          <w:ilvl w:val="0"/>
          <w:numId w:val="0"/>
        </w:numPr>
        <w:spacing w:before="78" w:after="156"/>
        <w:jc w:val="right"/>
        <w:outlineLvl w:val="9"/>
        <w:rPr>
          <w:rFonts w:ascii="宋体" w:hAnsi="宋体" w:eastAsia="宋体"/>
        </w:rPr>
      </w:pPr>
      <m:oMath>
        <m:sSub>
          <w:bookmarkStart w:id="121" w:name="_Toc69916901"/>
          <w:bookmarkStart w:id="122" w:name="_Hlk69917091"/>
          <m:sSubPr>
            <m:ctrlPr>
              <w:rPr>
                <w:rFonts w:ascii="Cambria Math" w:hAnsi="Cambria Math"/>
                <w:i/>
              </w:rPr>
            </m:ctrlPr>
          </m:sSubPr>
          <m:e>
            <m:r>
              <m:rPr/>
              <w:rPr>
                <w:rFonts w:ascii="Cambria Math" w:hAnsi="Cambria Math"/>
              </w:rPr>
              <m:t>σ</m:t>
            </m:r>
            <m:ctrlPr>
              <w:rPr>
                <w:rFonts w:ascii="Cambria Math" w:hAnsi="Cambria Math"/>
                <w:i/>
              </w:rPr>
            </m:ctrlPr>
          </m:e>
          <m:sub>
            <m:r>
              <m:rPr/>
              <w:rPr>
                <w:rFonts w:hint="eastAsia" w:ascii="Cambria Math" w:hAnsi="Cambria Math"/>
              </w:rPr>
              <m:t>s</m:t>
            </m:r>
            <m:r>
              <m:rPr/>
              <w:rPr>
                <w:rFonts w:ascii="Cambria Math" w:hAnsi="Cambria Math"/>
              </w:rPr>
              <m:t>2</m:t>
            </m:r>
            <m:ctrlPr>
              <w:rPr>
                <w:rFonts w:ascii="Cambria Math" w:hAnsi="Cambria Math"/>
                <w:i/>
              </w:rPr>
            </m:ctrlPr>
          </m:sub>
        </m:sSub>
        <m:r>
          <m:rPr/>
          <w:rPr>
            <w:rFonts w:hint="eastAsia"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α</m:t>
                </m:r>
                <m:ctrlPr>
                  <w:rPr>
                    <w:rFonts w:ascii="Cambria Math" w:hAnsi="Cambria Math"/>
                    <w:i/>
                  </w:rPr>
                </m:ctrlPr>
              </m:e>
              <m:sub>
                <m:r>
                  <m:rPr/>
                  <w:rPr>
                    <w:rFonts w:ascii="Cambria Math" w:hAnsi="Cambria Math"/>
                  </w:rPr>
                  <m:t>E</m:t>
                </m:r>
                <m:ctrlPr>
                  <w:rPr>
                    <w:rFonts w:ascii="Cambria Math" w:hAnsi="Cambria Math"/>
                    <w:i/>
                  </w:rPr>
                </m:ctrlPr>
              </m:sub>
            </m:sSub>
            <m:sSub>
              <m:sSubPr>
                <m:ctrlPr>
                  <w:rPr>
                    <w:rFonts w:ascii="Cambria Math" w:hAnsi="Cambria Math"/>
                    <w:i/>
                  </w:rPr>
                </m:ctrlPr>
              </m:sSubPr>
              <m:e>
                <m:r>
                  <m:rPr/>
                  <w:rPr>
                    <w:rFonts w:ascii="Cambria Math" w:hAnsi="Cambria Math"/>
                  </w:rPr>
                  <m:t>M</m:t>
                </m:r>
                <m:ctrlPr>
                  <w:rPr>
                    <w:rFonts w:ascii="Cambria Math" w:hAnsi="Cambria Math"/>
                    <w:i/>
                  </w:rPr>
                </m:ctrlPr>
              </m:e>
              <m:sub>
                <m:r>
                  <m:rPr/>
                  <w:rPr>
                    <w:rFonts w:hint="eastAsia" w:ascii="Cambria Math" w:hAnsi="Cambria Math"/>
                  </w:rPr>
                  <m:t>k</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φ</m:t>
                </m:r>
                <m:ctrlPr>
                  <w:rPr>
                    <w:rFonts w:ascii="Cambria Math" w:hAnsi="Cambria Math"/>
                    <w:i/>
                  </w:rPr>
                </m:ctrlPr>
              </m:e>
              <m:sub>
                <m:r>
                  <m:rPr/>
                  <w:rPr>
                    <w:rFonts w:ascii="Cambria Math" w:hAnsi="Cambria Math"/>
                  </w:rPr>
                  <m:t>2</m:t>
                </m:r>
                <m:ctrlPr>
                  <w:rPr>
                    <w:rFonts w:ascii="Cambria Math" w:hAnsi="Cambria Math"/>
                    <w:i/>
                  </w:rPr>
                </m:ctrlPr>
              </m:sub>
            </m:sSub>
            <m:sSub>
              <m:sSubPr>
                <m:ctrlPr>
                  <w:rPr>
                    <w:rFonts w:ascii="Cambria Math" w:hAnsi="Cambria Math"/>
                    <w:i/>
                  </w:rPr>
                </m:ctrlPr>
              </m:sSubPr>
              <m:e>
                <m:r>
                  <m:rPr/>
                  <w:rPr>
                    <w:rFonts w:ascii="Cambria Math" w:hAnsi="Cambria Math"/>
                  </w:rPr>
                  <m:t>W</m:t>
                </m:r>
                <m:ctrlPr>
                  <w:rPr>
                    <w:rFonts w:ascii="Cambria Math" w:hAnsi="Cambria Math"/>
                    <w:i/>
                  </w:rPr>
                </m:ctrlPr>
              </m:e>
              <m:sub>
                <m:r>
                  <m:rPr/>
                  <w:rPr>
                    <w:rFonts w:ascii="Cambria Math" w:hAnsi="Cambria Math"/>
                  </w:rPr>
                  <m:t>2</m:t>
                </m:r>
                <m:ctrlPr>
                  <w:rPr>
                    <w:rFonts w:ascii="Cambria Math" w:hAnsi="Cambria Math"/>
                    <w:i/>
                  </w:rPr>
                </m:ctrlPr>
              </m:sub>
            </m:sSub>
            <m:ctrlPr>
              <w:rPr>
                <w:rFonts w:ascii="Cambria Math" w:hAnsi="Cambria Math"/>
                <w:i/>
              </w:rPr>
            </m:ctrlPr>
          </m:den>
        </m:f>
        <m:r>
          <m:rPr/>
          <w:rPr>
            <w:rFonts w:hint="eastAsia" w:ascii="Cambria Math" w:hAnsi="Cambria Math"/>
          </w:rPr>
          <m:t>≤</m:t>
        </m:r>
        <m:f>
          <m:fPr>
            <m:ctrlPr>
              <w:rPr>
                <w:rFonts w:ascii="Cambria Math" w:hAnsi="Cambria Math"/>
                <w:i/>
              </w:rPr>
            </m:ctrlPr>
          </m:fPr>
          <m:num>
            <m:sSub>
              <m:sSubPr>
                <m:ctrlPr>
                  <w:rPr>
                    <w:rFonts w:ascii="Cambria Math" w:hAnsi="Cambria Math"/>
                    <w:i/>
                  </w:rPr>
                </m:ctrlPr>
              </m:sSubPr>
              <m:e>
                <m:r>
                  <m:rPr/>
                  <w:rPr>
                    <w:rFonts w:hint="eastAsia" w:ascii="Cambria Math" w:hAnsi="Cambria Math"/>
                  </w:rPr>
                  <m:t>f</m:t>
                </m:r>
                <m:ctrlPr>
                  <w:rPr>
                    <w:rFonts w:ascii="Cambria Math" w:hAnsi="Cambria Math"/>
                    <w:i/>
                  </w:rPr>
                </m:ctrlPr>
              </m:e>
              <m:sub>
                <m:r>
                  <m:rPr/>
                  <w:rPr>
                    <w:rFonts w:ascii="Cambria Math" w:hAnsi="Cambria Math"/>
                  </w:rPr>
                  <m:t>y</m:t>
                </m:r>
                <m:r>
                  <m:rPr/>
                  <w:rPr>
                    <w:rFonts w:hint="eastAsia" w:ascii="Cambria Math" w:hAnsi="Cambria Math"/>
                  </w:rPr>
                  <m:t>k</m:t>
                </m:r>
                <m:r>
                  <m:rPr/>
                  <w:rPr>
                    <w:rFonts w:ascii="Cambria Math" w:hAnsi="Cambria Math"/>
                  </w:rPr>
                  <m:t>2</m:t>
                </m:r>
                <m:ctrlPr>
                  <w:rPr>
                    <w:rFonts w:ascii="Cambria Math" w:hAnsi="Cambria Math"/>
                    <w:i/>
                  </w:rPr>
                </m:ctrlPr>
              </m:sub>
            </m:sSub>
            <m:ctrlPr>
              <w:rPr>
                <w:rFonts w:ascii="Cambria Math" w:hAnsi="Cambria Math"/>
                <w:i/>
              </w:rPr>
            </m:ctrlPr>
          </m:num>
          <m:den>
            <m:r>
              <m:rPr/>
              <w:rPr>
                <w:rFonts w:ascii="Cambria Math" w:hAnsi="Cambria Math"/>
              </w:rPr>
              <m:t>2.0</m:t>
            </m:r>
            <m:ctrlPr>
              <w:rPr>
                <w:rFonts w:ascii="Cambria Math" w:hAnsi="Cambria Math"/>
                <w:i/>
              </w:rPr>
            </m:ctrlPr>
          </m:den>
        </m:f>
      </m:oMath>
      <w:r>
        <w:rPr>
          <w:rFonts w:ascii="微软雅黑" w:hAnsi="微软雅黑" w:eastAsia="微软雅黑"/>
        </w:rPr>
        <w:t xml:space="preserve">                               </w:t>
      </w:r>
      <w:r>
        <w:rPr>
          <w:rFonts w:ascii="宋体" w:hAnsi="宋体" w:eastAsia="宋体"/>
        </w:rPr>
        <w:t>(C.4)</w:t>
      </w:r>
      <w:bookmarkEnd w:id="121"/>
    </w:p>
    <w:bookmarkEnd w:id="122"/>
    <w:p>
      <w:pPr>
        <w:pStyle w:val="56"/>
        <w:ind w:firstLine="420"/>
      </w:pPr>
      <w:r>
        <w:rPr>
          <w:rFonts w:hint="eastAsia"/>
        </w:rPr>
        <w:t>式中：</w:t>
      </w:r>
    </w:p>
    <w:tbl>
      <w:tblPr>
        <w:tblStyle w:val="26"/>
        <w:tblW w:w="5000" w:type="pct"/>
        <w:jc w:val="right"/>
        <w:tblLayout w:type="autofit"/>
        <w:tblCellMar>
          <w:top w:w="0" w:type="dxa"/>
          <w:left w:w="0" w:type="dxa"/>
          <w:bottom w:w="0" w:type="dxa"/>
          <w:right w:w="0" w:type="dxa"/>
        </w:tblCellMar>
      </w:tblPr>
      <w:tblGrid>
        <w:gridCol w:w="1128"/>
        <w:gridCol w:w="8226"/>
      </w:tblGrid>
      <w:tr>
        <w:tblPrEx>
          <w:tblCellMar>
            <w:top w:w="0" w:type="dxa"/>
            <w:left w:w="0" w:type="dxa"/>
            <w:bottom w:w="0" w:type="dxa"/>
            <w:right w:w="0" w:type="dxa"/>
          </w:tblCellMar>
        </w:tblPrEx>
        <w:trPr>
          <w:trHeight w:val="473" w:hRule="atLeast"/>
          <w:jc w:val="right"/>
        </w:trPr>
        <w:tc>
          <w:tcPr>
            <w:tcW w:w="603" w:type="pct"/>
            <w:tcBorders>
              <w:top w:val="nil"/>
              <w:left w:val="nil"/>
              <w:bottom w:val="nil"/>
              <w:right w:val="nil"/>
            </w:tcBorders>
          </w:tcPr>
          <w:p>
            <w:pPr>
              <w:autoSpaceDE w:val="0"/>
              <w:autoSpaceDN w:val="0"/>
              <w:spacing w:line="360" w:lineRule="auto"/>
              <w:jc w:val="right"/>
              <w:rPr>
                <w:rFonts w:ascii="Times New Roman" w:hAnsi="Times New Roman"/>
                <w:kern w:val="0"/>
              </w:rPr>
            </w:pPr>
            <w:r>
              <w:rPr>
                <w:rFonts w:ascii="Times New Roman" w:hAnsi="Times New Roman"/>
                <w:i/>
              </w:rPr>
              <w:t>σ</w:t>
            </w:r>
            <w:r>
              <w:rPr>
                <w:rFonts w:ascii="Times New Roman" w:hAnsi="Times New Roman"/>
                <w:vertAlign w:val="subscript"/>
              </w:rPr>
              <w:t>s2</w:t>
            </w:r>
          </w:p>
        </w:tc>
        <w:tc>
          <w:tcPr>
            <w:tcW w:w="4397" w:type="pct"/>
            <w:tcBorders>
              <w:top w:val="nil"/>
              <w:left w:val="nil"/>
              <w:bottom w:val="nil"/>
              <w:right w:val="nil"/>
            </w:tcBorders>
            <w:vAlign w:val="center"/>
          </w:tcPr>
          <w:p>
            <w:pPr>
              <w:widowControl/>
              <w:adjustRightInd/>
              <w:spacing w:line="360" w:lineRule="auto"/>
              <w:ind w:left="420" w:hanging="420" w:hangingChars="200"/>
              <w:jc w:val="left"/>
              <w:rPr>
                <w:rFonts w:ascii="Times New Roman" w:hAnsi="Times New Roman"/>
                <w:kern w:val="0"/>
                <w:position w:val="2"/>
              </w:rPr>
            </w:pPr>
            <w:r>
              <w:rPr>
                <w:rFonts w:ascii="Times New Roman" w:hAnsi="Times New Roman"/>
                <w:kern w:val="0"/>
              </w:rPr>
              <w:t>——</w:t>
            </w:r>
            <w:r>
              <w:rPr>
                <w:rFonts w:ascii="Times New Roman" w:hAnsi="Times New Roman"/>
                <w:bCs/>
                <w:color w:val="000000"/>
              </w:rPr>
              <w:t>各短暂设计状况下在荷载标准组合作用下的上弦钢筋拉应力或压应力；</w:t>
            </w:r>
          </w:p>
        </w:tc>
      </w:tr>
      <w:tr>
        <w:tblPrEx>
          <w:tblCellMar>
            <w:top w:w="0" w:type="dxa"/>
            <w:left w:w="0" w:type="dxa"/>
            <w:bottom w:w="0" w:type="dxa"/>
            <w:right w:w="0" w:type="dxa"/>
          </w:tblCellMar>
        </w:tblPrEx>
        <w:trPr>
          <w:trHeight w:val="494" w:hRule="atLeast"/>
          <w:jc w:val="right"/>
        </w:trPr>
        <w:tc>
          <w:tcPr>
            <w:tcW w:w="603" w:type="pct"/>
            <w:tcBorders>
              <w:top w:val="nil"/>
              <w:left w:val="nil"/>
              <w:bottom w:val="nil"/>
              <w:right w:val="nil"/>
            </w:tcBorders>
          </w:tcPr>
          <w:p>
            <w:pPr>
              <w:autoSpaceDE w:val="0"/>
              <w:autoSpaceDN w:val="0"/>
              <w:spacing w:line="360" w:lineRule="auto"/>
              <w:jc w:val="right"/>
              <w:rPr>
                <w:rFonts w:ascii="Times New Roman" w:hAnsi="Times New Roman"/>
                <w:kern w:val="0"/>
              </w:rPr>
            </w:pPr>
            <w:r>
              <w:rPr>
                <w:rFonts w:ascii="Times New Roman" w:hAnsi="Times New Roman"/>
                <w:bCs/>
                <w:i/>
                <w:color w:val="000000"/>
              </w:rPr>
              <w:t>W</w:t>
            </w:r>
            <w:r>
              <w:rPr>
                <w:rFonts w:ascii="Times New Roman" w:hAnsi="Times New Roman"/>
                <w:bCs/>
                <w:color w:val="000000"/>
                <w:vertAlign w:val="subscript"/>
              </w:rPr>
              <w:t>2</w:t>
            </w:r>
          </w:p>
        </w:tc>
        <w:tc>
          <w:tcPr>
            <w:tcW w:w="4397" w:type="pct"/>
            <w:tcBorders>
              <w:top w:val="nil"/>
              <w:left w:val="nil"/>
              <w:bottom w:val="nil"/>
              <w:right w:val="nil"/>
            </w:tcBorders>
          </w:tcPr>
          <w:p>
            <w:pPr>
              <w:widowControl/>
              <w:adjustRightInd/>
              <w:spacing w:line="360" w:lineRule="auto"/>
              <w:ind w:left="420" w:hanging="420" w:hangingChars="200"/>
              <w:jc w:val="left"/>
              <w:rPr>
                <w:rFonts w:ascii="Times New Roman" w:hAnsi="Times New Roman"/>
                <w:kern w:val="0"/>
              </w:rPr>
            </w:pPr>
            <w:r>
              <w:rPr>
                <w:rFonts w:ascii="Times New Roman" w:hAnsi="Times New Roman"/>
                <w:kern w:val="0"/>
              </w:rPr>
              <w:t>——</w:t>
            </w:r>
            <w:r>
              <w:rPr>
                <w:rFonts w:ascii="Times New Roman" w:hAnsi="Times New Roman"/>
                <w:bCs/>
                <w:color w:val="000000"/>
              </w:rPr>
              <w:t>等效组合截面上弦钢筋弹性抵抗矩（当允许桁架预制板开裂时，应取开裂截面处等效组合截面上弦钢筋弹性抵抗矩</w:t>
            </w:r>
            <w:r>
              <w:rPr>
                <w:rFonts w:ascii="Times New Roman" w:hAnsi="Times New Roman"/>
                <w:bCs/>
                <w:i/>
                <w:color w:val="000000"/>
              </w:rPr>
              <w:t>W</w:t>
            </w:r>
            <w:r>
              <w:rPr>
                <w:rFonts w:ascii="Times New Roman" w:hAnsi="Times New Roman"/>
                <w:bCs/>
                <w:color w:val="000000"/>
                <w:vertAlign w:val="subscript"/>
              </w:rPr>
              <w:t>2</w:t>
            </w:r>
            <w:r>
              <w:rPr>
                <w:rFonts w:ascii="Times New Roman" w:hAnsi="Times New Roman"/>
                <w:bCs/>
                <w:color w:val="000000"/>
                <w:vertAlign w:val="superscript"/>
              </w:rPr>
              <w:t>’</w:t>
            </w:r>
            <w:r>
              <w:rPr>
                <w:rFonts w:ascii="Times New Roman" w:hAnsi="Times New Roman"/>
                <w:bCs/>
                <w:color w:val="000000"/>
              </w:rPr>
              <w:t>）</w:t>
            </w:r>
            <w:r>
              <w:rPr>
                <w:rFonts w:ascii="Times New Roman" w:hAnsi="Times New Roman"/>
                <w:kern w:val="0"/>
              </w:rPr>
              <w:t>；</w:t>
            </w:r>
          </w:p>
        </w:tc>
      </w:tr>
      <w:tr>
        <w:tblPrEx>
          <w:tblCellMar>
            <w:top w:w="0" w:type="dxa"/>
            <w:left w:w="0" w:type="dxa"/>
            <w:bottom w:w="0" w:type="dxa"/>
            <w:right w:w="0" w:type="dxa"/>
          </w:tblCellMar>
        </w:tblPrEx>
        <w:trPr>
          <w:trHeight w:val="494" w:hRule="atLeast"/>
          <w:jc w:val="right"/>
        </w:trPr>
        <w:tc>
          <w:tcPr>
            <w:tcW w:w="603" w:type="pct"/>
            <w:tcBorders>
              <w:top w:val="nil"/>
              <w:left w:val="nil"/>
              <w:bottom w:val="nil"/>
              <w:right w:val="nil"/>
            </w:tcBorders>
          </w:tcPr>
          <w:p>
            <w:pPr>
              <w:autoSpaceDE w:val="0"/>
              <w:autoSpaceDN w:val="0"/>
              <w:spacing w:line="360" w:lineRule="auto"/>
              <w:jc w:val="right"/>
              <w:rPr>
                <w:rFonts w:ascii="Times New Roman" w:hAnsi="Times New Roman"/>
                <w:spacing w:val="-7"/>
                <w:kern w:val="0"/>
              </w:rPr>
            </w:pPr>
            <w:r>
              <w:rPr>
                <w:rFonts w:ascii="Times New Roman" w:hAnsi="Times New Roman"/>
                <w:i/>
              </w:rPr>
              <w:t>f</w:t>
            </w:r>
            <w:r>
              <w:rPr>
                <w:rFonts w:ascii="Times New Roman" w:hAnsi="Times New Roman"/>
                <w:vertAlign w:val="subscript"/>
              </w:rPr>
              <w:t>yk2</w:t>
            </w:r>
          </w:p>
        </w:tc>
        <w:tc>
          <w:tcPr>
            <w:tcW w:w="4397" w:type="pct"/>
            <w:tcBorders>
              <w:top w:val="nil"/>
              <w:left w:val="nil"/>
              <w:bottom w:val="nil"/>
              <w:right w:val="nil"/>
            </w:tcBorders>
            <w:vAlign w:val="bottom"/>
          </w:tcPr>
          <w:p>
            <w:pPr>
              <w:snapToGrid w:val="0"/>
              <w:spacing w:line="360" w:lineRule="auto"/>
              <w:ind w:left="420" w:hanging="420" w:hangingChars="200"/>
              <w:rPr>
                <w:rFonts w:ascii="Times New Roman" w:hAnsi="Times New Roman"/>
                <w:kern w:val="0"/>
              </w:rPr>
            </w:pPr>
            <w:r>
              <w:rPr>
                <w:rFonts w:ascii="Times New Roman" w:hAnsi="Times New Roman"/>
                <w:kern w:val="0"/>
              </w:rPr>
              <w:t>——</w:t>
            </w:r>
            <w:r>
              <w:rPr>
                <w:rFonts w:ascii="Times New Roman" w:hAnsi="Times New Roman"/>
                <w:bCs/>
                <w:color w:val="000000"/>
              </w:rPr>
              <w:t>桁架上弦钢筋的屈服强度标准值；</w:t>
            </w:r>
          </w:p>
        </w:tc>
      </w:tr>
      <w:tr>
        <w:tblPrEx>
          <w:tblCellMar>
            <w:top w:w="0" w:type="dxa"/>
            <w:left w:w="0" w:type="dxa"/>
            <w:bottom w:w="0" w:type="dxa"/>
            <w:right w:w="0" w:type="dxa"/>
          </w:tblCellMar>
        </w:tblPrEx>
        <w:trPr>
          <w:trHeight w:val="494" w:hRule="atLeast"/>
          <w:jc w:val="right"/>
        </w:trPr>
        <w:tc>
          <w:tcPr>
            <w:tcW w:w="603" w:type="pct"/>
            <w:tcBorders>
              <w:top w:val="nil"/>
              <w:left w:val="nil"/>
              <w:bottom w:val="nil"/>
              <w:right w:val="nil"/>
            </w:tcBorders>
          </w:tcPr>
          <w:p>
            <w:pPr>
              <w:autoSpaceDE w:val="0"/>
              <w:autoSpaceDN w:val="0"/>
              <w:spacing w:line="360" w:lineRule="auto"/>
              <w:jc w:val="right"/>
              <w:rPr>
                <w:rFonts w:ascii="Times New Roman" w:hAnsi="Times New Roman"/>
                <w:bCs/>
                <w:color w:val="000000"/>
              </w:rPr>
            </w:pPr>
            <w:r>
              <w:rPr>
                <w:rFonts w:ascii="Times New Roman" w:hAnsi="Times New Roman"/>
                <w:bCs/>
                <w:color w:val="000000"/>
              </w:rPr>
              <w:t> </w:t>
            </w:r>
            <w:r>
              <w:rPr>
                <w:rFonts w:ascii="Times New Roman" w:hAnsi="Times New Roman"/>
                <w:i/>
              </w:rPr>
              <w:t>α</w:t>
            </w:r>
            <w:r>
              <w:rPr>
                <w:rFonts w:ascii="Times New Roman" w:hAnsi="Times New Roman"/>
                <w:vertAlign w:val="subscript"/>
              </w:rPr>
              <w:t>E</w:t>
            </w:r>
          </w:p>
        </w:tc>
        <w:tc>
          <w:tcPr>
            <w:tcW w:w="4397" w:type="pct"/>
            <w:tcBorders>
              <w:top w:val="nil"/>
              <w:left w:val="nil"/>
              <w:bottom w:val="nil"/>
              <w:right w:val="nil"/>
            </w:tcBorders>
            <w:vAlign w:val="bottom"/>
          </w:tcPr>
          <w:p>
            <w:pPr>
              <w:snapToGrid w:val="0"/>
              <w:spacing w:line="360" w:lineRule="auto"/>
              <w:ind w:left="420" w:hanging="420" w:hangingChars="200"/>
              <w:rPr>
                <w:rFonts w:ascii="Times New Roman" w:hAnsi="Times New Roman"/>
                <w:kern w:val="0"/>
              </w:rPr>
            </w:pPr>
            <w:r>
              <w:rPr>
                <w:rFonts w:ascii="Times New Roman" w:hAnsi="Times New Roman"/>
                <w:kern w:val="0"/>
              </w:rPr>
              <w:t>——</w:t>
            </w:r>
            <w:r>
              <w:rPr>
                <w:rFonts w:ascii="Times New Roman" w:hAnsi="Times New Roman"/>
                <w:bCs/>
                <w:color w:val="000000"/>
              </w:rPr>
              <w:t>桁架上弦钢筋的屈服强度标准值；</w:t>
            </w:r>
          </w:p>
        </w:tc>
      </w:tr>
      <w:tr>
        <w:tblPrEx>
          <w:tblCellMar>
            <w:top w:w="0" w:type="dxa"/>
            <w:left w:w="0" w:type="dxa"/>
            <w:bottom w:w="0" w:type="dxa"/>
            <w:right w:w="0" w:type="dxa"/>
          </w:tblCellMar>
        </w:tblPrEx>
        <w:trPr>
          <w:trHeight w:val="494" w:hRule="atLeast"/>
          <w:jc w:val="right"/>
        </w:trPr>
        <w:tc>
          <w:tcPr>
            <w:tcW w:w="603" w:type="pct"/>
            <w:tcBorders>
              <w:top w:val="nil"/>
              <w:left w:val="nil"/>
              <w:bottom w:val="nil"/>
              <w:right w:val="nil"/>
            </w:tcBorders>
          </w:tcPr>
          <w:p>
            <w:pPr>
              <w:autoSpaceDE w:val="0"/>
              <w:autoSpaceDN w:val="0"/>
              <w:spacing w:line="360" w:lineRule="auto"/>
              <w:jc w:val="right"/>
              <w:rPr>
                <w:rFonts w:ascii="Times New Roman" w:hAnsi="Times New Roman"/>
                <w:bCs/>
                <w:color w:val="000000"/>
              </w:rPr>
            </w:pPr>
            <m:oMath>
              <m:sSub>
                <m:sSubPr>
                  <m:ctrlPr>
                    <w:rPr>
                      <w:rFonts w:ascii="Cambria Math" w:hAnsi="Cambria Math"/>
                      <w:bCs/>
                      <w:color w:val="000000"/>
                    </w:rPr>
                  </m:ctrlPr>
                </m:sSubPr>
                <m:e>
                  <m:r>
                    <m:rPr/>
                    <w:rPr>
                      <w:rFonts w:ascii="Cambria Math" w:hAnsi="Cambria Math"/>
                      <w:color w:val="000000"/>
                    </w:rPr>
                    <m:t>φ</m:t>
                  </m:r>
                  <m:ctrlPr>
                    <w:rPr>
                      <w:rFonts w:ascii="Cambria Math" w:hAnsi="Cambria Math"/>
                      <w:bCs/>
                      <w:color w:val="000000"/>
                    </w:rPr>
                  </m:ctrlPr>
                </m:e>
                <m:sub>
                  <m:r>
                    <m:rPr/>
                    <w:rPr>
                      <w:rFonts w:ascii="Cambria Math" w:hAnsi="Cambria Math"/>
                      <w:color w:val="000000"/>
                    </w:rPr>
                    <m:t>2</m:t>
                  </m:r>
                  <m:ctrlPr>
                    <w:rPr>
                      <w:rFonts w:ascii="Cambria Math" w:hAnsi="Cambria Math"/>
                      <w:bCs/>
                      <w:color w:val="000000"/>
                    </w:rPr>
                  </m:ctrlPr>
                </m:sub>
              </m:sSub>
            </m:oMath>
            <w:r>
              <w:rPr>
                <w:rFonts w:ascii="Times New Roman" w:hAnsi="Times New Roman"/>
                <w:bCs/>
                <w:color w:val="000000"/>
              </w:rPr>
              <w:t> </w:t>
            </w:r>
          </w:p>
        </w:tc>
        <w:tc>
          <w:tcPr>
            <w:tcW w:w="4397" w:type="pct"/>
            <w:tcBorders>
              <w:top w:val="nil"/>
              <w:left w:val="nil"/>
              <w:bottom w:val="nil"/>
              <w:right w:val="nil"/>
            </w:tcBorders>
            <w:vAlign w:val="center"/>
          </w:tcPr>
          <w:p>
            <w:pPr>
              <w:widowControl/>
              <w:adjustRightInd/>
              <w:spacing w:line="360" w:lineRule="auto"/>
              <w:ind w:left="420" w:hanging="420" w:hangingChars="200"/>
              <w:jc w:val="left"/>
              <w:rPr>
                <w:rFonts w:ascii="Times New Roman" w:hAnsi="Times New Roman"/>
                <w:kern w:val="0"/>
              </w:rPr>
            </w:pPr>
            <w:r>
              <w:rPr>
                <w:rFonts w:ascii="Times New Roman" w:hAnsi="Times New Roman"/>
                <w:kern w:val="0"/>
              </w:rPr>
              <w:t>——</w:t>
            </w:r>
            <w:r>
              <w:rPr>
                <w:rFonts w:ascii="Times New Roman" w:hAnsi="Times New Roman"/>
                <w:bCs/>
                <w:color w:val="000000"/>
              </w:rPr>
              <w:t xml:space="preserve">桁架上弦钢筋的轴心受压稳定系数，按现行国家标准《钢结构设计标准》GB 50017 </w:t>
            </w:r>
            <w:r>
              <w:rPr>
                <w:rFonts w:ascii="宋体" w:hAnsi="宋体"/>
                <w:bCs/>
                <w:color w:val="000000"/>
              </w:rPr>
              <w:t>确定；计算长度取上弦钢筋焊接节点距离；</w:t>
            </w:r>
          </w:p>
        </w:tc>
      </w:tr>
    </w:tbl>
    <w:p>
      <w:pPr>
        <w:pStyle w:val="79"/>
        <w:spacing w:before="156" w:after="156"/>
        <w:outlineLvl w:val="9"/>
        <w:rPr>
          <w:rFonts w:ascii="宋体" w:hAnsi="宋体" w:eastAsia="宋体"/>
        </w:rPr>
      </w:pPr>
      <w:r>
        <w:rPr>
          <w:rFonts w:hint="eastAsia" w:ascii="宋体" w:hAnsi="宋体" w:eastAsia="宋体"/>
        </w:rPr>
        <w:t>对平行于桁架方向的截面，腹杆钢筋压应力应符合下列规定：</w:t>
      </w:r>
    </w:p>
    <w:p>
      <w:pPr>
        <w:pStyle w:val="76"/>
        <w:numPr>
          <w:ilvl w:val="0"/>
          <w:numId w:val="0"/>
        </w:numPr>
        <w:spacing w:before="78" w:after="156"/>
        <w:jc w:val="right"/>
        <w:outlineLvl w:val="9"/>
        <w:rPr>
          <w:rFonts w:ascii="宋体" w:hAnsi="宋体" w:eastAsia="宋体"/>
        </w:rPr>
      </w:pPr>
      <m:oMath>
        <m:sSub>
          <m:sSubPr>
            <m:ctrlPr>
              <w:rPr>
                <w:rFonts w:ascii="Cambria Math" w:hAnsi="Cambria Math"/>
                <w:i/>
              </w:rPr>
            </m:ctrlPr>
          </m:sSubPr>
          <m:e>
            <m:r>
              <m:rPr/>
              <w:rPr>
                <w:rFonts w:ascii="Cambria Math" w:hAnsi="Cambria Math"/>
              </w:rPr>
              <m:t>σ</m:t>
            </m:r>
            <m:ctrlPr>
              <w:rPr>
                <w:rFonts w:ascii="Cambria Math" w:hAnsi="Cambria Math"/>
                <w:i/>
              </w:rPr>
            </m:ctrlPr>
          </m:e>
          <m:sub>
            <m:r>
              <m:rPr/>
              <w:rPr>
                <w:rFonts w:ascii="Cambria Math" w:hAnsi="Cambria Math"/>
              </w:rPr>
              <m:t>3</m:t>
            </m:r>
            <m:ctrlPr>
              <w:rPr>
                <w:rFonts w:ascii="Cambria Math" w:hAnsi="Cambria Math"/>
                <w:i/>
              </w:rPr>
            </m:ctrlPr>
          </m:sub>
        </m:sSub>
        <m:r>
          <m:rPr/>
          <w:rPr>
            <w:rFonts w:hint="eastAsia"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V</m:t>
                </m:r>
                <m:ctrlPr>
                  <w:rPr>
                    <w:rFonts w:ascii="Cambria Math" w:hAnsi="Cambria Math"/>
                    <w:i/>
                  </w:rPr>
                </m:ctrlPr>
              </m:e>
              <m:sub>
                <m:r>
                  <m:rPr/>
                  <w:rPr>
                    <w:rFonts w:hint="eastAsia" w:ascii="Cambria Math" w:hAnsi="Cambria Math"/>
                  </w:rPr>
                  <m:t>k</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2φ</m:t>
                </m:r>
                <m:ctrlPr>
                  <w:rPr>
                    <w:rFonts w:ascii="Cambria Math" w:hAnsi="Cambria Math"/>
                    <w:i/>
                  </w:rPr>
                </m:ctrlPr>
              </m:e>
              <m:sub>
                <m:r>
                  <m:rPr/>
                  <w:rPr>
                    <w:rFonts w:ascii="Cambria Math" w:hAnsi="Cambria Math"/>
                  </w:rPr>
                  <m:t>3</m:t>
                </m:r>
                <m:ctrlPr>
                  <w:rPr>
                    <w:rFonts w:ascii="Cambria Math" w:hAnsi="Cambria Math"/>
                    <w:i/>
                  </w:rPr>
                </m:ctrlPr>
              </m:sub>
            </m:sSub>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3</m:t>
                </m:r>
                <m:ctrlPr>
                  <w:rPr>
                    <w:rFonts w:ascii="Cambria Math" w:hAnsi="Cambria Math"/>
                    <w:i/>
                  </w:rPr>
                </m:ctrlPr>
              </m:sub>
            </m:sSub>
            <m:func>
              <m:funcPr>
                <m:ctrlPr>
                  <w:rPr>
                    <w:rFonts w:ascii="Cambria Math" w:hAnsi="Cambria Math"/>
                    <w:i/>
                  </w:rPr>
                </m:ctrlPr>
              </m:funcPr>
              <m:fName>
                <m:r>
                  <m:rPr>
                    <m:sty m:val="p"/>
                  </m:rPr>
                  <w:rPr>
                    <w:rFonts w:ascii="Cambria Math" w:hAnsi="Cambria Math"/>
                  </w:rPr>
                  <m:t>sin</m:t>
                </m:r>
                <m:ctrlPr>
                  <w:rPr>
                    <w:rFonts w:ascii="Cambria Math" w:hAnsi="Cambria Math"/>
                    <w:i/>
                  </w:rPr>
                </m:ctrlPr>
              </m:fName>
              <m:e>
                <m:r>
                  <m:rPr/>
                  <w:rPr>
                    <w:rFonts w:ascii="Cambria Math" w:hAnsi="Cambria Math"/>
                  </w:rPr>
                  <m:t>α</m:t>
                </m:r>
                <m:func>
                  <m:funcPr>
                    <m:ctrlPr>
                      <w:rPr>
                        <w:rFonts w:ascii="Cambria Math" w:hAnsi="Cambria Math"/>
                        <w:i/>
                      </w:rPr>
                    </m:ctrlPr>
                  </m:funcPr>
                  <m:fName>
                    <m:r>
                      <m:rPr>
                        <m:sty m:val="p"/>
                      </m:rPr>
                      <w:rPr>
                        <w:rFonts w:ascii="Cambria Math" w:hAnsi="Cambria Math"/>
                      </w:rPr>
                      <m:t>sin</m:t>
                    </m:r>
                    <m:ctrlPr>
                      <w:rPr>
                        <w:rFonts w:ascii="Cambria Math" w:hAnsi="Cambria Math"/>
                        <w:i/>
                      </w:rPr>
                    </m:ctrlPr>
                  </m:fName>
                  <m:e>
                    <m:r>
                      <m:rPr/>
                      <w:rPr>
                        <w:rFonts w:ascii="Cambria Math" w:hAnsi="Cambria Math"/>
                      </w:rPr>
                      <m:t>β</m:t>
                    </m:r>
                    <m:ctrlPr>
                      <w:rPr>
                        <w:rFonts w:ascii="Cambria Math" w:hAnsi="Cambria Math"/>
                        <w:i/>
                      </w:rPr>
                    </m:ctrlPr>
                  </m:e>
                </m:func>
                <m:ctrlPr>
                  <w:rPr>
                    <w:rFonts w:ascii="Cambria Math" w:hAnsi="Cambria Math"/>
                    <w:i/>
                  </w:rPr>
                </m:ctrlPr>
              </m:e>
            </m:func>
            <m:ctrlPr>
              <w:rPr>
                <w:rFonts w:ascii="Cambria Math" w:hAnsi="Cambria Math"/>
                <w:i/>
              </w:rPr>
            </m:ctrlPr>
          </m:den>
        </m:f>
        <m:r>
          <m:rPr/>
          <w:rPr>
            <w:rFonts w:hint="eastAsia" w:ascii="Cambria Math" w:hAnsi="Cambria Math"/>
          </w:rPr>
          <m:t>≤</m:t>
        </m:r>
        <m:f>
          <m:fPr>
            <m:ctrlPr>
              <w:rPr>
                <w:rFonts w:ascii="Cambria Math" w:hAnsi="Cambria Math"/>
                <w:i/>
              </w:rPr>
            </m:ctrlPr>
          </m:fPr>
          <m:num>
            <m:sSub>
              <m:sSubPr>
                <m:ctrlPr>
                  <w:rPr>
                    <w:rFonts w:ascii="Cambria Math" w:hAnsi="Cambria Math"/>
                    <w:i/>
                  </w:rPr>
                </m:ctrlPr>
              </m:sSubPr>
              <m:e>
                <m:r>
                  <m:rPr/>
                  <w:rPr>
                    <w:rFonts w:hint="eastAsia" w:ascii="Cambria Math" w:hAnsi="Cambria Math"/>
                  </w:rPr>
                  <m:t>f</m:t>
                </m:r>
                <m:ctrlPr>
                  <w:rPr>
                    <w:rFonts w:ascii="Cambria Math" w:hAnsi="Cambria Math"/>
                    <w:i/>
                  </w:rPr>
                </m:ctrlPr>
              </m:e>
              <m:sub>
                <m:r>
                  <m:rPr/>
                  <w:rPr>
                    <w:rFonts w:ascii="Cambria Math" w:hAnsi="Cambria Math"/>
                  </w:rPr>
                  <m:t>y</m:t>
                </m:r>
                <m:r>
                  <m:rPr/>
                  <w:rPr>
                    <w:rFonts w:hint="eastAsia" w:ascii="Cambria Math" w:hAnsi="Cambria Math"/>
                  </w:rPr>
                  <m:t>k</m:t>
                </m:r>
                <m:r>
                  <m:rPr/>
                  <w:rPr>
                    <w:rFonts w:ascii="Cambria Math" w:hAnsi="Cambria Math"/>
                  </w:rPr>
                  <m:t>3</m:t>
                </m:r>
                <m:ctrlPr>
                  <w:rPr>
                    <w:rFonts w:ascii="Cambria Math" w:hAnsi="Cambria Math"/>
                    <w:i/>
                  </w:rPr>
                </m:ctrlPr>
              </m:sub>
            </m:sSub>
            <m:ctrlPr>
              <w:rPr>
                <w:rFonts w:ascii="Cambria Math" w:hAnsi="Cambria Math"/>
                <w:i/>
              </w:rPr>
            </m:ctrlPr>
          </m:num>
          <m:den>
            <m:r>
              <m:rPr/>
              <w:rPr>
                <w:rFonts w:ascii="Cambria Math" w:hAnsi="Cambria Math"/>
              </w:rPr>
              <m:t>2.0</m:t>
            </m:r>
            <m:ctrlPr>
              <w:rPr>
                <w:rFonts w:ascii="Cambria Math" w:hAnsi="Cambria Math"/>
                <w:i/>
              </w:rPr>
            </m:ctrlPr>
          </m:den>
        </m:f>
      </m:oMath>
      <w:r>
        <w:rPr>
          <w:rFonts w:ascii="微软雅黑" w:hAnsi="微软雅黑" w:eastAsia="微软雅黑"/>
        </w:rPr>
        <w:t xml:space="preserve">                               </w:t>
      </w:r>
      <w:r>
        <w:rPr>
          <w:rFonts w:ascii="宋体" w:hAnsi="宋体" w:eastAsia="宋体"/>
        </w:rPr>
        <w:t>(C.5)</w:t>
      </w:r>
    </w:p>
    <w:p>
      <w:pPr>
        <w:pStyle w:val="56"/>
        <w:ind w:firstLine="0" w:firstLineChars="0"/>
      </w:pPr>
      <w:r>
        <w:rPr>
          <w:rFonts w:hint="eastAsia"/>
        </w:rPr>
        <w:t>式中：</w:t>
      </w:r>
    </w:p>
    <w:tbl>
      <w:tblPr>
        <w:tblStyle w:val="26"/>
        <w:tblW w:w="5000" w:type="pct"/>
        <w:jc w:val="right"/>
        <w:tblLayout w:type="autofit"/>
        <w:tblCellMar>
          <w:top w:w="0" w:type="dxa"/>
          <w:left w:w="0" w:type="dxa"/>
          <w:bottom w:w="0" w:type="dxa"/>
          <w:right w:w="0" w:type="dxa"/>
        </w:tblCellMar>
      </w:tblPr>
      <w:tblGrid>
        <w:gridCol w:w="1128"/>
        <w:gridCol w:w="8226"/>
      </w:tblGrid>
      <w:tr>
        <w:tblPrEx>
          <w:tblCellMar>
            <w:top w:w="0" w:type="dxa"/>
            <w:left w:w="0" w:type="dxa"/>
            <w:bottom w:w="0" w:type="dxa"/>
            <w:right w:w="0" w:type="dxa"/>
          </w:tblCellMar>
        </w:tblPrEx>
        <w:trPr>
          <w:trHeight w:val="473" w:hRule="atLeast"/>
          <w:jc w:val="right"/>
        </w:trPr>
        <w:tc>
          <w:tcPr>
            <w:tcW w:w="603" w:type="pct"/>
            <w:tcBorders>
              <w:top w:val="nil"/>
              <w:left w:val="nil"/>
              <w:bottom w:val="nil"/>
              <w:right w:val="nil"/>
            </w:tcBorders>
          </w:tcPr>
          <w:p>
            <w:pPr>
              <w:autoSpaceDE w:val="0"/>
              <w:autoSpaceDN w:val="0"/>
              <w:spacing w:line="360" w:lineRule="auto"/>
              <w:jc w:val="right"/>
              <w:rPr>
                <w:rFonts w:ascii="Times New Roman" w:hAnsi="Times New Roman"/>
                <w:kern w:val="0"/>
              </w:rPr>
            </w:pPr>
            <w:r>
              <w:rPr>
                <w:rFonts w:ascii="Times New Roman" w:hAnsi="Times New Roman"/>
                <w:i/>
              </w:rPr>
              <w:t>σ</w:t>
            </w:r>
            <w:r>
              <w:rPr>
                <w:rFonts w:ascii="Times New Roman" w:hAnsi="Times New Roman"/>
                <w:vertAlign w:val="subscript"/>
              </w:rPr>
              <w:t>3</w:t>
            </w:r>
          </w:p>
        </w:tc>
        <w:tc>
          <w:tcPr>
            <w:tcW w:w="4397" w:type="pct"/>
            <w:tcBorders>
              <w:top w:val="nil"/>
              <w:left w:val="nil"/>
              <w:bottom w:val="nil"/>
              <w:right w:val="nil"/>
            </w:tcBorders>
            <w:vAlign w:val="center"/>
          </w:tcPr>
          <w:p>
            <w:pPr>
              <w:widowControl/>
              <w:adjustRightInd/>
              <w:spacing w:line="360" w:lineRule="auto"/>
              <w:ind w:left="420" w:hanging="420" w:hangingChars="200"/>
              <w:jc w:val="left"/>
              <w:rPr>
                <w:rFonts w:ascii="Times New Roman" w:hAnsi="Times New Roman"/>
                <w:kern w:val="0"/>
                <w:position w:val="2"/>
              </w:rPr>
            </w:pPr>
            <w:r>
              <w:rPr>
                <w:rFonts w:ascii="Times New Roman" w:hAnsi="Times New Roman"/>
                <w:kern w:val="0"/>
              </w:rPr>
              <w:t>——</w:t>
            </w:r>
            <w:r>
              <w:rPr>
                <w:rFonts w:ascii="Times New Roman" w:hAnsi="Times New Roman"/>
                <w:bCs/>
                <w:color w:val="000000"/>
              </w:rPr>
              <w:t>各短暂设计状况下在荷载标准组合作用下的腹杆钢筋压应力；</w:t>
            </w:r>
          </w:p>
        </w:tc>
      </w:tr>
      <w:tr>
        <w:tblPrEx>
          <w:tblCellMar>
            <w:top w:w="0" w:type="dxa"/>
            <w:left w:w="0" w:type="dxa"/>
            <w:bottom w:w="0" w:type="dxa"/>
            <w:right w:w="0" w:type="dxa"/>
          </w:tblCellMar>
        </w:tblPrEx>
        <w:trPr>
          <w:trHeight w:val="494" w:hRule="atLeast"/>
          <w:jc w:val="right"/>
        </w:trPr>
        <w:tc>
          <w:tcPr>
            <w:tcW w:w="603" w:type="pct"/>
            <w:tcBorders>
              <w:top w:val="nil"/>
              <w:left w:val="nil"/>
              <w:bottom w:val="nil"/>
              <w:right w:val="nil"/>
            </w:tcBorders>
          </w:tcPr>
          <w:p>
            <w:pPr>
              <w:autoSpaceDE w:val="0"/>
              <w:autoSpaceDN w:val="0"/>
              <w:spacing w:line="360" w:lineRule="auto"/>
              <w:jc w:val="right"/>
              <w:rPr>
                <w:rFonts w:ascii="Times New Roman" w:hAnsi="Times New Roman"/>
                <w:kern w:val="0"/>
              </w:rPr>
            </w:pPr>
            <w:r>
              <w:rPr>
                <w:rFonts w:ascii="Times New Roman" w:hAnsi="Times New Roman"/>
                <w:bCs/>
                <w:color w:val="000000"/>
              </w:rPr>
              <w:t> </w:t>
            </w:r>
            <w:r>
              <w:rPr>
                <w:rFonts w:ascii="Times New Roman" w:hAnsi="Times New Roman"/>
                <w:i/>
              </w:rPr>
              <w:t>V</w:t>
            </w:r>
            <w:r>
              <w:rPr>
                <w:rFonts w:ascii="Times New Roman" w:hAnsi="Times New Roman"/>
                <w:vertAlign w:val="subscript"/>
              </w:rPr>
              <w:t>k</w:t>
            </w:r>
          </w:p>
        </w:tc>
        <w:tc>
          <w:tcPr>
            <w:tcW w:w="4397" w:type="pct"/>
            <w:tcBorders>
              <w:top w:val="nil"/>
              <w:left w:val="nil"/>
              <w:bottom w:val="nil"/>
              <w:right w:val="nil"/>
            </w:tcBorders>
          </w:tcPr>
          <w:p>
            <w:pPr>
              <w:widowControl/>
              <w:adjustRightInd/>
              <w:spacing w:line="360" w:lineRule="auto"/>
              <w:ind w:left="420" w:hanging="420" w:hangingChars="200"/>
              <w:jc w:val="left"/>
              <w:rPr>
                <w:rFonts w:ascii="Times New Roman" w:hAnsi="Times New Roman"/>
                <w:kern w:val="0"/>
              </w:rPr>
            </w:pPr>
            <w:r>
              <w:rPr>
                <w:rFonts w:ascii="Times New Roman" w:hAnsi="Times New Roman"/>
                <w:kern w:val="0"/>
              </w:rPr>
              <w:t>——</w:t>
            </w:r>
            <w:r>
              <w:rPr>
                <w:rFonts w:ascii="Times New Roman" w:hAnsi="Times New Roman"/>
                <w:bCs/>
                <w:color w:val="000000"/>
              </w:rPr>
              <w:t>各短暂设计状况下在荷载标准组合作用下等效组合截面剪力标准值</w:t>
            </w:r>
            <w:r>
              <w:rPr>
                <w:rFonts w:ascii="Times New Roman" w:hAnsi="Times New Roman"/>
                <w:kern w:val="0"/>
              </w:rPr>
              <w:t>；</w:t>
            </w:r>
          </w:p>
        </w:tc>
      </w:tr>
      <w:tr>
        <w:tblPrEx>
          <w:tblCellMar>
            <w:top w:w="0" w:type="dxa"/>
            <w:left w:w="0" w:type="dxa"/>
            <w:bottom w:w="0" w:type="dxa"/>
            <w:right w:w="0" w:type="dxa"/>
          </w:tblCellMar>
        </w:tblPrEx>
        <w:trPr>
          <w:trHeight w:val="494" w:hRule="atLeast"/>
          <w:jc w:val="right"/>
        </w:trPr>
        <w:tc>
          <w:tcPr>
            <w:tcW w:w="603" w:type="pct"/>
            <w:tcBorders>
              <w:top w:val="nil"/>
              <w:left w:val="nil"/>
              <w:bottom w:val="nil"/>
              <w:right w:val="nil"/>
            </w:tcBorders>
          </w:tcPr>
          <w:p>
            <w:pPr>
              <w:autoSpaceDE w:val="0"/>
              <w:autoSpaceDN w:val="0"/>
              <w:spacing w:line="360" w:lineRule="auto"/>
              <w:jc w:val="right"/>
              <w:rPr>
                <w:rFonts w:ascii="Times New Roman" w:hAnsi="Times New Roman"/>
                <w:spacing w:val="-7"/>
                <w:kern w:val="0"/>
              </w:rPr>
            </w:pPr>
            <m:oMathPara>
              <m:oMathParaPr>
                <m:jc m:val="right"/>
              </m:oMathParaPr>
              <m:oMath>
                <m:sSub>
                  <m:sSubPr>
                    <m:ctrlPr>
                      <w:rPr>
                        <w:rFonts w:ascii="Cambria Math" w:hAnsi="Cambria Math"/>
                        <w:bCs/>
                        <w:color w:val="000000"/>
                      </w:rPr>
                    </m:ctrlPr>
                  </m:sSubPr>
                  <m:e>
                    <m:r>
                      <m:rPr/>
                      <w:rPr>
                        <w:rFonts w:ascii="Cambria Math" w:hAnsi="Cambria Math"/>
                        <w:color w:val="000000"/>
                      </w:rPr>
                      <m:t>φ</m:t>
                    </m:r>
                    <m:ctrlPr>
                      <w:rPr>
                        <w:rFonts w:ascii="Cambria Math" w:hAnsi="Cambria Math"/>
                        <w:bCs/>
                        <w:color w:val="000000"/>
                      </w:rPr>
                    </m:ctrlPr>
                  </m:e>
                  <m:sub>
                    <m:r>
                      <m:rPr/>
                      <w:rPr>
                        <w:rFonts w:ascii="Cambria Math" w:hAnsi="Cambria Math"/>
                        <w:color w:val="000000"/>
                      </w:rPr>
                      <m:t>3</m:t>
                    </m:r>
                    <m:ctrlPr>
                      <w:rPr>
                        <w:rFonts w:ascii="Cambria Math" w:hAnsi="Cambria Math"/>
                        <w:bCs/>
                        <w:color w:val="000000"/>
                      </w:rPr>
                    </m:ctrlPr>
                  </m:sub>
                </m:sSub>
              </m:oMath>
            </m:oMathPara>
          </w:p>
        </w:tc>
        <w:tc>
          <w:tcPr>
            <w:tcW w:w="4397" w:type="pct"/>
            <w:tcBorders>
              <w:top w:val="nil"/>
              <w:left w:val="nil"/>
              <w:bottom w:val="nil"/>
              <w:right w:val="nil"/>
            </w:tcBorders>
          </w:tcPr>
          <w:p>
            <w:pPr>
              <w:widowControl/>
              <w:adjustRightInd/>
              <w:spacing w:line="360" w:lineRule="auto"/>
              <w:ind w:left="420" w:hanging="420" w:hangingChars="200"/>
              <w:jc w:val="left"/>
              <w:rPr>
                <w:rFonts w:ascii="Times New Roman" w:hAnsi="Times New Roman"/>
                <w:kern w:val="0"/>
              </w:rPr>
            </w:pPr>
            <w:r>
              <w:rPr>
                <w:rFonts w:ascii="Times New Roman" w:hAnsi="Times New Roman"/>
                <w:kern w:val="0"/>
              </w:rPr>
              <w:t>——</w:t>
            </w:r>
            <w:r>
              <w:rPr>
                <w:rFonts w:ascii="Times New Roman" w:hAnsi="Times New Roman"/>
                <w:bCs/>
                <w:color w:val="000000"/>
              </w:rPr>
              <w:t xml:space="preserve">腹杆钢筋的轴心受压稳定系数，按现行国家标准《钢结构设计标准》GB 50017 </w:t>
            </w:r>
            <w:r>
              <w:rPr>
                <w:rFonts w:ascii="宋体" w:hAnsi="宋体"/>
                <w:bCs/>
                <w:color w:val="000000"/>
              </w:rPr>
              <w:t xml:space="preserve">确定；计算长度取 </w:t>
            </w:r>
            <w:r>
              <w:rPr>
                <w:rFonts w:ascii="Times New Roman" w:hAnsi="Times New Roman"/>
                <w:bCs/>
                <w:color w:val="000000"/>
              </w:rPr>
              <w:t xml:space="preserve">0.7 </w:t>
            </w:r>
            <w:r>
              <w:rPr>
                <w:rFonts w:ascii="宋体" w:hAnsi="宋体"/>
                <w:bCs/>
                <w:color w:val="000000"/>
              </w:rPr>
              <w:t>倍腹杆钢筋自由段长度；</w:t>
            </w:r>
          </w:p>
        </w:tc>
      </w:tr>
      <w:tr>
        <w:tblPrEx>
          <w:tblCellMar>
            <w:top w:w="0" w:type="dxa"/>
            <w:left w:w="0" w:type="dxa"/>
            <w:bottom w:w="0" w:type="dxa"/>
            <w:right w:w="0" w:type="dxa"/>
          </w:tblCellMar>
        </w:tblPrEx>
        <w:trPr>
          <w:trHeight w:val="494" w:hRule="atLeast"/>
          <w:jc w:val="right"/>
        </w:trPr>
        <w:tc>
          <w:tcPr>
            <w:tcW w:w="603" w:type="pct"/>
            <w:tcBorders>
              <w:top w:val="nil"/>
              <w:left w:val="nil"/>
              <w:bottom w:val="nil"/>
              <w:right w:val="nil"/>
            </w:tcBorders>
          </w:tcPr>
          <w:p>
            <w:pPr>
              <w:autoSpaceDE w:val="0"/>
              <w:autoSpaceDN w:val="0"/>
              <w:spacing w:line="360" w:lineRule="auto"/>
              <w:jc w:val="right"/>
              <w:rPr>
                <w:rFonts w:ascii="Times New Roman" w:hAnsi="Times New Roman"/>
                <w:bCs/>
                <w:color w:val="000000"/>
              </w:rPr>
            </w:pPr>
            <w:r>
              <w:rPr>
                <w:rFonts w:ascii="Times New Roman" w:hAnsi="Times New Roman"/>
                <w:bCs/>
                <w:color w:val="000000"/>
              </w:rPr>
              <w:t> </w:t>
            </w:r>
            <w:r>
              <w:rPr>
                <w:rFonts w:ascii="Times New Roman" w:hAnsi="Times New Roman"/>
                <w:i/>
              </w:rPr>
              <w:t>A</w:t>
            </w:r>
            <w:r>
              <w:rPr>
                <w:rFonts w:ascii="Times New Roman" w:hAnsi="Times New Roman"/>
                <w:vertAlign w:val="subscript"/>
              </w:rPr>
              <w:t>3</w:t>
            </w:r>
          </w:p>
        </w:tc>
        <w:tc>
          <w:tcPr>
            <w:tcW w:w="4397" w:type="pct"/>
            <w:tcBorders>
              <w:top w:val="nil"/>
              <w:left w:val="nil"/>
              <w:bottom w:val="nil"/>
              <w:right w:val="nil"/>
            </w:tcBorders>
            <w:vAlign w:val="bottom"/>
          </w:tcPr>
          <w:p>
            <w:pPr>
              <w:snapToGrid w:val="0"/>
              <w:spacing w:line="360" w:lineRule="auto"/>
              <w:ind w:left="420" w:hanging="420" w:hangingChars="200"/>
              <w:rPr>
                <w:rFonts w:ascii="Times New Roman" w:hAnsi="Times New Roman"/>
                <w:kern w:val="0"/>
              </w:rPr>
            </w:pPr>
            <w:r>
              <w:rPr>
                <w:rFonts w:ascii="Times New Roman" w:hAnsi="Times New Roman"/>
                <w:kern w:val="0"/>
              </w:rPr>
              <w:t>——</w:t>
            </w:r>
            <w:r>
              <w:rPr>
                <w:rFonts w:ascii="Times New Roman" w:hAnsi="Times New Roman"/>
                <w:bCs/>
                <w:color w:val="000000"/>
              </w:rPr>
              <w:t>单肢腹杆钢筋的截面面积；</w:t>
            </w:r>
          </w:p>
        </w:tc>
      </w:tr>
      <w:tr>
        <w:tblPrEx>
          <w:tblCellMar>
            <w:top w:w="0" w:type="dxa"/>
            <w:left w:w="0" w:type="dxa"/>
            <w:bottom w:w="0" w:type="dxa"/>
            <w:right w:w="0" w:type="dxa"/>
          </w:tblCellMar>
        </w:tblPrEx>
        <w:trPr>
          <w:trHeight w:val="494" w:hRule="atLeast"/>
          <w:jc w:val="right"/>
        </w:trPr>
        <w:tc>
          <w:tcPr>
            <w:tcW w:w="603" w:type="pct"/>
            <w:tcBorders>
              <w:top w:val="nil"/>
              <w:left w:val="nil"/>
              <w:bottom w:val="nil"/>
              <w:right w:val="nil"/>
            </w:tcBorders>
          </w:tcPr>
          <w:p>
            <w:pPr>
              <w:autoSpaceDE w:val="0"/>
              <w:autoSpaceDN w:val="0"/>
              <w:spacing w:line="360" w:lineRule="auto"/>
              <w:jc w:val="right"/>
              <w:rPr>
                <w:rFonts w:ascii="Times New Roman" w:hAnsi="Times New Roman"/>
                <w:bCs/>
                <w:color w:val="000000"/>
              </w:rPr>
            </w:pPr>
            <w:r>
              <w:rPr>
                <w:rFonts w:ascii="Times New Roman" w:hAnsi="Times New Roman"/>
                <w:i/>
              </w:rPr>
              <w:t>f</w:t>
            </w:r>
            <w:r>
              <w:rPr>
                <w:rFonts w:ascii="Times New Roman" w:hAnsi="Times New Roman"/>
                <w:vertAlign w:val="subscript"/>
              </w:rPr>
              <w:t>yk3</w:t>
            </w:r>
          </w:p>
        </w:tc>
        <w:tc>
          <w:tcPr>
            <w:tcW w:w="4397" w:type="pct"/>
            <w:tcBorders>
              <w:top w:val="nil"/>
              <w:left w:val="nil"/>
              <w:bottom w:val="nil"/>
              <w:right w:val="nil"/>
            </w:tcBorders>
            <w:vAlign w:val="center"/>
          </w:tcPr>
          <w:p>
            <w:pPr>
              <w:widowControl/>
              <w:adjustRightInd/>
              <w:spacing w:line="360" w:lineRule="auto"/>
              <w:jc w:val="left"/>
              <w:rPr>
                <w:rFonts w:ascii="Times New Roman" w:hAnsi="Times New Roman"/>
                <w:kern w:val="0"/>
              </w:rPr>
            </w:pPr>
            <w:r>
              <w:rPr>
                <w:rFonts w:ascii="Times New Roman" w:hAnsi="Times New Roman"/>
                <w:kern w:val="0"/>
              </w:rPr>
              <w:t>——</w:t>
            </w:r>
            <w:r>
              <w:rPr>
                <w:rFonts w:ascii="Times New Roman" w:hAnsi="Times New Roman"/>
                <w:bCs/>
                <w:color w:val="000000"/>
              </w:rPr>
              <w:t>桁架腹杆钢筋的屈服强度标准值。</w:t>
            </w:r>
          </w:p>
        </w:tc>
      </w:tr>
    </w:tbl>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pStyle w:val="56"/>
        <w:ind w:firstLine="0" w:firstLineChars="0"/>
      </w:pPr>
    </w:p>
    <w:p>
      <w:pPr>
        <w:adjustRightInd/>
        <w:spacing w:before="312" w:beforeLines="100" w:after="312" w:afterLines="100" w:line="300" w:lineRule="auto"/>
        <w:jc w:val="center"/>
        <w:outlineLvl w:val="0"/>
        <w:rPr>
          <w:rFonts w:ascii="Times New Roman" w:hAnsi="Times New Roman"/>
          <w:b/>
          <w:color w:val="000000" w:themeColor="text1"/>
          <w14:textFill>
            <w14:solidFill>
              <w14:schemeClr w14:val="tx1"/>
            </w14:solidFill>
          </w14:textFill>
        </w:rPr>
      </w:pPr>
      <w:r>
        <w:rPr>
          <w:rFonts w:ascii="宋体" w:hAnsi="宋体"/>
          <w:b/>
          <w:color w:val="000000" w:themeColor="text1"/>
          <w14:textFill>
            <w14:solidFill>
              <w14:schemeClr w14:val="tx1"/>
            </w14:solidFill>
          </w14:textFill>
        </w:rPr>
        <w:t>本标准用词说明</w:t>
      </w:r>
    </w:p>
    <w:p>
      <w:pPr>
        <w:snapToGrid w:val="0"/>
        <w:spacing w:line="360" w:lineRule="auto"/>
        <w:ind w:firstLine="602" w:firstLineChars="250"/>
        <w:rPr>
          <w:rFonts w:ascii="Times New Roman" w:hAnsi="Times New Roman"/>
          <w:color w:val="000000" w:themeColor="text1"/>
          <w:sz w:val="24"/>
          <w:szCs w:val="24"/>
          <w14:textFill>
            <w14:solidFill>
              <w14:schemeClr w14:val="tx1"/>
            </w14:solidFill>
          </w14:textFill>
        </w:rPr>
      </w:pPr>
      <w:r>
        <w:rPr>
          <w:rFonts w:ascii="Times New Roman" w:hAnsi="Times New Roman"/>
          <w:b/>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为便于在执行本标准条文时区别对待，对要求严格程度不同的用词说明如下：</w:t>
      </w:r>
    </w:p>
    <w:p>
      <w:pPr>
        <w:numPr>
          <w:ilvl w:val="1"/>
          <w:numId w:val="77"/>
        </w:numPr>
        <w:adjustRightInd/>
        <w:snapToGrid w:val="0"/>
        <w:spacing w:line="360" w:lineRule="auto"/>
        <w:textAlignment w:val="baseline"/>
        <w:rPr>
          <w:rFonts w:ascii="Times New Roman" w:hAnsi="Times New Roman"/>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表示很严格，非这样做不可的：</w:t>
      </w:r>
    </w:p>
    <w:p>
      <w:pPr>
        <w:snapToGrid w:val="0"/>
        <w:spacing w:line="360" w:lineRule="auto"/>
        <w:textAlignment w:val="baseline"/>
        <w:rPr>
          <w:rFonts w:ascii="Times New Roman" w:hAnsi="Times New Roman"/>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正面词采用</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必须</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；反面词采用</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严禁</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w:t>
      </w:r>
    </w:p>
    <w:p>
      <w:pPr>
        <w:snapToGrid w:val="0"/>
        <w:spacing w:line="360" w:lineRule="auto"/>
        <w:ind w:firstLine="480" w:firstLineChars="200"/>
        <w:textAlignment w:val="baseline"/>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）表示严格，在正常情况下均应这样做的：</w:t>
      </w:r>
    </w:p>
    <w:p>
      <w:pPr>
        <w:snapToGrid w:val="0"/>
        <w:spacing w:line="360" w:lineRule="auto"/>
        <w:ind w:firstLine="480" w:firstLineChars="200"/>
        <w:textAlignment w:val="baseline"/>
        <w:rPr>
          <w:rFonts w:ascii="Times New Roman" w:hAnsi="Times New Roman"/>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正面词采用</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应</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；反面词采用</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不应</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或</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不得</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w:t>
      </w:r>
    </w:p>
    <w:p>
      <w:pPr>
        <w:snapToGrid w:val="0"/>
        <w:spacing w:line="360" w:lineRule="auto"/>
        <w:ind w:firstLine="480" w:firstLineChars="200"/>
        <w:textAlignment w:val="baseline"/>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3</w:t>
      </w:r>
      <w:r>
        <w:rPr>
          <w:rFonts w:ascii="宋体" w:hAnsi="宋体"/>
          <w:color w:val="000000" w:themeColor="text1"/>
          <w:sz w:val="24"/>
          <w:szCs w:val="24"/>
          <w14:textFill>
            <w14:solidFill>
              <w14:schemeClr w14:val="tx1"/>
            </w14:solidFill>
          </w14:textFill>
        </w:rPr>
        <w:t>）表示允许稍有选择，在条件允许时首先这样做的：</w:t>
      </w:r>
    </w:p>
    <w:p>
      <w:pPr>
        <w:snapToGrid w:val="0"/>
        <w:spacing w:line="360" w:lineRule="auto"/>
        <w:ind w:firstLine="480" w:firstLineChars="200"/>
        <w:textAlignment w:val="baseline"/>
        <w:rPr>
          <w:rFonts w:ascii="Times New Roman" w:hAnsi="Times New Roman"/>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正面词采用</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宜</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；反面词采用</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不宜</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w:t>
      </w:r>
    </w:p>
    <w:p>
      <w:pPr>
        <w:snapToGrid w:val="0"/>
        <w:spacing w:line="360" w:lineRule="auto"/>
        <w:ind w:firstLine="480" w:firstLineChars="200"/>
        <w:textAlignment w:val="baseline"/>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4</w:t>
      </w:r>
      <w:r>
        <w:rPr>
          <w:rFonts w:ascii="宋体" w:hAnsi="宋体"/>
          <w:color w:val="000000" w:themeColor="text1"/>
          <w:sz w:val="24"/>
          <w:szCs w:val="24"/>
          <w14:textFill>
            <w14:solidFill>
              <w14:schemeClr w14:val="tx1"/>
            </w14:solidFill>
          </w14:textFill>
        </w:rPr>
        <w:t>）表示有选择，在一定条件下可以这样做的，采用</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可</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w:t>
      </w:r>
    </w:p>
    <w:p>
      <w:pPr>
        <w:snapToGrid w:val="0"/>
        <w:spacing w:line="360" w:lineRule="auto"/>
        <w:ind w:firstLine="482" w:firstLineChars="200"/>
        <w:rPr>
          <w:rFonts w:ascii="宋体" w:hAnsi="宋体"/>
          <w:color w:val="000000" w:themeColor="text1"/>
          <w:sz w:val="24"/>
          <w:szCs w:val="24"/>
          <w14:textFill>
            <w14:solidFill>
              <w14:schemeClr w14:val="tx1"/>
            </w14:solidFill>
          </w14:textFill>
        </w:rPr>
      </w:pPr>
      <w:r>
        <w:rPr>
          <w:rFonts w:ascii="Times New Roman" w:hAnsi="Times New Roman"/>
          <w:b/>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条文中指明应按其他有关标准执行的写法为：</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应符合</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的规定</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或</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应按</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执行</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w:t>
      </w:r>
      <w:bookmarkEnd w:id="0"/>
    </w:p>
    <w:p>
      <w:pPr>
        <w:snapToGrid w:val="0"/>
        <w:spacing w:line="360" w:lineRule="auto"/>
        <w:ind w:firstLine="480" w:firstLineChars="200"/>
        <w:rPr>
          <w:rFonts w:ascii="宋体" w:hAnsi="宋体"/>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jc w:val="center"/>
        <w:rPr>
          <w:rFonts w:ascii="黑体" w:hAnsi="宋体" w:eastAsia="黑体" w:cs="Calibri"/>
          <w:sz w:val="36"/>
          <w:szCs w:val="36"/>
        </w:rPr>
      </w:pPr>
      <w:r>
        <w:rPr>
          <w:rFonts w:hint="eastAsia" w:ascii="黑体" w:hAnsi="黑体" w:eastAsia="黑体" w:cs="Calibri"/>
          <w:sz w:val="36"/>
          <w:szCs w:val="36"/>
        </w:rPr>
        <w:t>湖 北 省 地 方 标 准</w:t>
      </w:r>
    </w:p>
    <w:p>
      <w:pPr>
        <w:snapToGrid w:val="0"/>
        <w:spacing w:line="360" w:lineRule="auto"/>
        <w:jc w:val="center"/>
        <w:rPr>
          <w:rFonts w:ascii="宋体" w:hAnsi="宋体" w:eastAsia="黑体" w:cs="Calibri"/>
          <w:b/>
          <w:sz w:val="32"/>
          <w:szCs w:val="32"/>
        </w:rPr>
      </w:pPr>
      <w:r>
        <w:rPr>
          <w:rFonts w:hint="eastAsia" w:ascii="宋体" w:hAnsi="宋体" w:eastAsia="黑体" w:cs="Calibri"/>
          <w:b/>
          <w:sz w:val="32"/>
          <w:szCs w:val="32"/>
        </w:rPr>
        <w:t xml:space="preserve"> </w:t>
      </w:r>
    </w:p>
    <w:p>
      <w:pPr>
        <w:snapToGrid w:val="0"/>
        <w:spacing w:line="360" w:lineRule="auto"/>
        <w:jc w:val="center"/>
        <w:rPr>
          <w:rFonts w:ascii="黑体" w:hAnsi="宋体" w:eastAsia="黑体" w:cs="Calibri"/>
          <w:spacing w:val="-8"/>
          <w:sz w:val="36"/>
          <w:szCs w:val="36"/>
        </w:rPr>
      </w:pPr>
      <w:r>
        <w:rPr>
          <w:rFonts w:hint="eastAsia" w:ascii="黑体" w:hAnsi="黑体" w:eastAsia="黑体" w:cs="Calibri"/>
          <w:spacing w:val="-8"/>
          <w:sz w:val="36"/>
          <w:szCs w:val="36"/>
        </w:rPr>
        <w:t>钢筋桁架混凝土叠合楼板技术规程</w:t>
      </w:r>
    </w:p>
    <w:p>
      <w:pPr>
        <w:snapToGrid w:val="0"/>
        <w:spacing w:line="360" w:lineRule="auto"/>
        <w:jc w:val="center"/>
        <w:rPr>
          <w:rFonts w:ascii="黑体" w:hAnsi="宋体" w:eastAsia="黑体" w:cs="Calibri"/>
          <w:sz w:val="44"/>
          <w:szCs w:val="44"/>
        </w:rPr>
      </w:pPr>
      <w:r>
        <w:rPr>
          <w:rFonts w:hint="eastAsia" w:ascii="黑体" w:hAnsi="宋体" w:eastAsia="黑体" w:cs="Calibri"/>
          <w:sz w:val="44"/>
          <w:szCs w:val="44"/>
        </w:rPr>
        <w:t xml:space="preserve"> </w:t>
      </w:r>
    </w:p>
    <w:p>
      <w:pPr>
        <w:adjustRightInd/>
        <w:jc w:val="center"/>
        <w:rPr>
          <w:rFonts w:ascii="宋体" w:hAnsi="宋体" w:cs="Calibri"/>
          <w:b/>
          <w:sz w:val="28"/>
          <w:szCs w:val="28"/>
        </w:rPr>
      </w:pPr>
      <w:r>
        <w:rPr>
          <w:rFonts w:cs="Calibri"/>
          <w:b/>
          <w:sz w:val="28"/>
          <w:szCs w:val="28"/>
        </w:rPr>
        <w:t>DB 42/T XXXX—2022</w:t>
      </w:r>
    </w:p>
    <w:p>
      <w:pPr>
        <w:snapToGrid w:val="0"/>
        <w:spacing w:line="360" w:lineRule="auto"/>
        <w:jc w:val="center"/>
        <w:rPr>
          <w:rFonts w:ascii="黑体" w:hAnsi="宋体" w:eastAsia="黑体" w:cs="Calibri"/>
          <w:sz w:val="44"/>
          <w:szCs w:val="44"/>
        </w:rPr>
      </w:pPr>
    </w:p>
    <w:p>
      <w:pPr>
        <w:keepNext/>
        <w:adjustRightInd/>
        <w:spacing w:before="100" w:beforeAutospacing="1" w:after="100" w:afterAutospacing="1" w:line="576" w:lineRule="auto"/>
        <w:jc w:val="center"/>
        <w:outlineLvl w:val="0"/>
        <w:rPr>
          <w:rFonts w:ascii="宋体" w:hAnsi="宋体" w:cs="Calibri"/>
          <w:b/>
          <w:kern w:val="44"/>
          <w:sz w:val="32"/>
          <w:szCs w:val="32"/>
        </w:rPr>
      </w:pPr>
      <w:r>
        <w:rPr>
          <w:rFonts w:hint="eastAsia" w:ascii="宋体" w:hAnsi="宋体" w:cs="Calibri"/>
          <w:b/>
          <w:kern w:val="44"/>
          <w:sz w:val="32"/>
          <w:szCs w:val="32"/>
        </w:rPr>
        <w:t>条  文  说  明</w:t>
      </w: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snapToGrid w:val="0"/>
        <w:spacing w:line="360" w:lineRule="auto"/>
        <w:ind w:firstLine="480" w:firstLineChars="200"/>
        <w:rPr>
          <w:rFonts w:ascii="Times New Roman" w:hAnsi="Times New Roman"/>
          <w:color w:val="000000"/>
          <w:sz w:val="24"/>
          <w:szCs w:val="24"/>
        </w:rPr>
      </w:pPr>
    </w:p>
    <w:p>
      <w:pPr>
        <w:pStyle w:val="91"/>
        <w:spacing w:after="468"/>
      </w:pPr>
      <w:bookmarkStart w:id="123" w:name="_Toc36111825"/>
      <w:bookmarkEnd w:id="123"/>
      <w:bookmarkStart w:id="124" w:name="_Toc36213123"/>
      <w:bookmarkEnd w:id="124"/>
      <w:bookmarkStart w:id="125" w:name="_Toc36132239"/>
      <w:bookmarkEnd w:id="125"/>
      <w:bookmarkStart w:id="126" w:name="_Toc36203172"/>
      <w:bookmarkEnd w:id="126"/>
      <w:r>
        <w:rPr>
          <w:rFonts w:hint="eastAsia"/>
          <w:spacing w:val="320"/>
        </w:rPr>
        <w:t>目</w:t>
      </w:r>
      <w:r>
        <w:rPr>
          <w:rFonts w:hint="eastAsia"/>
        </w:rPr>
        <w:t>次</w:t>
      </w:r>
    </w:p>
    <w:sdt>
      <w:sdtPr>
        <w:rPr>
          <w:rFonts w:ascii="宋体" w:hAnsi="宋体"/>
        </w:rPr>
        <w:id w:val="147465830"/>
        <w15:color w:val="DBDBDB"/>
        <w:docPartObj>
          <w:docPartGallery w:val="Table of Contents"/>
          <w:docPartUnique/>
        </w:docPartObj>
      </w:sdtPr>
      <w:sdtEndPr>
        <w:rPr>
          <w:rFonts w:ascii="Calibri" w:hAnsi="Calibri"/>
          <w:highlight w:val="yellow"/>
        </w:rPr>
      </w:sdtEndPr>
      <w:sdtContent>
        <w:p>
          <w:pPr>
            <w:spacing w:line="240" w:lineRule="auto"/>
            <w:jc w:val="center"/>
          </w:pPr>
        </w:p>
        <w:p>
          <w:pPr>
            <w:pStyle w:val="19"/>
            <w:tabs>
              <w:tab w:val="right" w:leader="dot" w:pos="9241"/>
            </w:tabs>
            <w:adjustRightInd/>
            <w:spacing w:before="78" w:beforeLines="25" w:after="78" w:afterLines="25" w:line="300" w:lineRule="exact"/>
            <w:jc w:val="left"/>
          </w:pPr>
          <w:r>
            <w:fldChar w:fldCharType="begin"/>
          </w:r>
          <w:r>
            <w:instrText xml:space="preserve">TOC \o "1-1" \h \u </w:instrText>
          </w:r>
          <w:r>
            <w:fldChar w:fldCharType="separate"/>
          </w:r>
          <w:r>
            <w:fldChar w:fldCharType="begin"/>
          </w:r>
          <w:r>
            <w:instrText xml:space="preserve"> HYPERLINK \l "_Toc30810" </w:instrText>
          </w:r>
          <w:r>
            <w:fldChar w:fldCharType="separate"/>
          </w:r>
          <w:r>
            <w:rPr>
              <w:rFonts w:hint="eastAsia"/>
            </w:rPr>
            <w:t>1</w:t>
          </w:r>
          <w:r>
            <w:t xml:space="preserve"> </w:t>
          </w:r>
          <w:r>
            <w:rPr>
              <w:rFonts w:hint="eastAsia"/>
            </w:rPr>
            <w:t>范围</w:t>
          </w:r>
          <w:r>
            <w:tab/>
          </w:r>
          <w:r>
            <w:rPr>
              <w:rFonts w:hint="eastAsia"/>
            </w:rPr>
            <w:t>3</w:t>
          </w:r>
          <w:r>
            <w:rPr>
              <w:rFonts w:hint="eastAsia"/>
            </w:rPr>
            <w:fldChar w:fldCharType="end"/>
          </w:r>
          <w:r>
            <w:rPr>
              <w:rFonts w:hint="eastAsia"/>
            </w:rPr>
            <w:t>2</w:t>
          </w:r>
        </w:p>
        <w:p>
          <w:pPr>
            <w:pStyle w:val="19"/>
            <w:tabs>
              <w:tab w:val="right" w:leader="dot" w:pos="9241"/>
            </w:tabs>
            <w:adjustRightInd/>
            <w:spacing w:before="78" w:beforeLines="25" w:after="78" w:afterLines="25" w:line="300" w:lineRule="exact"/>
            <w:jc w:val="left"/>
          </w:pPr>
          <w:r>
            <w:fldChar w:fldCharType="begin"/>
          </w:r>
          <w:r>
            <w:instrText xml:space="preserve"> HYPERLINK \l "_Toc22801" </w:instrText>
          </w:r>
          <w:r>
            <w:fldChar w:fldCharType="separate"/>
          </w:r>
          <w:r>
            <w:rPr>
              <w:rFonts w:hint="eastAsia"/>
            </w:rPr>
            <w:t>3</w:t>
          </w:r>
          <w:r>
            <w:t xml:space="preserve"> </w:t>
          </w:r>
          <w:r>
            <w:rPr>
              <w:rFonts w:hint="eastAsia"/>
            </w:rPr>
            <w:t>术语和符号</w:t>
          </w:r>
          <w:r>
            <w:tab/>
          </w:r>
          <w:r>
            <w:rPr>
              <w:rFonts w:hint="eastAsia"/>
            </w:rPr>
            <w:t>3</w:t>
          </w:r>
          <w:r>
            <w:rPr>
              <w:rFonts w:hint="eastAsia"/>
            </w:rPr>
            <w:fldChar w:fldCharType="end"/>
          </w:r>
          <w:r>
            <w:rPr>
              <w:rFonts w:hint="eastAsia"/>
            </w:rPr>
            <w:t>2</w:t>
          </w:r>
        </w:p>
        <w:p>
          <w:pPr>
            <w:pStyle w:val="19"/>
            <w:tabs>
              <w:tab w:val="right" w:leader="dot" w:pos="9241"/>
            </w:tabs>
            <w:adjustRightInd/>
            <w:spacing w:before="78" w:beforeLines="25" w:after="78" w:afterLines="25" w:line="300" w:lineRule="exact"/>
            <w:jc w:val="left"/>
          </w:pPr>
          <w:r>
            <w:fldChar w:fldCharType="begin"/>
          </w:r>
          <w:r>
            <w:instrText xml:space="preserve"> HYPERLINK \l "_Toc16389" </w:instrText>
          </w:r>
          <w:r>
            <w:fldChar w:fldCharType="separate"/>
          </w:r>
          <w:r>
            <w:rPr>
              <w:rFonts w:hint="eastAsia"/>
            </w:rPr>
            <w:t>4</w:t>
          </w:r>
          <w:r>
            <w:t xml:space="preserve"> </w:t>
          </w:r>
          <w:r>
            <w:rPr>
              <w:rFonts w:hint="eastAsia"/>
            </w:rPr>
            <w:t>总则</w:t>
          </w:r>
          <w:r>
            <w:tab/>
          </w:r>
          <w:r>
            <w:rPr>
              <w:rFonts w:hint="eastAsia"/>
            </w:rPr>
            <w:t>3</w:t>
          </w:r>
          <w:r>
            <w:rPr>
              <w:rFonts w:hint="eastAsia"/>
            </w:rPr>
            <w:fldChar w:fldCharType="end"/>
          </w:r>
          <w:r>
            <w:rPr>
              <w:rFonts w:hint="eastAsia"/>
            </w:rPr>
            <w:t>3</w:t>
          </w:r>
        </w:p>
        <w:p>
          <w:pPr>
            <w:pStyle w:val="19"/>
            <w:tabs>
              <w:tab w:val="right" w:leader="dot" w:pos="9241"/>
            </w:tabs>
            <w:adjustRightInd/>
            <w:spacing w:before="78" w:beforeLines="25" w:after="78" w:afterLines="25" w:line="300" w:lineRule="exact"/>
            <w:jc w:val="left"/>
          </w:pPr>
          <w:r>
            <w:fldChar w:fldCharType="begin"/>
          </w:r>
          <w:r>
            <w:instrText xml:space="preserve"> HYPERLINK \l "_Toc20436" </w:instrText>
          </w:r>
          <w:r>
            <w:fldChar w:fldCharType="separate"/>
          </w:r>
          <w:r>
            <w:t>5 材料</w:t>
          </w:r>
          <w:r>
            <w:tab/>
          </w:r>
          <w:r>
            <w:rPr>
              <w:rFonts w:hint="eastAsia"/>
            </w:rPr>
            <w:t>3</w:t>
          </w:r>
          <w:r>
            <w:rPr>
              <w:rFonts w:hint="eastAsia"/>
            </w:rPr>
            <w:fldChar w:fldCharType="end"/>
          </w:r>
          <w:r>
            <w:rPr>
              <w:rFonts w:hint="eastAsia"/>
            </w:rPr>
            <w:t>3</w:t>
          </w:r>
        </w:p>
        <w:p>
          <w:pPr>
            <w:pStyle w:val="19"/>
            <w:tabs>
              <w:tab w:val="right" w:leader="dot" w:pos="9241"/>
            </w:tabs>
            <w:adjustRightInd/>
            <w:spacing w:before="78" w:beforeLines="25" w:after="78" w:afterLines="25" w:line="300" w:lineRule="exact"/>
            <w:jc w:val="left"/>
          </w:pPr>
          <w:r>
            <w:fldChar w:fldCharType="begin"/>
          </w:r>
          <w:r>
            <w:instrText xml:space="preserve"> HYPERLINK \l "_Toc29335" </w:instrText>
          </w:r>
          <w:r>
            <w:fldChar w:fldCharType="separate"/>
          </w:r>
          <w:r>
            <w:rPr>
              <w:rFonts w:hint="eastAsia"/>
            </w:rPr>
            <w:t>6结构设计</w:t>
          </w:r>
          <w:r>
            <w:tab/>
          </w:r>
          <w:r>
            <w:rPr>
              <w:rFonts w:hint="eastAsia"/>
            </w:rPr>
            <w:t>3</w:t>
          </w:r>
          <w:r>
            <w:rPr>
              <w:rFonts w:hint="eastAsia"/>
            </w:rPr>
            <w:fldChar w:fldCharType="end"/>
          </w:r>
          <w:r>
            <w:rPr>
              <w:rFonts w:hint="eastAsia"/>
            </w:rPr>
            <w:t>4</w:t>
          </w:r>
        </w:p>
        <w:p>
          <w:pPr>
            <w:pStyle w:val="19"/>
            <w:tabs>
              <w:tab w:val="right" w:leader="dot" w:pos="9241"/>
            </w:tabs>
            <w:adjustRightInd/>
            <w:spacing w:before="78" w:beforeLines="25" w:after="78" w:afterLines="25" w:line="300" w:lineRule="exact"/>
            <w:jc w:val="left"/>
          </w:pPr>
          <w:r>
            <w:fldChar w:fldCharType="begin"/>
          </w:r>
          <w:r>
            <w:instrText xml:space="preserve"> HYPERLINK \l "_Toc29482" </w:instrText>
          </w:r>
          <w:r>
            <w:fldChar w:fldCharType="separate"/>
          </w:r>
          <w:r>
            <w:rPr>
              <w:rFonts w:hint="eastAsia"/>
            </w:rPr>
            <w:t>7 桁架预制板制作、运输与堆放</w:t>
          </w:r>
          <w:r>
            <w:tab/>
          </w:r>
          <w:r>
            <w:fldChar w:fldCharType="begin"/>
          </w:r>
          <w:r>
            <w:instrText xml:space="preserve"> PAGEREF _Toc29482 \h </w:instrText>
          </w:r>
          <w:r>
            <w:fldChar w:fldCharType="separate"/>
          </w:r>
          <w:r>
            <w:t>38</w:t>
          </w:r>
          <w:r>
            <w:fldChar w:fldCharType="end"/>
          </w:r>
          <w:r>
            <w:fldChar w:fldCharType="end"/>
          </w:r>
        </w:p>
        <w:p>
          <w:pPr>
            <w:pStyle w:val="19"/>
            <w:tabs>
              <w:tab w:val="right" w:leader="dot" w:pos="9241"/>
            </w:tabs>
            <w:adjustRightInd/>
            <w:spacing w:before="78" w:beforeLines="25" w:after="78" w:afterLines="25" w:line="300" w:lineRule="exact"/>
            <w:jc w:val="left"/>
          </w:pPr>
          <w:r>
            <w:fldChar w:fldCharType="begin"/>
          </w:r>
          <w:r>
            <w:instrText xml:space="preserve"> HYPERLINK \l "_Toc22668" </w:instrText>
          </w:r>
          <w:r>
            <w:fldChar w:fldCharType="separate"/>
          </w:r>
          <w:r>
            <w:rPr>
              <w:rFonts w:hint="eastAsia"/>
            </w:rPr>
            <w:t>8 施工与验收</w:t>
          </w:r>
          <w:r>
            <w:tab/>
          </w:r>
          <w:r>
            <w:fldChar w:fldCharType="begin"/>
          </w:r>
          <w:r>
            <w:instrText xml:space="preserve"> PAGEREF _Toc22668 \h </w:instrText>
          </w:r>
          <w:r>
            <w:fldChar w:fldCharType="separate"/>
          </w:r>
          <w:r>
            <w:t>40</w:t>
          </w:r>
          <w:r>
            <w:fldChar w:fldCharType="end"/>
          </w:r>
          <w:r>
            <w:fldChar w:fldCharType="end"/>
          </w:r>
        </w:p>
        <w:p>
          <w:pPr>
            <w:pStyle w:val="19"/>
            <w:tabs>
              <w:tab w:val="right" w:leader="dot" w:pos="9241"/>
            </w:tabs>
            <w:adjustRightInd/>
            <w:spacing w:before="78" w:beforeLines="25" w:after="78" w:afterLines="25" w:line="300" w:lineRule="exact"/>
            <w:jc w:val="left"/>
          </w:pPr>
          <w:r>
            <w:fldChar w:fldCharType="begin"/>
          </w:r>
          <w:r>
            <w:instrText xml:space="preserve"> HYPERLINK \l "_Toc19976" </w:instrText>
          </w:r>
          <w:r>
            <w:fldChar w:fldCharType="separate"/>
          </w:r>
          <w:r>
            <w:t>附录A  钢筋桁架质量检验方法</w:t>
          </w:r>
          <w:r>
            <w:tab/>
          </w:r>
          <w:r>
            <w:fldChar w:fldCharType="begin"/>
          </w:r>
          <w:r>
            <w:instrText xml:space="preserve"> PAGEREF _Toc19976 \h </w:instrText>
          </w:r>
          <w:r>
            <w:fldChar w:fldCharType="separate"/>
          </w:r>
          <w:r>
            <w:t>43</w:t>
          </w:r>
          <w:r>
            <w:fldChar w:fldCharType="end"/>
          </w:r>
          <w:r>
            <w:fldChar w:fldCharType="end"/>
          </w:r>
        </w:p>
        <w:p>
          <w:pPr>
            <w:pStyle w:val="19"/>
            <w:tabs>
              <w:tab w:val="right" w:leader="dot" w:pos="9241"/>
            </w:tabs>
            <w:adjustRightInd/>
            <w:spacing w:before="78" w:beforeLines="25" w:after="78" w:afterLines="25" w:line="300" w:lineRule="exact"/>
            <w:jc w:val="left"/>
          </w:pPr>
          <w:r>
            <w:fldChar w:fldCharType="begin"/>
          </w:r>
          <w:r>
            <w:instrText xml:space="preserve"> HYPERLINK \l "_Toc11230" </w:instrText>
          </w:r>
          <w:r>
            <w:fldChar w:fldCharType="separate"/>
          </w:r>
          <w:r>
            <w:t>附录B  钢筋桁架力学性能试件及测试方法</w:t>
          </w:r>
          <w:r>
            <w:tab/>
          </w:r>
          <w:r>
            <w:fldChar w:fldCharType="begin"/>
          </w:r>
          <w:r>
            <w:instrText xml:space="preserve"> PAGEREF _Toc11230 \h </w:instrText>
          </w:r>
          <w:r>
            <w:fldChar w:fldCharType="separate"/>
          </w:r>
          <w:r>
            <w:t>44</w:t>
          </w:r>
          <w:r>
            <w:fldChar w:fldCharType="end"/>
          </w:r>
          <w:r>
            <w:fldChar w:fldCharType="end"/>
          </w:r>
        </w:p>
        <w:p>
          <w:pPr>
            <w:pStyle w:val="19"/>
            <w:tabs>
              <w:tab w:val="right" w:leader="dot" w:pos="9241"/>
            </w:tabs>
            <w:adjustRightInd/>
            <w:spacing w:before="78" w:beforeLines="25" w:after="78" w:afterLines="25" w:line="300" w:lineRule="exact"/>
            <w:jc w:val="left"/>
          </w:pPr>
          <w:r>
            <w:fldChar w:fldCharType="begin"/>
          </w:r>
          <w:r>
            <w:instrText xml:space="preserve"> HYPERLINK \l "_Toc2542" </w:instrText>
          </w:r>
          <w:r>
            <w:fldChar w:fldCharType="separate"/>
          </w:r>
          <w:r>
            <w:t>附录C  桁架预制板短暂工况验算</w:t>
          </w:r>
          <w:r>
            <w:tab/>
          </w:r>
          <w:r>
            <w:fldChar w:fldCharType="begin"/>
          </w:r>
          <w:r>
            <w:instrText xml:space="preserve"> PAGEREF _Toc2542 \h </w:instrText>
          </w:r>
          <w:r>
            <w:fldChar w:fldCharType="separate"/>
          </w:r>
          <w:r>
            <w:t>45</w:t>
          </w:r>
          <w:r>
            <w:fldChar w:fldCharType="end"/>
          </w:r>
          <w:r>
            <w:fldChar w:fldCharType="end"/>
          </w:r>
        </w:p>
        <w:p>
          <w:pPr>
            <w:pStyle w:val="19"/>
            <w:tabs>
              <w:tab w:val="right" w:leader="dot" w:pos="9241"/>
            </w:tabs>
            <w:adjustRightInd/>
            <w:spacing w:before="78" w:beforeLines="25" w:after="78" w:afterLines="25" w:line="240" w:lineRule="auto"/>
            <w:jc w:val="left"/>
            <w:rPr>
              <w:highlight w:val="yellow"/>
            </w:rPr>
          </w:pPr>
          <w:r>
            <w:fldChar w:fldCharType="end"/>
          </w:r>
        </w:p>
      </w:sdtContent>
    </w:sdt>
    <w:p>
      <w:pPr>
        <w:pStyle w:val="19"/>
        <w:tabs>
          <w:tab w:val="right" w:leader="dot" w:pos="9241"/>
        </w:tabs>
        <w:adjustRightInd/>
        <w:spacing w:before="78" w:beforeLines="25" w:after="78" w:afterLines="25" w:line="240" w:lineRule="auto"/>
        <w:jc w:val="left"/>
      </w:pPr>
    </w:p>
    <w:p>
      <w:pPr>
        <w:pStyle w:val="19"/>
        <w:tabs>
          <w:tab w:val="right" w:leader="dot" w:pos="9241"/>
        </w:tabs>
        <w:adjustRightInd/>
        <w:spacing w:before="78" w:beforeLines="25" w:after="78" w:afterLines="25" w:line="240" w:lineRule="auto"/>
        <w:jc w:val="left"/>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pPr>
    </w:p>
    <w:p>
      <w:pPr>
        <w:snapToGrid w:val="0"/>
        <w:spacing w:line="360" w:lineRule="auto"/>
        <w:ind w:firstLine="420" w:firstLineChars="200"/>
      </w:pPr>
    </w:p>
    <w:p>
      <w:pPr>
        <w:adjustRightInd/>
        <w:spacing w:before="312" w:beforeLines="100" w:after="312" w:afterLines="100" w:line="300" w:lineRule="auto"/>
        <w:jc w:val="center"/>
        <w:outlineLvl w:val="0"/>
        <w:rPr>
          <w:rFonts w:ascii="黑体" w:hAnsi="黑体" w:eastAsia="黑体"/>
          <w:color w:val="000000"/>
          <w:sz w:val="32"/>
          <w:szCs w:val="32"/>
        </w:rPr>
      </w:pPr>
      <w:bookmarkStart w:id="127" w:name="_Toc533687306"/>
      <w:bookmarkEnd w:id="127"/>
      <w:bookmarkStart w:id="128" w:name="_Toc18993"/>
      <w:r>
        <w:rPr>
          <w:rFonts w:hint="eastAsia" w:ascii="黑体" w:hAnsi="黑体" w:eastAsia="黑体"/>
          <w:color w:val="000000"/>
          <w:sz w:val="32"/>
          <w:szCs w:val="32"/>
        </w:rPr>
        <w:t>条文说明</w:t>
      </w:r>
      <w:bookmarkEnd w:id="128"/>
    </w:p>
    <w:p>
      <w:pPr>
        <w:adjustRightInd/>
        <w:spacing w:before="312" w:beforeLines="100" w:after="312" w:afterLines="100" w:line="240" w:lineRule="auto"/>
        <w:outlineLvl w:val="0"/>
        <w:rPr>
          <w:rFonts w:ascii="Times New Roman" w:hAnsi="Times New Roman"/>
          <w:b/>
          <w:color w:val="000000"/>
        </w:rPr>
      </w:pPr>
      <w:bookmarkStart w:id="129" w:name="_Toc8066904"/>
      <w:bookmarkEnd w:id="129"/>
      <w:bookmarkStart w:id="130" w:name="_Toc30810"/>
      <w:r>
        <w:rPr>
          <w:rFonts w:hint="eastAsia" w:ascii="Times New Roman" w:hAnsi="Times New Roman"/>
          <w:b/>
          <w:color w:val="000000"/>
        </w:rPr>
        <w:t>1</w:t>
      </w:r>
      <w:r>
        <w:rPr>
          <w:rFonts w:ascii="Times New Roman" w:hAnsi="Times New Roman"/>
          <w:b/>
          <w:color w:val="000000"/>
        </w:rPr>
        <w:t xml:space="preserve"> </w:t>
      </w:r>
      <w:r>
        <w:rPr>
          <w:rFonts w:hint="eastAsia" w:ascii="黑体" w:hAnsi="黑体" w:eastAsia="黑体"/>
          <w:color w:val="000000"/>
        </w:rPr>
        <w:t>范围</w:t>
      </w:r>
      <w:bookmarkEnd w:id="130"/>
    </w:p>
    <w:p>
      <w:pPr>
        <w:snapToGrid w:val="0"/>
        <w:spacing w:line="240" w:lineRule="auto"/>
        <w:ind w:firstLine="420" w:firstLineChars="200"/>
        <w:rPr>
          <w:rFonts w:ascii="Times New Roman" w:hAnsi="Times New Roman"/>
        </w:rPr>
      </w:pPr>
      <w:r>
        <w:rPr>
          <w:rFonts w:ascii="宋体" w:hAnsi="宋体"/>
        </w:rPr>
        <w:t>钢筋桁架混凝土叠合板具有整体性能好、抗裂性能优、刚度较大等优点，在装配式结构中应用广泛。钢筋桁架的作用主要有：在桁架预制板脱模、存放、安装及浇筑混凝土时提供必要的承载力和刚度，避免桁架预制板在短暂设计状况下的损坏；使桁架预制板和后浇混凝土叠合层之间具有良好的整体性；为接缝处</w:t>
      </w:r>
      <w:r>
        <w:rPr>
          <w:rFonts w:ascii="Times New Roman" w:hAnsi="Times New Roman"/>
        </w:rPr>
        <w:t xml:space="preserve"> </w:t>
      </w:r>
      <w:r>
        <w:rPr>
          <w:rFonts w:ascii="宋体" w:hAnsi="宋体"/>
        </w:rPr>
        <w:t>搭接钢筋和桁架预制板内钢筋的搭接提供横向约束；可用做预埋吊件等。为规范钢筋桁架叠合板的设计、施工及</w:t>
      </w:r>
      <w:r>
        <w:rPr>
          <w:rFonts w:hint="eastAsia" w:ascii="宋体" w:hAnsi="宋体"/>
        </w:rPr>
        <w:t>质量</w:t>
      </w:r>
      <w:r>
        <w:rPr>
          <w:rFonts w:ascii="宋体" w:hAnsi="宋体"/>
        </w:rPr>
        <w:t>验收，制定本规程。</w:t>
      </w:r>
    </w:p>
    <w:p>
      <w:pPr>
        <w:snapToGrid w:val="0"/>
        <w:spacing w:line="240" w:lineRule="auto"/>
        <w:ind w:firstLine="420" w:firstLineChars="200"/>
        <w:rPr>
          <w:rFonts w:ascii="Times New Roman" w:hAnsi="Times New Roman"/>
        </w:rPr>
      </w:pPr>
      <w:r>
        <w:rPr>
          <w:rFonts w:ascii="宋体" w:hAnsi="宋体"/>
        </w:rPr>
        <w:t>本规程适用于底板为实心平板的普通钢筋桁架叠合板，对于预应力桁架叠合板、带肋底板或者空心桁架叠合板，应按相应标准进行设计。</w:t>
      </w:r>
    </w:p>
    <w:p>
      <w:pPr>
        <w:adjustRightInd/>
        <w:spacing w:before="312" w:beforeLines="100" w:after="312" w:afterLines="100" w:line="240" w:lineRule="auto"/>
        <w:outlineLvl w:val="0"/>
        <w:rPr>
          <w:rFonts w:ascii="Times New Roman" w:hAnsi="Times New Roman" w:eastAsia="黑体"/>
          <w:b/>
          <w:color w:val="000000"/>
        </w:rPr>
      </w:pPr>
      <w:bookmarkStart w:id="131" w:name="_Toc8066905"/>
      <w:bookmarkEnd w:id="131"/>
      <w:bookmarkStart w:id="132" w:name="_Toc22801"/>
      <w:r>
        <w:rPr>
          <w:rFonts w:hint="eastAsia" w:ascii="Times New Roman" w:hAnsi="Times New Roman"/>
          <w:b/>
          <w:color w:val="000000"/>
        </w:rPr>
        <w:t>3</w:t>
      </w:r>
      <w:r>
        <w:rPr>
          <w:rFonts w:ascii="Times New Roman" w:hAnsi="Times New Roman"/>
          <w:b/>
          <w:color w:val="000000"/>
        </w:rPr>
        <w:t xml:space="preserve"> </w:t>
      </w:r>
      <w:r>
        <w:rPr>
          <w:rFonts w:hint="eastAsia" w:ascii="黑体" w:hAnsi="黑体" w:eastAsia="黑体"/>
          <w:color w:val="000000"/>
        </w:rPr>
        <w:t>术语和符号</w:t>
      </w:r>
      <w:bookmarkEnd w:id="132"/>
      <w:r>
        <w:rPr>
          <w:rFonts w:hint="eastAsia" w:ascii="黑体" w:hAnsi="黑体" w:eastAsia="黑体"/>
          <w:color w:val="000000"/>
        </w:rPr>
        <w:tab/>
      </w:r>
      <w:r>
        <w:rPr>
          <w:rFonts w:hint="eastAsia" w:ascii="黑体" w:hAnsi="黑体" w:eastAsia="黑体"/>
          <w:color w:val="000000"/>
        </w:rPr>
        <w:t xml:space="preserve"> </w:t>
      </w:r>
    </w:p>
    <w:p>
      <w:pPr>
        <w:adjustRightInd/>
        <w:spacing w:before="312" w:beforeLines="100" w:after="312" w:afterLines="100" w:line="240" w:lineRule="auto"/>
        <w:outlineLvl w:val="1"/>
        <w:rPr>
          <w:rFonts w:ascii="Times New Roman" w:hAnsi="Times New Roman"/>
          <w:b/>
          <w:color w:val="000000"/>
        </w:rPr>
      </w:pPr>
      <w:bookmarkStart w:id="133" w:name="_Toc8066906"/>
      <w:bookmarkEnd w:id="133"/>
      <w:r>
        <w:rPr>
          <w:rFonts w:ascii="Times New Roman" w:hAnsi="Times New Roman"/>
          <w:b/>
          <w:color w:val="000000"/>
        </w:rPr>
        <w:t xml:space="preserve">3.1 </w:t>
      </w:r>
      <w:r>
        <w:rPr>
          <w:rFonts w:hint="eastAsia" w:ascii="黑体" w:hAnsi="黑体" w:eastAsia="黑体"/>
          <w:color w:val="000000"/>
        </w:rPr>
        <w:t>术语</w:t>
      </w:r>
    </w:p>
    <w:p>
      <w:pPr>
        <w:snapToGrid w:val="0"/>
        <w:spacing w:line="240" w:lineRule="auto"/>
        <w:rPr>
          <w:rFonts w:ascii="宋体" w:hAnsi="宋体"/>
          <w:color w:val="000000"/>
        </w:rPr>
      </w:pPr>
      <w:r>
        <w:rPr>
          <w:rFonts w:ascii="Times New Roman" w:hAnsi="Times New Roman"/>
          <w:b/>
          <w:color w:val="000000"/>
        </w:rPr>
        <w:t xml:space="preserve">3.1.1 </w:t>
      </w:r>
      <w:r>
        <w:rPr>
          <w:rFonts w:hint="eastAsia" w:ascii="宋体" w:hAnsi="宋体"/>
          <w:color w:val="000000"/>
        </w:rPr>
        <w:t>桁架叠合板</w:t>
      </w:r>
      <w:r>
        <w:rPr>
          <w:rFonts w:ascii="Times New Roman" w:hAnsi="Times New Roman"/>
          <w:color w:val="000000"/>
        </w:rPr>
        <w:t>（图13）</w:t>
      </w:r>
      <w:r>
        <w:rPr>
          <w:rFonts w:hint="eastAsia" w:ascii="宋体" w:hAnsi="宋体"/>
          <w:color w:val="000000"/>
        </w:rPr>
        <w:t>由桁架预制板和后浇混凝土组成，桁架预制板内含有受力钢筋（包括钢筋桁架），作为现场后浇混凝土的模板。</w:t>
      </w:r>
    </w:p>
    <w:p>
      <w:pPr>
        <w:adjustRightInd/>
        <w:spacing w:line="240" w:lineRule="auto"/>
        <w:jc w:val="center"/>
        <w:rPr>
          <w:rFonts w:ascii="Times New Roman" w:hAnsi="Times New Roman"/>
          <w:b/>
          <w:color w:val="000000"/>
          <w:sz w:val="18"/>
          <w:szCs w:val="18"/>
        </w:rPr>
      </w:pPr>
      <w:r>
        <w:rPr>
          <w:rFonts w:ascii="Times New Roman" w:hAnsi="Times New Roman"/>
        </w:rPr>
        <w:drawing>
          <wp:inline distT="0" distB="0" distL="0" distR="0">
            <wp:extent cx="2777490" cy="836930"/>
            <wp:effectExtent l="0" t="0" r="3810" b="127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2777490" cy="836930"/>
                    </a:xfrm>
                    <a:prstGeom prst="rect">
                      <a:avLst/>
                    </a:prstGeom>
                    <a:noFill/>
                    <a:ln>
                      <a:noFill/>
                    </a:ln>
                  </pic:spPr>
                </pic:pic>
              </a:graphicData>
            </a:graphic>
          </wp:inline>
        </w:drawing>
      </w:r>
      <w:r>
        <w:rPr>
          <w:rFonts w:ascii="Times New Roman" w:hAnsi="Times New Roman"/>
          <w:b/>
          <w:color w:val="000000"/>
          <w:sz w:val="18"/>
          <w:szCs w:val="18"/>
        </w:rPr>
        <w:t xml:space="preserve"> </w:t>
      </w:r>
    </w:p>
    <w:p>
      <w:pPr>
        <w:adjustRightInd/>
        <w:spacing w:line="240" w:lineRule="auto"/>
        <w:jc w:val="center"/>
        <w:rPr>
          <w:rFonts w:ascii="Times New Roman" w:hAnsi="Times New Roman" w:eastAsia="黑体"/>
          <w:color w:val="000000"/>
          <w:kern w:val="0"/>
        </w:rPr>
      </w:pPr>
      <w:r>
        <w:rPr>
          <w:rFonts w:ascii="黑体" w:hAnsi="黑体" w:eastAsia="黑体"/>
          <w:color w:val="000000"/>
        </w:rPr>
        <w:t>图</w:t>
      </w:r>
      <w:r>
        <w:rPr>
          <w:rFonts w:hint="eastAsia" w:ascii="Times New Roman" w:hAnsi="Times New Roman" w:eastAsia="黑体"/>
          <w:color w:val="000000"/>
        </w:rPr>
        <w:t>13</w:t>
      </w:r>
      <w:r>
        <w:rPr>
          <w:rFonts w:ascii="Times New Roman" w:hAnsi="Times New Roman" w:eastAsia="黑体"/>
          <w:color w:val="000000"/>
        </w:rPr>
        <w:t xml:space="preserve"> </w:t>
      </w:r>
      <w:r>
        <w:rPr>
          <w:rFonts w:ascii="黑体" w:hAnsi="黑体" w:eastAsia="黑体"/>
          <w:color w:val="000000"/>
        </w:rPr>
        <w:t>桁架</w:t>
      </w:r>
      <w:r>
        <w:rPr>
          <w:rFonts w:ascii="黑体" w:hAnsi="黑体" w:eastAsia="黑体"/>
          <w:color w:val="000000"/>
          <w:kern w:val="0"/>
        </w:rPr>
        <w:t>叠合板</w:t>
      </w:r>
    </w:p>
    <w:p>
      <w:pPr>
        <w:adjustRightInd/>
        <w:spacing w:line="240" w:lineRule="auto"/>
        <w:jc w:val="center"/>
        <w:rPr>
          <w:rFonts w:ascii="黑体" w:hAnsi="黑体" w:eastAsia="黑体"/>
          <w:color w:val="000000"/>
          <w:kern w:val="0"/>
        </w:rPr>
      </w:pPr>
      <w:r>
        <w:rPr>
          <w:rFonts w:ascii="Times New Roman" w:hAnsi="Times New Roman" w:eastAsia="黑体"/>
          <w:bCs/>
          <w:color w:val="000000"/>
          <w:kern w:val="0"/>
        </w:rPr>
        <w:t>1-</w:t>
      </w:r>
      <w:r>
        <w:rPr>
          <w:rFonts w:ascii="黑体" w:hAnsi="黑体" w:eastAsia="黑体"/>
          <w:bCs/>
          <w:color w:val="000000"/>
          <w:kern w:val="0"/>
        </w:rPr>
        <w:t>桁架预制板；</w:t>
      </w:r>
      <w:r>
        <w:rPr>
          <w:rFonts w:ascii="Times New Roman" w:hAnsi="Times New Roman" w:eastAsia="黑体"/>
          <w:bCs/>
          <w:color w:val="000000"/>
          <w:kern w:val="0"/>
        </w:rPr>
        <w:t>2-</w:t>
      </w:r>
      <w:r>
        <w:rPr>
          <w:rFonts w:ascii="黑体" w:hAnsi="黑体" w:eastAsia="黑体"/>
          <w:bCs/>
          <w:color w:val="000000"/>
          <w:kern w:val="0"/>
        </w:rPr>
        <w:t>后浇混凝土；</w:t>
      </w:r>
      <w:r>
        <w:rPr>
          <w:rFonts w:ascii="Times New Roman" w:hAnsi="Times New Roman" w:eastAsia="黑体"/>
          <w:bCs/>
          <w:color w:val="000000"/>
          <w:kern w:val="0"/>
        </w:rPr>
        <w:t>3-</w:t>
      </w:r>
      <w:r>
        <w:rPr>
          <w:rFonts w:ascii="黑体" w:hAnsi="黑体" w:eastAsia="黑体"/>
          <w:bCs/>
          <w:color w:val="000000"/>
          <w:kern w:val="0"/>
        </w:rPr>
        <w:t>钢筋桁架；</w:t>
      </w:r>
      <w:r>
        <w:rPr>
          <w:rFonts w:ascii="Times New Roman" w:hAnsi="Times New Roman" w:eastAsia="黑体"/>
          <w:bCs/>
          <w:color w:val="000000"/>
          <w:kern w:val="0"/>
        </w:rPr>
        <w:t>4-</w:t>
      </w:r>
      <w:r>
        <w:rPr>
          <w:rFonts w:ascii="黑体" w:hAnsi="黑体" w:eastAsia="黑体"/>
          <w:bCs/>
          <w:color w:val="000000"/>
          <w:kern w:val="0"/>
        </w:rPr>
        <w:t>纵向钢筋；</w:t>
      </w:r>
      <w:r>
        <w:rPr>
          <w:rFonts w:ascii="Times New Roman" w:hAnsi="Times New Roman" w:eastAsia="黑体"/>
          <w:bCs/>
          <w:color w:val="000000"/>
          <w:kern w:val="0"/>
        </w:rPr>
        <w:t>5-</w:t>
      </w:r>
      <w:r>
        <w:rPr>
          <w:rFonts w:ascii="黑体" w:hAnsi="黑体" w:eastAsia="黑体"/>
          <w:bCs/>
          <w:color w:val="000000"/>
          <w:kern w:val="0"/>
        </w:rPr>
        <w:t>横向钢筋</w:t>
      </w:r>
    </w:p>
    <w:p>
      <w:pPr>
        <w:snapToGrid w:val="0"/>
        <w:spacing w:line="240" w:lineRule="auto"/>
        <w:rPr>
          <w:rFonts w:ascii="宋体" w:hAnsi="宋体"/>
          <w:color w:val="000000"/>
        </w:rPr>
      </w:pPr>
      <w:r>
        <w:rPr>
          <w:rFonts w:ascii="Times New Roman" w:hAnsi="Times New Roman"/>
          <w:b/>
          <w:color w:val="000000"/>
        </w:rPr>
        <w:t xml:space="preserve">3.1.2 </w:t>
      </w:r>
      <w:r>
        <w:rPr>
          <w:rFonts w:hint="eastAsia" w:ascii="宋体" w:hAnsi="宋体"/>
          <w:color w:val="000000"/>
        </w:rPr>
        <w:t>用作桁架叠合板的底板。桁架预制板</w:t>
      </w:r>
      <w:r>
        <w:rPr>
          <w:rFonts w:ascii="Times New Roman" w:hAnsi="Times New Roman"/>
          <w:color w:val="000000"/>
        </w:rPr>
        <w:t>（图14）</w:t>
      </w:r>
      <w:r>
        <w:rPr>
          <w:rFonts w:hint="eastAsia" w:ascii="宋体" w:hAnsi="宋体"/>
          <w:color w:val="000000"/>
        </w:rPr>
        <w:t>在生产、施工过程中独立承载，叠合层浇筑后形成桁架叠合板。</w:t>
      </w:r>
    </w:p>
    <w:p>
      <w:pPr>
        <w:adjustRightInd/>
        <w:spacing w:line="240" w:lineRule="auto"/>
        <w:jc w:val="center"/>
        <w:rPr>
          <w:rFonts w:ascii="Times New Roman" w:hAnsi="Times New Roman"/>
          <w:color w:val="000000"/>
        </w:rPr>
      </w:pPr>
      <w:r>
        <w:rPr>
          <w:rFonts w:ascii="Times New Roman" w:hAnsi="Times New Roman"/>
        </w:rPr>
        <w:drawing>
          <wp:inline distT="0" distB="0" distL="0" distR="0">
            <wp:extent cx="2449830" cy="724535"/>
            <wp:effectExtent l="0" t="0" r="7620" b="1841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2449830" cy="724535"/>
                    </a:xfrm>
                    <a:prstGeom prst="rect">
                      <a:avLst/>
                    </a:prstGeom>
                    <a:noFill/>
                    <a:ln>
                      <a:noFill/>
                    </a:ln>
                  </pic:spPr>
                </pic:pic>
              </a:graphicData>
            </a:graphic>
          </wp:inline>
        </w:drawing>
      </w:r>
      <w:r>
        <w:rPr>
          <w:rFonts w:ascii="Times New Roman" w:hAnsi="Times New Roman"/>
          <w:color w:val="000000"/>
        </w:rPr>
        <w:t xml:space="preserve"> </w:t>
      </w:r>
    </w:p>
    <w:p>
      <w:pPr>
        <w:adjustRightInd/>
        <w:spacing w:line="240" w:lineRule="auto"/>
        <w:jc w:val="center"/>
        <w:rPr>
          <w:rFonts w:ascii="Times New Roman" w:hAnsi="Times New Roman" w:eastAsia="黑体"/>
          <w:color w:val="000000"/>
          <w:sz w:val="24"/>
          <w:szCs w:val="24"/>
        </w:rPr>
      </w:pPr>
      <w:r>
        <w:rPr>
          <w:rFonts w:ascii="黑体" w:hAnsi="黑体" w:eastAsia="黑体"/>
          <w:color w:val="000000"/>
        </w:rPr>
        <w:t>图</w:t>
      </w:r>
      <w:r>
        <w:rPr>
          <w:rFonts w:hint="eastAsia" w:ascii="Times New Roman" w:hAnsi="Times New Roman" w:eastAsia="黑体"/>
          <w:color w:val="000000"/>
        </w:rPr>
        <w:t>14</w:t>
      </w:r>
      <w:r>
        <w:rPr>
          <w:rFonts w:ascii="Times New Roman" w:hAnsi="Times New Roman" w:eastAsia="黑体"/>
          <w:color w:val="000000"/>
        </w:rPr>
        <w:t xml:space="preserve">  </w:t>
      </w:r>
      <w:r>
        <w:rPr>
          <w:rFonts w:ascii="黑体" w:hAnsi="黑体" w:eastAsia="黑体"/>
          <w:color w:val="000000"/>
          <w:kern w:val="0"/>
        </w:rPr>
        <w:t>桁架预制板</w:t>
      </w:r>
    </w:p>
    <w:p>
      <w:pPr>
        <w:snapToGrid w:val="0"/>
        <w:spacing w:line="240" w:lineRule="auto"/>
        <w:rPr>
          <w:rFonts w:ascii="Times New Roman" w:hAnsi="Times New Roman"/>
          <w:color w:val="000000"/>
        </w:rPr>
      </w:pPr>
      <w:r>
        <w:rPr>
          <w:rFonts w:hint="eastAsia" w:ascii="Times New Roman" w:hAnsi="Times New Roman" w:eastAsia="华文仿宋"/>
          <w:b/>
          <w:color w:val="000000"/>
        </w:rPr>
        <w:t>3</w:t>
      </w:r>
      <w:r>
        <w:rPr>
          <w:rFonts w:ascii="Times New Roman" w:hAnsi="Times New Roman" w:eastAsia="华文仿宋"/>
          <w:b/>
          <w:color w:val="000000"/>
        </w:rPr>
        <w:t xml:space="preserve">.1.3 </w:t>
      </w:r>
      <w:r>
        <w:rPr>
          <w:rFonts w:ascii="宋体" w:hAnsi="宋体"/>
          <w:color w:val="000000"/>
        </w:rPr>
        <w:t>钢筋桁架上、下弦为连续平直钢筋，格构钢筋为连续弯折</w:t>
      </w:r>
      <w:r>
        <w:rPr>
          <w:rFonts w:ascii="Times New Roman" w:hAnsi="Times New Roman"/>
          <w:color w:val="000000"/>
        </w:rPr>
        <w:t>钢筋（图15）</w:t>
      </w:r>
      <w:r>
        <w:rPr>
          <w:rFonts w:ascii="Times New Roman" w:hAnsi="Times New Roman" w:eastAsia="华文仿宋"/>
          <w:color w:val="000000"/>
        </w:rPr>
        <w:t>。</w:t>
      </w:r>
      <w:r>
        <w:rPr>
          <w:rFonts w:ascii="Times New Roman" w:hAnsi="Times New Roman"/>
          <w:color w:val="000000"/>
        </w:rPr>
        <w:t>在现行的相关标准中，对“钢筋桁架”的术语并不统一，例如行业标准《装配式混凝土结构技术规程》JGJ 1–2014 称之为“桁架钢筋”，而国家相关标准《装配 式混凝土建筑技术标准》GB/T 51231–2016、《钢筋焊接网混凝土结构技术规程》 JGJ 114–2014等则称之为“钢筋桁架”。经广泛征求意见，本规程确定采用“钢筋桁架”的名称。</w:t>
      </w:r>
    </w:p>
    <w:p>
      <w:pPr>
        <w:snapToGrid w:val="0"/>
        <w:spacing w:line="240" w:lineRule="auto"/>
        <w:rPr>
          <w:rFonts w:ascii="Times New Roman" w:hAnsi="Times New Roman"/>
          <w:color w:val="000000"/>
        </w:rPr>
      </w:pPr>
    </w:p>
    <w:p>
      <w:pPr>
        <w:snapToGrid w:val="0"/>
        <w:spacing w:line="240" w:lineRule="auto"/>
        <w:jc w:val="center"/>
        <w:rPr>
          <w:rFonts w:ascii="Times New Roman" w:hAnsi="Times New Roman"/>
          <w:color w:val="000000"/>
        </w:rPr>
      </w:pPr>
      <w:r>
        <w:rPr>
          <w:rFonts w:ascii="Times New Roman" w:hAnsi="Times New Roman"/>
        </w:rPr>
        <w:drawing>
          <wp:inline distT="0" distB="0" distL="0" distR="0">
            <wp:extent cx="3277870" cy="1449070"/>
            <wp:effectExtent l="0" t="0" r="17780" b="1778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3277870" cy="1449070"/>
                    </a:xfrm>
                    <a:prstGeom prst="rect">
                      <a:avLst/>
                    </a:prstGeom>
                    <a:noFill/>
                    <a:ln>
                      <a:noFill/>
                    </a:ln>
                  </pic:spPr>
                </pic:pic>
              </a:graphicData>
            </a:graphic>
          </wp:inline>
        </w:drawing>
      </w:r>
      <w:r>
        <w:rPr>
          <w:rFonts w:ascii="Times New Roman" w:hAnsi="Times New Roman"/>
          <w:color w:val="000000"/>
        </w:rPr>
        <w:t xml:space="preserve"> </w:t>
      </w:r>
    </w:p>
    <w:p>
      <w:pPr>
        <w:widowControl/>
        <w:autoSpaceDE w:val="0"/>
        <w:autoSpaceDN w:val="0"/>
        <w:spacing w:line="240" w:lineRule="auto"/>
        <w:jc w:val="center"/>
        <w:rPr>
          <w:rFonts w:ascii="Times New Roman" w:hAnsi="Times New Roman" w:eastAsia="黑体"/>
          <w:color w:val="000000"/>
        </w:rPr>
      </w:pPr>
      <w:r>
        <w:rPr>
          <w:rFonts w:ascii="黑体" w:hAnsi="黑体" w:eastAsia="黑体"/>
          <w:color w:val="000000"/>
        </w:rPr>
        <w:t>图</w:t>
      </w:r>
      <w:r>
        <w:rPr>
          <w:rFonts w:hint="eastAsia" w:ascii="Times New Roman" w:hAnsi="Times New Roman" w:eastAsia="黑体"/>
          <w:color w:val="000000"/>
        </w:rPr>
        <w:t>15</w:t>
      </w:r>
      <w:r>
        <w:rPr>
          <w:rFonts w:ascii="Times New Roman" w:hAnsi="Times New Roman" w:eastAsia="黑体"/>
          <w:color w:val="000000"/>
        </w:rPr>
        <w:t xml:space="preserve"> </w:t>
      </w:r>
      <w:r>
        <w:rPr>
          <w:rFonts w:ascii="黑体" w:hAnsi="黑体" w:eastAsia="黑体"/>
          <w:color w:val="000000"/>
        </w:rPr>
        <w:t>钢筋桁架</w:t>
      </w:r>
    </w:p>
    <w:p>
      <w:pPr>
        <w:widowControl/>
        <w:autoSpaceDE w:val="0"/>
        <w:autoSpaceDN w:val="0"/>
        <w:spacing w:line="240" w:lineRule="auto"/>
        <w:jc w:val="center"/>
        <w:rPr>
          <w:rFonts w:ascii="Times New Roman" w:hAnsi="Times New Roman" w:eastAsia="黑体"/>
          <w:color w:val="000000"/>
        </w:rPr>
      </w:pPr>
      <w:r>
        <w:rPr>
          <w:rFonts w:ascii="Times New Roman" w:hAnsi="Times New Roman" w:eastAsia="黑体"/>
          <w:color w:val="000000"/>
        </w:rPr>
        <w:t>1—</w:t>
      </w:r>
      <w:r>
        <w:rPr>
          <w:rFonts w:ascii="黑体" w:hAnsi="黑体" w:eastAsia="黑体"/>
          <w:color w:val="000000"/>
        </w:rPr>
        <w:t>上弦钢筋；</w:t>
      </w:r>
      <w:r>
        <w:rPr>
          <w:rFonts w:ascii="Times New Roman" w:hAnsi="Times New Roman" w:eastAsia="黑体"/>
          <w:color w:val="000000"/>
        </w:rPr>
        <w:t>2—</w:t>
      </w:r>
      <w:r>
        <w:rPr>
          <w:rFonts w:ascii="黑体" w:hAnsi="黑体" w:eastAsia="黑体"/>
          <w:color w:val="000000"/>
        </w:rPr>
        <w:t>下弦钢筋；</w:t>
      </w:r>
      <w:r>
        <w:rPr>
          <w:rFonts w:ascii="Times New Roman" w:hAnsi="Times New Roman" w:eastAsia="黑体"/>
          <w:color w:val="000000"/>
        </w:rPr>
        <w:t>3—</w:t>
      </w:r>
      <w:r>
        <w:rPr>
          <w:rFonts w:ascii="黑体" w:hAnsi="黑体" w:eastAsia="黑体"/>
          <w:color w:val="000000"/>
        </w:rPr>
        <w:t>格构钢筋</w:t>
      </w:r>
    </w:p>
    <w:p>
      <w:pPr>
        <w:snapToGrid w:val="0"/>
        <w:spacing w:line="240" w:lineRule="auto"/>
        <w:rPr>
          <w:rFonts w:ascii="Times New Roman" w:hAnsi="Times New Roman"/>
          <w:b/>
        </w:rPr>
      </w:pPr>
      <w:r>
        <w:rPr>
          <w:rFonts w:ascii="Times New Roman" w:hAnsi="Times New Roman"/>
          <w:b/>
        </w:rPr>
        <w:t>3.1.4</w:t>
      </w:r>
      <w:r>
        <w:rPr>
          <w:rFonts w:ascii="宋体" w:hAnsi="宋体"/>
        </w:rPr>
        <w:t>后浇带式接缝可设计成为整体接缝。大量试验研究和工程应用表明，带后浇带式整体接缝的桁架叠合板，其结构性能可与现浇板相当，可按现</w:t>
      </w:r>
      <w:r>
        <w:rPr>
          <w:rFonts w:ascii="Times New Roman" w:hAnsi="Times New Roman"/>
        </w:rPr>
        <w:t>浇板设计。后浇带式整体接缝的设计方法和构造措施等在国家现行标准《装配式混凝土建筑技术规程》GB/T 51231–2016 和《装配式混凝土结构技术规程》JGJ 1–2014 中已有规定，本规程中的规定与其一致。</w:t>
      </w:r>
    </w:p>
    <w:p>
      <w:pPr>
        <w:snapToGrid w:val="0"/>
        <w:spacing w:line="240" w:lineRule="auto"/>
        <w:rPr>
          <w:rFonts w:ascii="宋体" w:hAnsi="宋体"/>
        </w:rPr>
      </w:pPr>
      <w:r>
        <w:rPr>
          <w:rFonts w:ascii="Times New Roman" w:hAnsi="Times New Roman"/>
          <w:b/>
        </w:rPr>
        <w:t>3.1.</w:t>
      </w:r>
      <w:r>
        <w:rPr>
          <w:rFonts w:hint="eastAsia" w:ascii="Times New Roman" w:hAnsi="Times New Roman"/>
          <w:b/>
        </w:rPr>
        <w:t>5</w:t>
      </w:r>
      <w:r>
        <w:rPr>
          <w:rFonts w:ascii="Times New Roman" w:hAnsi="Times New Roman"/>
          <w:b/>
        </w:rPr>
        <w:t xml:space="preserve"> </w:t>
      </w:r>
      <w:r>
        <w:rPr>
          <w:rFonts w:ascii="宋体" w:hAnsi="宋体"/>
        </w:rPr>
        <w:t>密拼式接缝也可设计成为整体接缝。同济大学、龙信建设集团有限公司、浙江工业大学工程设计集团有限公司</w:t>
      </w:r>
      <w:r>
        <w:rPr>
          <w:rFonts w:hint="eastAsia" w:ascii="宋体" w:hAnsi="宋体"/>
        </w:rPr>
        <w:t>、宝业湖北建工集团有限公司、华中科技大学</w:t>
      </w:r>
      <w:r>
        <w:rPr>
          <w:rFonts w:ascii="宋体" w:hAnsi="宋体"/>
        </w:rPr>
        <w:t>等单位的试验研究表明，密拼接缝处采用合理的构造措施后，其结构性能可与现浇板相当。在借鉴国外相关标准的基础上，结合试验研究成果和工程应用经验，本规程中提出了密拼式整体接缝的设计方法和构造措施。</w:t>
      </w:r>
    </w:p>
    <w:p>
      <w:pPr>
        <w:snapToGrid w:val="0"/>
        <w:spacing w:line="240" w:lineRule="auto"/>
        <w:rPr>
          <w:rFonts w:ascii="宋体" w:hAnsi="宋体"/>
          <w:sz w:val="24"/>
          <w:szCs w:val="24"/>
        </w:rPr>
      </w:pPr>
      <w:r>
        <w:rPr>
          <w:rFonts w:ascii="Times New Roman" w:hAnsi="Times New Roman"/>
          <w:b/>
        </w:rPr>
        <w:t>3.1.</w:t>
      </w:r>
      <w:r>
        <w:rPr>
          <w:rFonts w:hint="eastAsia" w:ascii="Times New Roman" w:hAnsi="Times New Roman"/>
          <w:b/>
        </w:rPr>
        <w:t>6</w:t>
      </w:r>
      <w:r>
        <w:rPr>
          <w:rFonts w:ascii="Times New Roman" w:hAnsi="Times New Roman"/>
          <w:b/>
        </w:rPr>
        <w:t xml:space="preserve"> </w:t>
      </w:r>
      <w:r>
        <w:rPr>
          <w:rFonts w:ascii="宋体" w:hAnsi="宋体"/>
        </w:rPr>
        <w:t>分离式接缝通常采用密拼式做法，连接节点构造相对简单，常用于单向板</w:t>
      </w:r>
      <w:r>
        <w:rPr>
          <w:rFonts w:ascii="Times New Roman" w:hAnsi="Times New Roman"/>
        </w:rPr>
        <w:t xml:space="preserve"> </w:t>
      </w:r>
      <w:r>
        <w:rPr>
          <w:rFonts w:ascii="宋体" w:hAnsi="宋体"/>
        </w:rPr>
        <w:t>板侧及非受力方向接缝处。</w:t>
      </w:r>
    </w:p>
    <w:p>
      <w:pPr>
        <w:adjustRightInd/>
        <w:spacing w:before="312" w:beforeLines="100" w:after="312" w:afterLines="100" w:line="240" w:lineRule="auto"/>
        <w:outlineLvl w:val="0"/>
        <w:rPr>
          <w:rFonts w:ascii="Times New Roman" w:hAnsi="Times New Roman"/>
          <w:b/>
        </w:rPr>
      </w:pPr>
      <w:bookmarkStart w:id="134" w:name="_Toc8066907"/>
      <w:bookmarkEnd w:id="134"/>
      <w:bookmarkStart w:id="135" w:name="_Toc16389"/>
      <w:r>
        <w:rPr>
          <w:rFonts w:hint="eastAsia" w:ascii="Times New Roman" w:hAnsi="Times New Roman"/>
          <w:b/>
        </w:rPr>
        <w:t>4</w:t>
      </w:r>
      <w:r>
        <w:rPr>
          <w:rFonts w:ascii="Times New Roman" w:hAnsi="Times New Roman"/>
          <w:b/>
        </w:rPr>
        <w:t xml:space="preserve"> </w:t>
      </w:r>
      <w:r>
        <w:rPr>
          <w:rFonts w:hint="eastAsia" w:ascii="黑体" w:hAnsi="黑体" w:eastAsia="黑体"/>
        </w:rPr>
        <w:t>总则</w:t>
      </w:r>
      <w:bookmarkEnd w:id="135"/>
    </w:p>
    <w:p>
      <w:pPr>
        <w:snapToGrid w:val="0"/>
        <w:spacing w:line="240" w:lineRule="auto"/>
        <w:rPr>
          <w:rFonts w:ascii="宋体" w:hAnsi="宋体"/>
          <w:color w:val="000000"/>
          <w:highlight w:val="red"/>
        </w:rPr>
      </w:pPr>
      <w:r>
        <w:rPr>
          <w:rFonts w:hint="eastAsia" w:ascii="Times New Roman" w:hAnsi="Times New Roman"/>
          <w:b/>
        </w:rPr>
        <w:t>4</w:t>
      </w:r>
      <w:r>
        <w:rPr>
          <w:rFonts w:ascii="Times New Roman" w:hAnsi="Times New Roman"/>
          <w:b/>
        </w:rPr>
        <w:t>.</w:t>
      </w:r>
      <w:r>
        <w:rPr>
          <w:rFonts w:hint="eastAsia" w:ascii="Times New Roman" w:hAnsi="Times New Roman"/>
          <w:b/>
        </w:rPr>
        <w:t>2</w:t>
      </w:r>
      <w:r>
        <w:rPr>
          <w:rFonts w:ascii="宋体" w:hAnsi="宋体"/>
        </w:rPr>
        <w:t>国家现行标准《混凝土结构设计规范》</w:t>
      </w:r>
      <w:r>
        <w:rPr>
          <w:rFonts w:ascii="Times New Roman" w:hAnsi="Times New Roman"/>
        </w:rPr>
        <w:t>GB 50010</w:t>
      </w:r>
      <w:r>
        <w:rPr>
          <w:rFonts w:ascii="宋体" w:hAnsi="宋体"/>
        </w:rPr>
        <w:t>、《装配式混凝土建筑技术标准》</w:t>
      </w:r>
      <w:r>
        <w:rPr>
          <w:rFonts w:ascii="Times New Roman" w:hAnsi="Times New Roman"/>
        </w:rPr>
        <w:t>GB/T 51231</w:t>
      </w:r>
      <w:r>
        <w:rPr>
          <w:rFonts w:ascii="宋体" w:hAnsi="宋体"/>
        </w:rPr>
        <w:t>、《装配式混凝土结构技术规程》</w:t>
      </w:r>
      <w:r>
        <w:rPr>
          <w:rFonts w:ascii="Times New Roman" w:hAnsi="Times New Roman"/>
        </w:rPr>
        <w:t>JGJ 1</w:t>
      </w:r>
      <w:r>
        <w:rPr>
          <w:rFonts w:ascii="宋体" w:hAnsi="宋体"/>
        </w:rPr>
        <w:t>、《混凝土结构成型钢筋应用技术规程》</w:t>
      </w:r>
      <w:r>
        <w:rPr>
          <w:rFonts w:ascii="Times New Roman" w:hAnsi="Times New Roman"/>
        </w:rPr>
        <w:t>JGJ 366</w:t>
      </w:r>
      <w:r>
        <w:rPr>
          <w:rFonts w:ascii="宋体" w:hAnsi="宋体"/>
        </w:rPr>
        <w:t>、以及《工厂预制混凝土构件质量管理标准》</w:t>
      </w:r>
      <w:r>
        <w:rPr>
          <w:rFonts w:ascii="Times New Roman" w:hAnsi="Times New Roman"/>
        </w:rPr>
        <w:t>JG/T 565</w:t>
      </w:r>
      <w:r>
        <w:rPr>
          <w:rFonts w:hint="eastAsia" w:ascii="宋体" w:hAnsi="宋体"/>
        </w:rPr>
        <w:t>中，</w:t>
      </w:r>
      <w:r>
        <w:rPr>
          <w:rFonts w:ascii="宋体" w:hAnsi="宋体"/>
        </w:rPr>
        <w:t>对于混凝土叠合板、钢筋桁架混凝土叠合板和钢筋桁架预制板，均有相应规定。本规程在这些标准的基础上，通过进一步的研究和实践，对现有标准中的相应规定做了改进和完善。尽管本规程中部分具体构造与现行标准中的要求不完全一致，但其性能要求是一致的，且符合现行标准中强制性条文及重点强调的要求。在钢筋桁架混凝土叠合板应用过程中，当采用本规程时，对与其他现行标准中不完全一致之处，需注意其适用条件和附加要求。</w:t>
      </w:r>
    </w:p>
    <w:p>
      <w:pPr>
        <w:adjustRightInd/>
        <w:spacing w:before="312" w:beforeLines="100" w:after="312" w:afterLines="100" w:line="240" w:lineRule="auto"/>
        <w:outlineLvl w:val="0"/>
        <w:rPr>
          <w:rFonts w:ascii="Times New Roman" w:hAnsi="Times New Roman" w:eastAsia="黑体"/>
          <w:color w:val="000000"/>
        </w:rPr>
      </w:pPr>
      <w:bookmarkStart w:id="136" w:name="_Toc8066908"/>
      <w:bookmarkEnd w:id="136"/>
      <w:bookmarkStart w:id="137" w:name="_Toc20436"/>
      <w:r>
        <w:rPr>
          <w:rFonts w:ascii="Times New Roman" w:hAnsi="Times New Roman" w:eastAsia="黑体"/>
          <w:color w:val="000000"/>
        </w:rPr>
        <w:t xml:space="preserve">5 </w:t>
      </w:r>
      <w:r>
        <w:rPr>
          <w:rFonts w:ascii="黑体" w:hAnsi="黑体" w:eastAsia="黑体"/>
          <w:color w:val="000000"/>
        </w:rPr>
        <w:t>材料</w:t>
      </w:r>
      <w:bookmarkEnd w:id="137"/>
    </w:p>
    <w:p>
      <w:pPr>
        <w:adjustRightInd/>
        <w:spacing w:before="312" w:beforeLines="100" w:after="312" w:afterLines="100" w:line="240" w:lineRule="auto"/>
        <w:outlineLvl w:val="1"/>
        <w:rPr>
          <w:rFonts w:ascii="Times New Roman" w:hAnsi="Times New Roman"/>
          <w:b/>
          <w:color w:val="000000"/>
        </w:rPr>
      </w:pPr>
      <w:bookmarkStart w:id="138" w:name="_Toc8066909"/>
      <w:bookmarkEnd w:id="138"/>
      <w:r>
        <w:rPr>
          <w:rFonts w:hint="eastAsia" w:ascii="Times New Roman" w:hAnsi="Times New Roman"/>
          <w:b/>
          <w:color w:val="000000"/>
        </w:rPr>
        <w:t>5</w:t>
      </w:r>
      <w:r>
        <w:rPr>
          <w:rFonts w:ascii="Times New Roman" w:hAnsi="Times New Roman"/>
          <w:b/>
          <w:color w:val="000000"/>
        </w:rPr>
        <w:t xml:space="preserve">.1 </w:t>
      </w:r>
      <w:r>
        <w:rPr>
          <w:rFonts w:hint="eastAsia" w:ascii="黑体" w:hAnsi="黑体" w:eastAsia="黑体"/>
          <w:color w:val="000000"/>
        </w:rPr>
        <w:t>混凝土</w:t>
      </w:r>
    </w:p>
    <w:p>
      <w:pPr>
        <w:snapToGrid w:val="0"/>
        <w:spacing w:line="240" w:lineRule="auto"/>
        <w:rPr>
          <w:rFonts w:ascii="宋体" w:hAnsi="宋体"/>
          <w:color w:val="000000"/>
        </w:rPr>
      </w:pPr>
      <w:r>
        <w:rPr>
          <w:rFonts w:hint="eastAsia" w:ascii="Times New Roman" w:hAnsi="Times New Roman"/>
          <w:b/>
          <w:color w:val="000000"/>
        </w:rPr>
        <w:t>5</w:t>
      </w:r>
      <w:r>
        <w:rPr>
          <w:rFonts w:ascii="Times New Roman" w:hAnsi="Times New Roman"/>
          <w:b/>
          <w:color w:val="000000"/>
        </w:rPr>
        <w:t>.1.2</w:t>
      </w:r>
      <w:r>
        <w:rPr>
          <w:rFonts w:hint="eastAsia" w:ascii="Times New Roman" w:hAnsi="Times New Roman"/>
          <w:b/>
          <w:color w:val="000000"/>
        </w:rPr>
        <w:t xml:space="preserve"> </w:t>
      </w:r>
      <w:r>
        <w:rPr>
          <w:rFonts w:hint="eastAsia" w:ascii="宋体" w:hAnsi="宋体"/>
          <w:bCs/>
          <w:color w:val="000000"/>
        </w:rPr>
        <w:t>为缩短养护时间，提高模具周转效率，并防止桁架预制板在脱模、起吊时开裂，桁架预制板宜采用较高强度等级混凝土。桁架叠合板后浇混凝土强度等级可比预制部分低一级，但不应与预制部分混凝土强度等级相差过大。</w:t>
      </w:r>
    </w:p>
    <w:p>
      <w:pPr>
        <w:snapToGrid w:val="0"/>
        <w:spacing w:line="240" w:lineRule="auto"/>
        <w:rPr>
          <w:rFonts w:ascii="宋体" w:hAnsi="宋体"/>
          <w:color w:val="000000"/>
        </w:rPr>
      </w:pPr>
      <w:r>
        <w:rPr>
          <w:rFonts w:hint="eastAsia" w:ascii="Times New Roman" w:hAnsi="Times New Roman"/>
          <w:b/>
          <w:color w:val="000000"/>
        </w:rPr>
        <w:t>5</w:t>
      </w:r>
      <w:r>
        <w:rPr>
          <w:rFonts w:ascii="Times New Roman" w:hAnsi="Times New Roman"/>
          <w:b/>
          <w:color w:val="000000"/>
        </w:rPr>
        <w:t>.1.</w:t>
      </w:r>
      <w:r>
        <w:rPr>
          <w:rFonts w:hint="eastAsia" w:ascii="Times New Roman" w:hAnsi="Times New Roman"/>
          <w:b/>
          <w:color w:val="000000"/>
        </w:rPr>
        <w:t>3</w:t>
      </w:r>
      <w:r>
        <w:rPr>
          <w:rFonts w:ascii="宋体" w:hAnsi="宋体"/>
          <w:bCs/>
          <w:color w:val="000000"/>
        </w:rPr>
        <w:t>桁架叠合板</w:t>
      </w:r>
      <w:r>
        <w:rPr>
          <w:rFonts w:hint="eastAsia" w:ascii="宋体" w:hAnsi="宋体"/>
          <w:bCs/>
          <w:color w:val="000000"/>
        </w:rPr>
        <w:t>的混凝土原材料应</w:t>
      </w:r>
      <w:r>
        <w:rPr>
          <w:rFonts w:hint="eastAsia" w:ascii="宋体" w:hAnsi="宋体"/>
          <w:color w:val="000000"/>
        </w:rPr>
        <w:t>采用级配良好的粗骨料，并控制混凝土粗骨料最大粒径。当桁架预制板的厚度为</w:t>
      </w:r>
      <w:r>
        <w:rPr>
          <w:rFonts w:ascii="Times New Roman" w:hAnsi="Times New Roman"/>
          <w:color w:val="000000"/>
        </w:rPr>
        <w:t>50mm</w:t>
      </w:r>
      <w:r>
        <w:rPr>
          <w:rFonts w:ascii="宋体" w:hAnsi="宋体"/>
          <w:color w:val="000000"/>
        </w:rPr>
        <w:t>时，粗骨料最大粒径宜为</w:t>
      </w:r>
      <w:r>
        <w:rPr>
          <w:rFonts w:ascii="Times New Roman" w:hAnsi="Times New Roman"/>
          <w:color w:val="000000"/>
        </w:rPr>
        <w:t>16mm</w:t>
      </w:r>
      <w:r>
        <w:rPr>
          <w:rFonts w:ascii="宋体" w:hAnsi="宋体"/>
          <w:color w:val="000000"/>
        </w:rPr>
        <w:t>。</w:t>
      </w:r>
    </w:p>
    <w:p>
      <w:pPr>
        <w:adjustRightInd/>
        <w:spacing w:before="312" w:beforeLines="100" w:after="312" w:afterLines="100" w:line="240" w:lineRule="auto"/>
        <w:outlineLvl w:val="1"/>
        <w:rPr>
          <w:rFonts w:ascii="Times New Roman" w:hAnsi="Times New Roman"/>
          <w:b/>
          <w:color w:val="000000"/>
        </w:rPr>
      </w:pPr>
      <w:r>
        <w:rPr>
          <w:rFonts w:hint="eastAsia" w:ascii="Times New Roman" w:hAnsi="Times New Roman"/>
          <w:b/>
          <w:color w:val="000000"/>
        </w:rPr>
        <w:t>5.2</w:t>
      </w:r>
      <w:r>
        <w:rPr>
          <w:rFonts w:ascii="Times New Roman" w:hAnsi="Times New Roman"/>
          <w:b/>
          <w:color w:val="000000"/>
        </w:rPr>
        <w:t xml:space="preserve"> </w:t>
      </w:r>
      <w:r>
        <w:rPr>
          <w:rFonts w:hint="eastAsia" w:ascii="黑体" w:hAnsi="黑体" w:eastAsia="黑体"/>
          <w:color w:val="000000"/>
        </w:rPr>
        <w:t>钢筋及连接材料</w:t>
      </w:r>
    </w:p>
    <w:p>
      <w:pPr>
        <w:snapToGrid w:val="0"/>
        <w:spacing w:line="240" w:lineRule="auto"/>
        <w:rPr>
          <w:rFonts w:ascii="宋体" w:hAnsi="宋体"/>
          <w:color w:val="000000"/>
        </w:rPr>
      </w:pPr>
      <w:r>
        <w:rPr>
          <w:rFonts w:ascii="Times New Roman" w:hAnsi="Times New Roman"/>
          <w:b/>
          <w:bCs/>
          <w:color w:val="000000"/>
        </w:rPr>
        <w:t>5.2.1</w:t>
      </w:r>
      <w:r>
        <w:rPr>
          <w:rFonts w:ascii="宋体" w:hAnsi="宋体"/>
        </w:rPr>
        <w:t>钢筋桁架的上、下弦钢筋作为受力钢筋时，按纵向受力钢筋考虑。桁架叠合板中受力钢筋可采用冷轧带肋钢筋。冷轧带肋钢筋强度高，可有效节约钢材，冷轧带肋钢筋的断后伸长率也可以保证叠合板塑性内力重分布。叠合板正截面承载力计算时，不计入腹杆钢筋，因此腹杆钢筋也可采用冷拔光面钢筋</w:t>
      </w:r>
      <w:r>
        <w:rPr>
          <w:rFonts w:ascii="Times New Roman" w:hAnsi="Times New Roman"/>
        </w:rPr>
        <w:t>CPB550</w:t>
      </w:r>
      <w:r>
        <w:rPr>
          <w:rFonts w:ascii="宋体" w:hAnsi="宋体"/>
        </w:rPr>
        <w:t>。</w:t>
      </w:r>
    </w:p>
    <w:p>
      <w:pPr>
        <w:snapToGrid w:val="0"/>
        <w:spacing w:line="240" w:lineRule="auto"/>
        <w:rPr>
          <w:rFonts w:ascii="宋体" w:hAnsi="宋体"/>
          <w:color w:val="000000"/>
        </w:rPr>
      </w:pPr>
      <w:r>
        <w:rPr>
          <w:rFonts w:ascii="Times New Roman" w:hAnsi="Times New Roman"/>
          <w:b/>
          <w:bCs/>
          <w:color w:val="000000"/>
        </w:rPr>
        <w:t>5.2.</w:t>
      </w:r>
      <w:r>
        <w:rPr>
          <w:rFonts w:hint="eastAsia" w:ascii="Times New Roman" w:hAnsi="Times New Roman"/>
          <w:b/>
          <w:bCs/>
          <w:color w:val="000000"/>
        </w:rPr>
        <w:t>3</w:t>
      </w:r>
      <w:r>
        <w:rPr>
          <w:rFonts w:ascii="宋体" w:hAnsi="宋体"/>
        </w:rPr>
        <w:t>冷拔光面钢筋用于钢筋桁架腹杆钢筋时，对其强度、断后伸长率、弯折性能要求较为严格，其性能要求需符合现行行业标准《钢筋焊接网混凝土结构技术规程》</w:t>
      </w:r>
      <w:r>
        <w:rPr>
          <w:rFonts w:ascii="Times New Roman" w:hAnsi="Times New Roman"/>
        </w:rPr>
        <w:t xml:space="preserve">JGJ 114 </w:t>
      </w:r>
      <w:r>
        <w:rPr>
          <w:rFonts w:ascii="宋体" w:hAnsi="宋体"/>
        </w:rPr>
        <w:t>的规定。</w:t>
      </w:r>
    </w:p>
    <w:p>
      <w:pPr>
        <w:adjustRightInd/>
        <w:spacing w:before="312" w:beforeLines="100" w:after="312" w:afterLines="100" w:line="240" w:lineRule="auto"/>
        <w:outlineLvl w:val="1"/>
        <w:rPr>
          <w:rFonts w:ascii="Times New Roman" w:hAnsi="Times New Roman"/>
          <w:b/>
          <w:color w:val="000000"/>
        </w:rPr>
      </w:pPr>
      <w:bookmarkStart w:id="139" w:name="_Toc8066910"/>
      <w:bookmarkEnd w:id="139"/>
      <w:r>
        <w:rPr>
          <w:rFonts w:hint="eastAsia" w:ascii="Times New Roman" w:hAnsi="Times New Roman"/>
          <w:b/>
          <w:color w:val="000000"/>
        </w:rPr>
        <w:t>5.3</w:t>
      </w:r>
      <w:r>
        <w:rPr>
          <w:rFonts w:ascii="Times New Roman" w:hAnsi="Times New Roman"/>
          <w:b/>
          <w:color w:val="000000"/>
        </w:rPr>
        <w:t xml:space="preserve"> </w:t>
      </w:r>
      <w:r>
        <w:rPr>
          <w:rFonts w:hint="eastAsia" w:ascii="黑体" w:hAnsi="黑体" w:eastAsia="黑体"/>
          <w:color w:val="000000"/>
        </w:rPr>
        <w:t>钢筋桁架</w:t>
      </w:r>
    </w:p>
    <w:p>
      <w:pPr>
        <w:snapToGrid w:val="0"/>
        <w:spacing w:line="240" w:lineRule="auto"/>
        <w:rPr>
          <w:rFonts w:ascii="宋体" w:hAnsi="宋体"/>
          <w:color w:val="000000"/>
        </w:rPr>
      </w:pPr>
      <w:r>
        <w:rPr>
          <w:rFonts w:hint="eastAsia" w:ascii="Times New Roman" w:hAnsi="Times New Roman"/>
          <w:b/>
          <w:bCs/>
          <w:color w:val="000000"/>
        </w:rPr>
        <w:t>5.3</w:t>
      </w:r>
      <w:r>
        <w:rPr>
          <w:rFonts w:ascii="Times New Roman" w:hAnsi="Times New Roman"/>
          <w:b/>
          <w:bCs/>
          <w:color w:val="000000"/>
        </w:rPr>
        <w:t>.</w:t>
      </w:r>
      <w:r>
        <w:rPr>
          <w:rFonts w:hint="eastAsia" w:ascii="Times New Roman" w:hAnsi="Times New Roman"/>
          <w:b/>
          <w:bCs/>
          <w:color w:val="000000"/>
        </w:rPr>
        <w:t>1</w:t>
      </w:r>
      <w:r>
        <w:rPr>
          <w:rFonts w:ascii="宋体" w:hAnsi="宋体"/>
        </w:rPr>
        <w:t>钢筋桁架设计高度和设计宽度主要根据目前国内常用的钢筋桁架生产设备能力、楼板构件的规格尺寸等确定，基本可满足各种类型的钢筋桁架叠合楼板的尺寸要求。</w:t>
      </w:r>
    </w:p>
    <w:p>
      <w:pPr>
        <w:widowControl/>
        <w:autoSpaceDE w:val="0"/>
        <w:autoSpaceDN w:val="0"/>
        <w:spacing w:line="240" w:lineRule="auto"/>
        <w:rPr>
          <w:rFonts w:ascii="宋体" w:hAnsi="宋体"/>
          <w:color w:val="000000"/>
        </w:rPr>
      </w:pPr>
      <w:r>
        <w:rPr>
          <w:rFonts w:hint="eastAsia" w:ascii="Times New Roman" w:hAnsi="Times New Roman"/>
          <w:b/>
          <w:color w:val="000000"/>
        </w:rPr>
        <w:t>5.3</w:t>
      </w:r>
      <w:r>
        <w:rPr>
          <w:rFonts w:ascii="Times New Roman" w:hAnsi="Times New Roman"/>
          <w:b/>
          <w:color w:val="000000"/>
        </w:rPr>
        <w:t>.2</w:t>
      </w:r>
      <w:r>
        <w:rPr>
          <w:rFonts w:hint="eastAsia" w:ascii="Times New Roman" w:hAnsi="Times New Roman"/>
          <w:b/>
          <w:color w:val="000000"/>
        </w:rPr>
        <w:t xml:space="preserve"> </w:t>
      </w:r>
      <w:r>
        <w:rPr>
          <w:rFonts w:ascii="宋体" w:hAnsi="宋体"/>
        </w:rPr>
        <w:t>根据现行国家标准《混凝土结构设计规范》</w:t>
      </w:r>
      <w:r>
        <w:rPr>
          <w:rFonts w:ascii="Times New Roman" w:hAnsi="Times New Roman"/>
        </w:rPr>
        <w:t xml:space="preserve">GB 50010 </w:t>
      </w:r>
      <w:r>
        <w:rPr>
          <w:rFonts w:ascii="宋体" w:hAnsi="宋体"/>
        </w:rPr>
        <w:t>中受拉钢筋弯钩弯弧尺寸的要求，规定了腹杆钢筋弯弧尺寸要求。</w:t>
      </w:r>
    </w:p>
    <w:p>
      <w:pPr>
        <w:adjustRightInd/>
        <w:spacing w:before="312" w:beforeLines="100" w:after="312" w:afterLines="100" w:line="240" w:lineRule="auto"/>
        <w:outlineLvl w:val="1"/>
        <w:rPr>
          <w:rFonts w:ascii="Times New Roman" w:hAnsi="Times New Roman"/>
          <w:b/>
          <w:color w:val="000000"/>
        </w:rPr>
      </w:pPr>
      <w:bookmarkStart w:id="140" w:name="_Toc8066911"/>
      <w:bookmarkEnd w:id="140"/>
      <w:r>
        <w:rPr>
          <w:rFonts w:hint="eastAsia" w:ascii="Times New Roman" w:hAnsi="Times New Roman"/>
          <w:b/>
          <w:color w:val="000000"/>
        </w:rPr>
        <w:t>5</w:t>
      </w:r>
      <w:r>
        <w:rPr>
          <w:rFonts w:ascii="Times New Roman" w:hAnsi="Times New Roman"/>
          <w:b/>
          <w:color w:val="000000"/>
        </w:rPr>
        <w:t>.</w:t>
      </w:r>
      <w:r>
        <w:rPr>
          <w:rFonts w:hint="eastAsia" w:ascii="Times New Roman" w:hAnsi="Times New Roman"/>
          <w:b/>
          <w:color w:val="000000"/>
        </w:rPr>
        <w:t>4</w:t>
      </w:r>
      <w:r>
        <w:rPr>
          <w:rFonts w:ascii="Times New Roman" w:hAnsi="Times New Roman"/>
          <w:b/>
          <w:color w:val="000000"/>
        </w:rPr>
        <w:t xml:space="preserve"> </w:t>
      </w:r>
      <w:r>
        <w:rPr>
          <w:rFonts w:hint="eastAsia" w:ascii="黑体" w:hAnsi="黑体" w:eastAsia="黑体"/>
          <w:color w:val="000000"/>
        </w:rPr>
        <w:t>其他材料</w:t>
      </w:r>
    </w:p>
    <w:p>
      <w:pPr>
        <w:snapToGrid w:val="0"/>
        <w:spacing w:line="240" w:lineRule="auto"/>
        <w:rPr>
          <w:rFonts w:ascii="Times New Roman" w:hAnsi="Times New Roman"/>
          <w:color w:val="000000"/>
        </w:rPr>
      </w:pPr>
      <w:r>
        <w:rPr>
          <w:rFonts w:hint="eastAsia" w:ascii="Times New Roman" w:hAnsi="Times New Roman"/>
          <w:b/>
          <w:bCs/>
          <w:color w:val="000000"/>
        </w:rPr>
        <w:t>5.4</w:t>
      </w:r>
      <w:r>
        <w:rPr>
          <w:rFonts w:ascii="Times New Roman" w:hAnsi="Times New Roman"/>
          <w:b/>
          <w:bCs/>
          <w:color w:val="000000"/>
        </w:rPr>
        <w:t>.1</w:t>
      </w:r>
      <w:r>
        <w:rPr>
          <w:rFonts w:ascii="宋体" w:hAnsi="宋体"/>
        </w:rPr>
        <w:t>桁架叠合板密拼式接缝（包括密拼式整体接缝和密拼式分离接缝）的嵌缝</w:t>
      </w:r>
      <w:r>
        <w:rPr>
          <w:rFonts w:ascii="Times New Roman" w:hAnsi="Times New Roman"/>
        </w:rPr>
        <w:t xml:space="preserve"> </w:t>
      </w:r>
      <w:r>
        <w:rPr>
          <w:rFonts w:ascii="宋体" w:hAnsi="宋体"/>
        </w:rPr>
        <w:t>材料应具备良好的抗裂、防水等性能。聚合物改性水泥砂浆由水泥、骨料和分散</w:t>
      </w:r>
      <w:r>
        <w:rPr>
          <w:rFonts w:ascii="Times New Roman" w:hAnsi="Times New Roman"/>
        </w:rPr>
        <w:t xml:space="preserve"> </w:t>
      </w:r>
      <w:r>
        <w:rPr>
          <w:rFonts w:ascii="宋体" w:hAnsi="宋体"/>
        </w:rPr>
        <w:t>在水中的有机聚合物搅拌而成，由专业厂家生产，现场按比例加水搅拌后使用，</w:t>
      </w:r>
      <w:r>
        <w:rPr>
          <w:rFonts w:ascii="Times New Roman" w:hAnsi="Times New Roman"/>
        </w:rPr>
        <w:t xml:space="preserve"> </w:t>
      </w:r>
      <w:r>
        <w:rPr>
          <w:rFonts w:ascii="宋体" w:hAnsi="宋体"/>
        </w:rPr>
        <w:t>属于特种预拌砂浆。本规程参考行业标准《预拌砂浆》</w:t>
      </w:r>
      <w:r>
        <w:rPr>
          <w:rFonts w:ascii="Times New Roman" w:hAnsi="Times New Roman"/>
        </w:rPr>
        <w:t xml:space="preserve">JG/T 230–2007 </w:t>
      </w:r>
      <w:r>
        <w:rPr>
          <w:rFonts w:ascii="宋体" w:hAnsi="宋体"/>
        </w:rPr>
        <w:t>及行业内常用的嵌缝砂浆性能，规定了嵌缝砂浆的物理力学性能技术指标。嵌缝砂浆进场 后应进行物理力学性能检验。</w:t>
      </w:r>
    </w:p>
    <w:p>
      <w:pPr>
        <w:adjustRightInd/>
        <w:spacing w:before="312" w:beforeLines="100" w:after="312" w:afterLines="100" w:line="240" w:lineRule="auto"/>
        <w:outlineLvl w:val="0"/>
        <w:rPr>
          <w:rFonts w:ascii="Times New Roman" w:hAnsi="Times New Roman"/>
          <w:b/>
          <w:color w:val="000000"/>
        </w:rPr>
      </w:pPr>
      <w:bookmarkStart w:id="141" w:name="_Toc8066912"/>
      <w:bookmarkEnd w:id="141"/>
      <w:bookmarkStart w:id="142" w:name="_Toc29335"/>
      <w:r>
        <w:rPr>
          <w:rFonts w:hint="eastAsia" w:ascii="Times New Roman" w:hAnsi="Times New Roman"/>
          <w:b/>
          <w:color w:val="000000"/>
        </w:rPr>
        <w:t>6</w:t>
      </w:r>
      <w:r>
        <w:rPr>
          <w:rFonts w:hint="eastAsia" w:ascii="黑体" w:hAnsi="黑体" w:eastAsia="黑体"/>
          <w:color w:val="000000"/>
        </w:rPr>
        <w:t>结构设计</w:t>
      </w:r>
      <w:bookmarkEnd w:id="142"/>
      <w:r>
        <w:rPr>
          <w:rFonts w:hint="eastAsia" w:ascii="Times New Roman" w:hAnsi="Times New Roman"/>
          <w:b/>
          <w:color w:val="000000"/>
        </w:rPr>
        <w:t xml:space="preserve"> </w:t>
      </w:r>
    </w:p>
    <w:p>
      <w:pPr>
        <w:adjustRightInd/>
        <w:spacing w:before="312" w:beforeLines="100" w:after="312" w:afterLines="100" w:line="240" w:lineRule="auto"/>
        <w:outlineLvl w:val="1"/>
        <w:rPr>
          <w:rFonts w:ascii="Times New Roman" w:hAnsi="Times New Roman"/>
          <w:b/>
          <w:color w:val="000000"/>
        </w:rPr>
      </w:pPr>
      <w:bookmarkStart w:id="143" w:name="_Toc8066913"/>
      <w:bookmarkEnd w:id="143"/>
      <w:r>
        <w:rPr>
          <w:rFonts w:hint="eastAsia" w:ascii="Times New Roman" w:hAnsi="Times New Roman"/>
          <w:b/>
          <w:color w:val="000000"/>
        </w:rPr>
        <w:t>6</w:t>
      </w:r>
      <w:r>
        <w:rPr>
          <w:rFonts w:ascii="Times New Roman" w:hAnsi="Times New Roman"/>
          <w:b/>
          <w:color w:val="000000"/>
        </w:rPr>
        <w:t xml:space="preserve">.1 </w:t>
      </w:r>
      <w:r>
        <w:rPr>
          <w:rFonts w:hint="eastAsia" w:ascii="黑体" w:hAnsi="黑体" w:eastAsia="黑体"/>
          <w:color w:val="000000"/>
        </w:rPr>
        <w:t>一般规定</w:t>
      </w:r>
    </w:p>
    <w:p>
      <w:pPr>
        <w:snapToGrid w:val="0"/>
        <w:spacing w:line="240" w:lineRule="auto"/>
        <w:rPr>
          <w:rFonts w:ascii="Times New Roman" w:hAnsi="Times New Roman"/>
          <w:color w:val="000000"/>
        </w:rPr>
      </w:pPr>
      <w:r>
        <w:rPr>
          <w:rFonts w:hint="eastAsia" w:ascii="Times New Roman" w:hAnsi="Times New Roman"/>
          <w:b/>
          <w:color w:val="000000"/>
        </w:rPr>
        <w:t>6</w:t>
      </w:r>
      <w:r>
        <w:rPr>
          <w:rFonts w:ascii="Times New Roman" w:hAnsi="Times New Roman"/>
          <w:b/>
          <w:color w:val="000000"/>
        </w:rPr>
        <w:t xml:space="preserve">.1.1 </w:t>
      </w:r>
      <w:r>
        <w:rPr>
          <w:rFonts w:ascii="宋体" w:hAnsi="宋体"/>
        </w:rPr>
        <w:t>结构转换层、平面凹凸不规则、楼板局部不连续等楼板薄弱部位，以及作为上部结构嵌固部位的地下室楼板等部位的楼盖整体性和平面内刚度要求较高，采用桁架叠合楼板时，为保障结构整体性能，需采取增加后浇层厚度、加强支座配筋等措施，或者将桁架预制板仅作为模板使用，不参与结构受力。</w:t>
      </w:r>
    </w:p>
    <w:p>
      <w:pPr>
        <w:snapToGrid w:val="0"/>
        <w:spacing w:line="240" w:lineRule="auto"/>
        <w:rPr>
          <w:rFonts w:ascii="Times New Roman" w:hAnsi="Times New Roman"/>
        </w:rPr>
      </w:pPr>
      <w:r>
        <w:rPr>
          <w:rFonts w:hint="eastAsia" w:ascii="Times New Roman" w:hAnsi="Times New Roman"/>
          <w:b/>
          <w:color w:val="000000"/>
        </w:rPr>
        <w:t>6</w:t>
      </w:r>
      <w:r>
        <w:rPr>
          <w:rFonts w:ascii="Times New Roman" w:hAnsi="Times New Roman"/>
          <w:b/>
          <w:color w:val="000000"/>
        </w:rPr>
        <w:t>.1.2</w:t>
      </w:r>
      <w:r>
        <w:rPr>
          <w:rFonts w:ascii="宋体" w:hAnsi="宋体"/>
        </w:rPr>
        <w:t>满足本规程的设计方法和构造措施要求时，包括钢筋桁架的布置要求、后浇层的厚度、接缝及支座的构造要求等，桁架叠合板具有良好的整体性，参与结构整体受力时与现浇混凝土板基本一致；对于一般平面规则的结构，可采用刚性楼板假定进行设计；对于平面复杂或不规则的结构，需要采用弹性楼板进行分析时，楼板的模拟方法可与现浇混凝土板相同。</w:t>
      </w:r>
    </w:p>
    <w:p>
      <w:pPr>
        <w:snapToGrid w:val="0"/>
        <w:spacing w:line="240" w:lineRule="auto"/>
        <w:rPr>
          <w:rFonts w:ascii="宋体" w:hAnsi="宋体"/>
          <w:sz w:val="24"/>
          <w:szCs w:val="24"/>
        </w:rPr>
      </w:pPr>
      <w:r>
        <w:rPr>
          <w:rFonts w:hint="eastAsia" w:ascii="Times New Roman" w:hAnsi="Times New Roman"/>
          <w:b/>
          <w:color w:val="000000"/>
        </w:rPr>
        <w:t>6</w:t>
      </w:r>
      <w:r>
        <w:rPr>
          <w:rFonts w:ascii="Times New Roman" w:hAnsi="Times New Roman"/>
          <w:b/>
          <w:color w:val="000000"/>
        </w:rPr>
        <w:t>.1.</w:t>
      </w:r>
      <w:r>
        <w:rPr>
          <w:rFonts w:hint="eastAsia" w:ascii="Times New Roman" w:hAnsi="Times New Roman"/>
          <w:b/>
          <w:color w:val="000000"/>
        </w:rPr>
        <w:t>3</w:t>
      </w:r>
      <w:r>
        <w:rPr>
          <w:rFonts w:ascii="Times New Roman" w:hAnsi="Times New Roman"/>
          <w:b/>
          <w:color w:val="000000"/>
        </w:rPr>
        <w:t xml:space="preserve"> </w:t>
      </w:r>
      <w:r>
        <w:rPr>
          <w:rFonts w:hint="eastAsia" w:ascii="宋体" w:hAnsi="宋体"/>
          <w:color w:val="000000"/>
        </w:rPr>
        <w:t>区格是指由梁或墙围成的整块楼板范围</w:t>
      </w:r>
      <w:r>
        <w:rPr>
          <w:rFonts w:ascii="宋体" w:hAnsi="宋体"/>
          <w:color w:val="000000"/>
        </w:rPr>
        <w:t>（图</w:t>
      </w:r>
      <w:r>
        <w:rPr>
          <w:rFonts w:hint="eastAsia" w:ascii="Times New Roman" w:hAnsi="Times New Roman"/>
          <w:color w:val="000000"/>
        </w:rPr>
        <w:t>16</w:t>
      </w:r>
      <w:r>
        <w:rPr>
          <w:rFonts w:ascii="宋体" w:hAnsi="宋体"/>
          <w:color w:val="000000"/>
        </w:rPr>
        <w:t>）</w:t>
      </w:r>
      <w:r>
        <w:rPr>
          <w:rFonts w:hint="eastAsia" w:ascii="宋体" w:hAnsi="宋体"/>
          <w:color w:val="000000"/>
        </w:rPr>
        <w:t>。</w:t>
      </w:r>
      <w:r>
        <w:rPr>
          <w:rFonts w:hint="eastAsia" w:ascii="宋体" w:hAnsi="宋体"/>
          <w:sz w:val="24"/>
          <w:szCs w:val="24"/>
        </w:rPr>
        <w:t xml:space="preserve"> </w:t>
      </w:r>
    </w:p>
    <w:p>
      <w:pPr>
        <w:snapToGrid w:val="0"/>
        <w:spacing w:line="240" w:lineRule="auto"/>
        <w:jc w:val="center"/>
        <w:rPr>
          <w:rFonts w:ascii="Times New Roman" w:hAnsi="Times New Roman"/>
        </w:rPr>
      </w:pPr>
      <w:r>
        <w:drawing>
          <wp:inline distT="0" distB="0" distL="114300" distR="114300">
            <wp:extent cx="2051685" cy="1537335"/>
            <wp:effectExtent l="0" t="0" r="5715" b="5715"/>
            <wp:docPr id="6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
                    <pic:cNvPicPr>
                      <a:picLocks noChangeAspect="1"/>
                    </pic:cNvPicPr>
                  </pic:nvPicPr>
                  <pic:blipFill>
                    <a:blip r:embed="rId38"/>
                    <a:srcRect b="22328"/>
                    <a:stretch>
                      <a:fillRect/>
                    </a:stretch>
                  </pic:blipFill>
                  <pic:spPr>
                    <a:xfrm>
                      <a:off x="0" y="0"/>
                      <a:ext cx="2051685" cy="1537855"/>
                    </a:xfrm>
                    <a:prstGeom prst="rect">
                      <a:avLst/>
                    </a:prstGeom>
                    <a:noFill/>
                    <a:ln>
                      <a:noFill/>
                    </a:ln>
                  </pic:spPr>
                </pic:pic>
              </a:graphicData>
            </a:graphic>
          </wp:inline>
        </w:drawing>
      </w:r>
      <w:r>
        <w:rPr>
          <w:rFonts w:ascii="Times New Roman" w:hAnsi="Times New Roman"/>
        </w:rPr>
        <w:t xml:space="preserve"> </w:t>
      </w:r>
    </w:p>
    <w:p>
      <w:pPr>
        <w:widowControl/>
        <w:autoSpaceDE w:val="0"/>
        <w:autoSpaceDN w:val="0"/>
        <w:spacing w:line="240" w:lineRule="auto"/>
        <w:jc w:val="center"/>
        <w:rPr>
          <w:rFonts w:ascii="Times New Roman" w:hAnsi="Times New Roman" w:eastAsia="黑体"/>
          <w:color w:val="000000"/>
        </w:rPr>
      </w:pPr>
      <w:r>
        <w:rPr>
          <w:rFonts w:ascii="黑体" w:hAnsi="黑体" w:eastAsia="黑体"/>
          <w:color w:val="000000"/>
        </w:rPr>
        <w:t>图</w:t>
      </w:r>
      <w:r>
        <w:rPr>
          <w:rFonts w:hint="eastAsia" w:ascii="Times New Roman" w:hAnsi="Times New Roman" w:eastAsia="黑体"/>
          <w:color w:val="000000"/>
        </w:rPr>
        <w:t>16</w:t>
      </w:r>
      <w:r>
        <w:rPr>
          <w:rFonts w:ascii="Times New Roman" w:hAnsi="Times New Roman" w:eastAsia="黑体"/>
          <w:color w:val="000000"/>
        </w:rPr>
        <w:t xml:space="preserve"> </w:t>
      </w:r>
      <w:r>
        <w:rPr>
          <w:rFonts w:ascii="黑体" w:hAnsi="黑体" w:eastAsia="黑体"/>
          <w:color w:val="000000"/>
        </w:rPr>
        <w:t>区格示意</w:t>
      </w:r>
    </w:p>
    <w:p>
      <w:pPr>
        <w:snapToGrid w:val="0"/>
        <w:spacing w:line="240" w:lineRule="auto"/>
        <w:jc w:val="center"/>
        <w:rPr>
          <w:rFonts w:ascii="Times New Roman" w:hAnsi="Times New Roman" w:eastAsia="黑体"/>
          <w:color w:val="000000"/>
        </w:rPr>
      </w:pPr>
      <w:r>
        <w:rPr>
          <w:rFonts w:ascii="Times New Roman" w:hAnsi="Times New Roman" w:eastAsia="黑体"/>
          <w:color w:val="000000"/>
        </w:rPr>
        <w:t>1—</w:t>
      </w:r>
      <w:r>
        <w:rPr>
          <w:rFonts w:ascii="黑体" w:hAnsi="黑体" w:eastAsia="黑体"/>
          <w:color w:val="000000"/>
        </w:rPr>
        <w:t>梁或墙；</w:t>
      </w:r>
      <w:r>
        <w:rPr>
          <w:rFonts w:ascii="Times New Roman" w:hAnsi="Times New Roman" w:eastAsia="黑体"/>
          <w:color w:val="000000"/>
        </w:rPr>
        <w:t>2—</w:t>
      </w:r>
      <w:r>
        <w:rPr>
          <w:rFonts w:ascii="黑体" w:hAnsi="黑体" w:eastAsia="黑体"/>
          <w:color w:val="000000"/>
        </w:rPr>
        <w:t>区格</w:t>
      </w:r>
    </w:p>
    <w:p>
      <w:pPr>
        <w:snapToGrid w:val="0"/>
        <w:spacing w:line="240" w:lineRule="auto"/>
        <w:rPr>
          <w:rFonts w:ascii="Times New Roman" w:hAnsi="Times New Roman"/>
        </w:rPr>
      </w:pPr>
      <w:r>
        <w:rPr>
          <w:rFonts w:hint="eastAsia" w:ascii="Times New Roman" w:hAnsi="Times New Roman"/>
          <w:b/>
          <w:color w:val="000000"/>
        </w:rPr>
        <w:t>6</w:t>
      </w:r>
      <w:r>
        <w:rPr>
          <w:rFonts w:ascii="Times New Roman" w:hAnsi="Times New Roman"/>
          <w:b/>
          <w:color w:val="000000"/>
        </w:rPr>
        <w:t>.1.4</w:t>
      </w:r>
      <w:r>
        <w:rPr>
          <w:rFonts w:ascii="宋体" w:hAnsi="宋体"/>
        </w:rPr>
        <w:t>对后浇带式整体接缝和密拼式整体接缝的双向板进行的加载试验结果表明，板底塑性铰线走势与现浇双向板基本一致，接缝对两个方向的内力分布有</w:t>
      </w:r>
      <w:r>
        <w:rPr>
          <w:rFonts w:hint="eastAsia" w:ascii="宋体" w:hAnsi="宋体"/>
        </w:rPr>
        <w:t>一</w:t>
      </w:r>
      <w:r>
        <w:rPr>
          <w:rFonts w:ascii="宋体" w:hAnsi="宋体"/>
        </w:rPr>
        <w:t>定影响。</w:t>
      </w:r>
      <w:r>
        <w:rPr>
          <w:rFonts w:hint="eastAsia" w:ascii="宋体" w:hAnsi="宋体"/>
        </w:rPr>
        <w:t>理论分析与数值模拟研究表明，</w:t>
      </w:r>
      <w:r>
        <w:rPr>
          <w:rFonts w:ascii="宋体" w:hAnsi="宋体"/>
        </w:rPr>
        <w:t>与现浇板相比，带整体接缝的双向板在平行接缝方向弯矩略有增大，在垂直接缝方向弯矩略有减小，但差异均小于</w:t>
      </w:r>
      <w:r>
        <w:rPr>
          <w:rFonts w:hint="eastAsia" w:ascii="Times New Roman" w:hAnsi="Times New Roman"/>
        </w:rPr>
        <w:t>5</w:t>
      </w:r>
      <w:r>
        <w:rPr>
          <w:rFonts w:ascii="Times New Roman" w:hAnsi="Times New Roman"/>
        </w:rPr>
        <w:t>%</w:t>
      </w:r>
      <w:r>
        <w:rPr>
          <w:rFonts w:ascii="宋体" w:hAnsi="宋体"/>
        </w:rPr>
        <w:t>。</w:t>
      </w:r>
      <w:r>
        <w:rPr>
          <w:rFonts w:hint="eastAsia" w:ascii="宋体" w:hAnsi="宋体"/>
        </w:rPr>
        <w:t>根据定性与定量分析表明：</w:t>
      </w:r>
      <w:r>
        <w:rPr>
          <w:rFonts w:ascii="宋体" w:hAnsi="宋体"/>
        </w:rPr>
        <w:t>在内力计算时，可忽略整体接缝的影响，直接按照整体现浇双向板计算内力、变形并进行配筋设计。</w:t>
      </w:r>
    </w:p>
    <w:p>
      <w:pPr>
        <w:snapToGrid w:val="0"/>
        <w:spacing w:line="240" w:lineRule="auto"/>
        <w:ind w:firstLine="420" w:firstLineChars="200"/>
        <w:rPr>
          <w:rFonts w:ascii="Times New Roman" w:hAnsi="Times New Roman"/>
        </w:rPr>
      </w:pPr>
      <w:r>
        <w:rPr>
          <w:rFonts w:ascii="宋体" w:hAnsi="宋体"/>
        </w:rPr>
        <w:t>当区格长宽比不大于</w:t>
      </w:r>
      <w:r>
        <w:rPr>
          <w:rFonts w:ascii="Times New Roman" w:hAnsi="Times New Roman"/>
        </w:rPr>
        <w:t>2</w:t>
      </w:r>
      <w:r>
        <w:rPr>
          <w:rFonts w:ascii="宋体" w:hAnsi="宋体"/>
        </w:rPr>
        <w:t>时，如采用密拼式分离接缝，虽然桁架预制板的接缝不能传递弯矩，但是由于有整浇的后浇混凝土层，桁架叠合板整体仍表现出一定的双向板受力特征，尤其是在弹性阶段。这样，桁架叠合板的受力状态介于单向板和双向板之间，板的配筋设计和导荷会比较复杂，而完全按照单向板或双向板设计都不太准确。因此，当区格长宽比不大于</w:t>
      </w:r>
      <w:r>
        <w:rPr>
          <w:rFonts w:ascii="Times New Roman" w:hAnsi="Times New Roman"/>
        </w:rPr>
        <w:t>2</w:t>
      </w:r>
      <w:r>
        <w:rPr>
          <w:rFonts w:ascii="宋体" w:hAnsi="宋体"/>
        </w:rPr>
        <w:t>时，推荐采用整体式接缝，并按照双向板进行设计。</w:t>
      </w:r>
    </w:p>
    <w:p>
      <w:pPr>
        <w:snapToGrid w:val="0"/>
        <w:spacing w:line="240" w:lineRule="auto"/>
        <w:ind w:firstLine="420" w:firstLineChars="200"/>
        <w:rPr>
          <w:rFonts w:ascii="宋体" w:hAnsi="宋体"/>
          <w:highlight w:val="red"/>
        </w:rPr>
      </w:pPr>
      <w:r>
        <w:rPr>
          <w:rFonts w:ascii="宋体" w:hAnsi="宋体"/>
        </w:rPr>
        <w:t>当区格长宽比大于</w:t>
      </w:r>
      <w:r>
        <w:rPr>
          <w:rFonts w:ascii="Times New Roman" w:hAnsi="Times New Roman"/>
        </w:rPr>
        <w:t>2</w:t>
      </w:r>
      <w:r>
        <w:rPr>
          <w:rFonts w:ascii="宋体" w:hAnsi="宋体"/>
        </w:rPr>
        <w:t>时，桁架叠合板受力接近于单向板，由于密拼式分离接缝构造简单，生产和施工都比较方便，故推荐采用密拼式分离接缝，并按照单向板进行设计。当对整体性要求较高时，也可采用密拼式整体接缝。</w:t>
      </w:r>
    </w:p>
    <w:p>
      <w:pPr>
        <w:adjustRightInd/>
        <w:spacing w:before="312" w:beforeLines="100" w:after="312" w:afterLines="100" w:line="240" w:lineRule="auto"/>
        <w:outlineLvl w:val="1"/>
        <w:rPr>
          <w:rFonts w:ascii="Times New Roman" w:hAnsi="Times New Roman"/>
          <w:b/>
          <w:color w:val="000000"/>
        </w:rPr>
      </w:pPr>
      <w:bookmarkStart w:id="144" w:name="_Toc8066914"/>
      <w:bookmarkEnd w:id="144"/>
      <w:r>
        <w:rPr>
          <w:rFonts w:hint="eastAsia" w:ascii="Times New Roman" w:hAnsi="Times New Roman"/>
          <w:b/>
          <w:color w:val="000000"/>
        </w:rPr>
        <w:t>6</w:t>
      </w:r>
      <w:r>
        <w:rPr>
          <w:rFonts w:ascii="Times New Roman" w:hAnsi="Times New Roman"/>
          <w:b/>
          <w:color w:val="000000"/>
        </w:rPr>
        <w:t xml:space="preserve">.2 </w:t>
      </w:r>
      <w:r>
        <w:rPr>
          <w:rFonts w:hint="eastAsia" w:ascii="黑体" w:hAnsi="黑体" w:eastAsia="黑体"/>
          <w:color w:val="000000"/>
        </w:rPr>
        <w:t>构件设计及构造</w:t>
      </w:r>
    </w:p>
    <w:p>
      <w:pPr>
        <w:snapToGrid w:val="0"/>
        <w:spacing w:line="240" w:lineRule="auto"/>
        <w:rPr>
          <w:rFonts w:ascii="Times New Roman" w:hAnsi="Times New Roman"/>
          <w:color w:val="000000"/>
        </w:rPr>
      </w:pPr>
      <w:r>
        <w:rPr>
          <w:rFonts w:hint="eastAsia" w:ascii="Times New Roman" w:hAnsi="Times New Roman"/>
          <w:b/>
          <w:color w:val="000000"/>
        </w:rPr>
        <w:t>6</w:t>
      </w:r>
      <w:r>
        <w:rPr>
          <w:rFonts w:ascii="Times New Roman" w:hAnsi="Times New Roman"/>
          <w:b/>
          <w:color w:val="000000"/>
        </w:rPr>
        <w:t>.2.1</w:t>
      </w:r>
      <w:r>
        <w:rPr>
          <w:rFonts w:ascii="宋体" w:hAnsi="宋体"/>
        </w:rPr>
        <w:t>钢筋桁架可以提高预制板的刚度和抗裂性能，对比现行行业标准《装配式混凝土结构技术规程》</w:t>
      </w:r>
      <w:r>
        <w:rPr>
          <w:rFonts w:ascii="Times New Roman" w:hAnsi="Times New Roman"/>
        </w:rPr>
        <w:t>JGJ 1</w:t>
      </w:r>
      <w:r>
        <w:rPr>
          <w:rFonts w:ascii="宋体" w:hAnsi="宋体"/>
        </w:rPr>
        <w:t>中的规定，本规程中桁架预制板最小厚度规定略有放松。当桁架预制板厚度取</w:t>
      </w:r>
      <w:r>
        <w:rPr>
          <w:rFonts w:ascii="Times New Roman" w:hAnsi="Times New Roman"/>
        </w:rPr>
        <w:t>50mm</w:t>
      </w:r>
      <w:r>
        <w:rPr>
          <w:rFonts w:ascii="宋体" w:hAnsi="宋体"/>
        </w:rPr>
        <w:t>时，应采取措施，加强堆放、运输及吊运过程中的成品保护。</w:t>
      </w:r>
      <w:r>
        <w:rPr>
          <w:rFonts w:hint="eastAsia" w:ascii="宋体" w:hAnsi="宋体"/>
        </w:rPr>
        <w:t>当后浇混凝土中需埋设管线时，后浇混凝土叠合层厚度不宜小于</w:t>
      </w:r>
      <w:r>
        <w:rPr>
          <w:rFonts w:hint="eastAsia" w:ascii="Times New Roman" w:hAnsi="Times New Roman"/>
        </w:rPr>
        <w:t>7</w:t>
      </w:r>
      <w:r>
        <w:rPr>
          <w:rFonts w:ascii="Times New Roman" w:hAnsi="Times New Roman"/>
        </w:rPr>
        <w:t>0mm</w:t>
      </w:r>
      <w:r>
        <w:rPr>
          <w:rFonts w:hint="eastAsia" w:ascii="宋体" w:hAnsi="宋体"/>
        </w:rPr>
        <w:t>。</w:t>
      </w:r>
    </w:p>
    <w:p>
      <w:pPr>
        <w:snapToGrid w:val="0"/>
        <w:spacing w:line="240" w:lineRule="auto"/>
        <w:rPr>
          <w:rFonts w:ascii="宋体" w:hAnsi="宋体"/>
          <w:sz w:val="24"/>
          <w:szCs w:val="24"/>
        </w:rPr>
      </w:pPr>
      <w:r>
        <w:rPr>
          <w:rFonts w:hint="eastAsia" w:ascii="Times New Roman" w:hAnsi="Times New Roman"/>
          <w:b/>
          <w:color w:val="000000"/>
        </w:rPr>
        <w:t>6</w:t>
      </w:r>
      <w:r>
        <w:rPr>
          <w:rFonts w:ascii="Times New Roman" w:hAnsi="Times New Roman"/>
          <w:b/>
          <w:color w:val="000000"/>
        </w:rPr>
        <w:t>.2.</w:t>
      </w:r>
      <w:r>
        <w:rPr>
          <w:rFonts w:hint="eastAsia" w:ascii="Times New Roman" w:hAnsi="Times New Roman"/>
          <w:b/>
          <w:color w:val="000000"/>
        </w:rPr>
        <w:t>2</w:t>
      </w:r>
      <w:r>
        <w:rPr>
          <w:rFonts w:hint="eastAsia" w:ascii="宋体" w:hAnsi="宋体"/>
          <w:color w:val="000000"/>
        </w:rPr>
        <w:t>混凝土保护层厚度是指预制板内最外一层钢筋外皮距板下表面的距离。在钢筋桁架与预制板内钢筋不同位置关系情况下，最外层钢筋的混凝土保护层厚度</w:t>
      </w:r>
      <w:r>
        <w:rPr>
          <w:rFonts w:ascii="Times New Roman" w:hAnsi="Times New Roman"/>
          <w:i/>
          <w:color w:val="000000"/>
        </w:rPr>
        <w:t>c</w:t>
      </w:r>
      <w:r>
        <w:rPr>
          <w:rFonts w:hint="eastAsia" w:ascii="宋体" w:hAnsi="宋体"/>
          <w:color w:val="000000"/>
        </w:rPr>
        <w:t>取法如图</w:t>
      </w:r>
      <w:r>
        <w:rPr>
          <w:rFonts w:hint="eastAsia" w:ascii="Times New Roman" w:hAnsi="Times New Roman"/>
          <w:color w:val="000000"/>
        </w:rPr>
        <w:t>17</w:t>
      </w:r>
      <w:r>
        <w:rPr>
          <w:rFonts w:hint="eastAsia" w:ascii="宋体" w:hAnsi="宋体"/>
          <w:color w:val="000000"/>
        </w:rPr>
        <w:t>所示。</w:t>
      </w:r>
    </w:p>
    <w:p>
      <w:pPr>
        <w:snapToGrid w:val="0"/>
        <w:spacing w:line="240" w:lineRule="auto"/>
        <w:jc w:val="center"/>
        <w:rPr>
          <w:rFonts w:ascii="Times New Roman" w:hAnsi="Times New Roman"/>
        </w:rPr>
      </w:pPr>
      <w:r>
        <w:rPr>
          <w:rFonts w:ascii="Times New Roman" w:hAnsi="Times New Roman"/>
        </w:rPr>
        <w:t xml:space="preserve"> </w:t>
      </w:r>
    </w:p>
    <w:p>
      <w:pPr>
        <w:snapToGrid w:val="0"/>
        <w:spacing w:line="240" w:lineRule="auto"/>
        <w:jc w:val="center"/>
        <w:rPr>
          <w:rFonts w:ascii="宋体" w:hAnsi="宋体"/>
          <w:sz w:val="24"/>
          <w:szCs w:val="24"/>
        </w:rPr>
      </w:pPr>
      <w:r>
        <w:rPr>
          <w:rFonts w:ascii="Times New Roman" w:hAnsi="Times New Roman"/>
        </w:rPr>
        <w:drawing>
          <wp:inline distT="0" distB="0" distL="0" distR="0">
            <wp:extent cx="3140075" cy="2743200"/>
            <wp:effectExtent l="0" t="0" r="3175"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3140075" cy="2743200"/>
                    </a:xfrm>
                    <a:prstGeom prst="rect">
                      <a:avLst/>
                    </a:prstGeom>
                    <a:noFill/>
                    <a:ln>
                      <a:noFill/>
                    </a:ln>
                  </pic:spPr>
                </pic:pic>
              </a:graphicData>
            </a:graphic>
          </wp:inline>
        </w:drawing>
      </w:r>
      <w:r>
        <w:rPr>
          <w:rFonts w:hint="eastAsia" w:ascii="宋体" w:hAnsi="宋体"/>
          <w:sz w:val="24"/>
          <w:szCs w:val="24"/>
        </w:rPr>
        <w:t xml:space="preserve"> </w:t>
      </w:r>
    </w:p>
    <w:p>
      <w:pPr>
        <w:snapToGrid w:val="0"/>
        <w:spacing w:line="240" w:lineRule="auto"/>
        <w:jc w:val="center"/>
        <w:rPr>
          <w:rFonts w:ascii="Times New Roman" w:hAnsi="Times New Roman" w:eastAsia="黑体"/>
          <w:bCs/>
        </w:rPr>
      </w:pPr>
      <w:r>
        <w:rPr>
          <w:rFonts w:ascii="黑体" w:hAnsi="黑体" w:eastAsia="黑体"/>
          <w:bCs/>
        </w:rPr>
        <w:t>图</w:t>
      </w:r>
      <w:r>
        <w:rPr>
          <w:rFonts w:hint="eastAsia" w:ascii="Times New Roman" w:hAnsi="Times New Roman" w:eastAsia="黑体"/>
          <w:bCs/>
        </w:rPr>
        <w:t>17</w:t>
      </w:r>
      <w:r>
        <w:rPr>
          <w:rFonts w:ascii="黑体" w:hAnsi="黑体" w:eastAsia="黑体"/>
          <w:bCs/>
        </w:rPr>
        <w:t xml:space="preserve"> 最外层钢筋混凝土保护层示意</w:t>
      </w:r>
    </w:p>
    <w:p>
      <w:pPr>
        <w:snapToGrid w:val="0"/>
        <w:spacing w:line="240" w:lineRule="auto"/>
        <w:rPr>
          <w:rFonts w:ascii="Times New Roman" w:hAnsi="Times New Roman"/>
        </w:rPr>
      </w:pPr>
      <w:r>
        <w:rPr>
          <w:rFonts w:hint="eastAsia" w:ascii="Times New Roman" w:hAnsi="Times New Roman"/>
          <w:b/>
          <w:color w:val="000000"/>
        </w:rPr>
        <w:t>6</w:t>
      </w:r>
      <w:r>
        <w:rPr>
          <w:rFonts w:ascii="Times New Roman" w:hAnsi="Times New Roman"/>
          <w:b/>
          <w:color w:val="000000"/>
        </w:rPr>
        <w:t>.2.</w:t>
      </w:r>
      <w:r>
        <w:rPr>
          <w:rFonts w:hint="eastAsia" w:ascii="Times New Roman" w:hAnsi="Times New Roman"/>
          <w:b/>
          <w:color w:val="000000"/>
        </w:rPr>
        <w:t>5</w:t>
      </w:r>
      <w:r>
        <w:rPr>
          <w:rFonts w:ascii="宋体" w:hAnsi="宋体"/>
        </w:rPr>
        <w:t>桁架预制板在短暂设计状况下，沿长边的受力更为不利，因此钢筋桁架</w:t>
      </w:r>
      <w:r>
        <w:rPr>
          <w:rFonts w:hint="eastAsia" w:ascii="宋体" w:hAnsi="宋体"/>
        </w:rPr>
        <w:t>一</w:t>
      </w:r>
      <w:r>
        <w:rPr>
          <w:rFonts w:ascii="宋体" w:hAnsi="宋体"/>
        </w:rPr>
        <w:t>般沿桁架预制板的长边布置；特殊情况下，如钢筋桁架沿预制板短向布置，应重点关注桁架预制板在长向的短暂设计状况下的变形和开裂。</w:t>
      </w:r>
    </w:p>
    <w:p>
      <w:pPr>
        <w:snapToGrid w:val="0"/>
        <w:spacing w:line="240" w:lineRule="auto"/>
        <w:ind w:firstLine="420" w:firstLineChars="200"/>
        <w:rPr>
          <w:rFonts w:ascii="宋体" w:hAnsi="宋体"/>
        </w:rPr>
      </w:pPr>
      <w:r>
        <w:rPr>
          <w:rFonts w:ascii="宋体" w:hAnsi="宋体"/>
        </w:rPr>
        <w:t>综合考虑桁架预制板的吊运、施工以及桁架叠合板的受力等因素，规定了下弦钢筋埋入桁架预制板的深度和上弦钢筋的露出高度。</w:t>
      </w:r>
    </w:p>
    <w:p>
      <w:pPr>
        <w:snapToGrid w:val="0"/>
        <w:spacing w:line="240" w:lineRule="auto"/>
        <w:rPr>
          <w:rFonts w:ascii="Times New Roman" w:hAnsi="Times New Roman"/>
          <w:color w:val="000000"/>
          <w:sz w:val="24"/>
          <w:szCs w:val="24"/>
        </w:rPr>
      </w:pPr>
      <w:r>
        <w:rPr>
          <w:rFonts w:hint="eastAsia" w:ascii="Times New Roman" w:hAnsi="Times New Roman"/>
          <w:b/>
          <w:color w:val="000000"/>
        </w:rPr>
        <w:t>6</w:t>
      </w:r>
      <w:r>
        <w:rPr>
          <w:rFonts w:ascii="Times New Roman" w:hAnsi="Times New Roman"/>
          <w:b/>
          <w:color w:val="000000"/>
        </w:rPr>
        <w:t>.2.6</w:t>
      </w:r>
      <w:r>
        <w:rPr>
          <w:rFonts w:hint="eastAsia" w:ascii="宋体" w:hAnsi="宋体"/>
          <w:color w:val="000000"/>
        </w:rPr>
        <w:t>钢筋桁架宜避开楼板开洞位置；当因无法避开而被截断时，应在平行于钢筋桁架布置方向的洞边两侧</w:t>
      </w:r>
      <w:r>
        <w:rPr>
          <w:rFonts w:ascii="Times New Roman" w:hAnsi="Times New Roman"/>
          <w:color w:val="000000"/>
        </w:rPr>
        <w:t xml:space="preserve">50mm </w:t>
      </w:r>
      <w:r>
        <w:rPr>
          <w:rFonts w:hint="eastAsia" w:ascii="宋体" w:hAnsi="宋体"/>
          <w:color w:val="000000"/>
        </w:rPr>
        <w:t>处设置补强钢筋桁架，补强钢筋桁架端部与被切断钢筋桁架端部距离需不小于相邻焊点中心距</w:t>
      </w:r>
      <w:r>
        <w:rPr>
          <w:rFonts w:ascii="Times New Roman" w:hAnsi="Times New Roman"/>
          <w:i/>
          <w:color w:val="000000"/>
        </w:rPr>
        <w:t>P</w:t>
      </w:r>
      <w:r>
        <w:rPr>
          <w:rFonts w:ascii="Times New Roman" w:hAnsi="Times New Roman"/>
          <w:color w:val="000000"/>
          <w:vertAlign w:val="subscript"/>
        </w:rPr>
        <w:t>s</w:t>
      </w:r>
      <w:r>
        <w:rPr>
          <w:rFonts w:ascii="Times New Roman" w:hAnsi="Times New Roman"/>
          <w:color w:val="000000"/>
        </w:rPr>
        <w:t>（图18）。</w:t>
      </w:r>
      <w:r>
        <w:rPr>
          <w:rFonts w:hint="eastAsia" w:ascii="宋体" w:hAnsi="宋体"/>
          <w:color w:val="000000"/>
        </w:rPr>
        <w:t xml:space="preserve"> </w:t>
      </w:r>
    </w:p>
    <w:p>
      <w:pPr>
        <w:snapToGrid w:val="0"/>
        <w:spacing w:line="240" w:lineRule="auto"/>
        <w:jc w:val="center"/>
        <w:rPr>
          <w:rFonts w:ascii="Times New Roman" w:hAnsi="Times New Roman"/>
          <w:color w:val="000000"/>
          <w:sz w:val="24"/>
          <w:szCs w:val="24"/>
        </w:rPr>
      </w:pPr>
      <w:r>
        <w:rPr>
          <w:rFonts w:ascii="Times New Roman" w:hAnsi="Times New Roman"/>
        </w:rPr>
        <w:drawing>
          <wp:inline distT="0" distB="0" distL="0" distR="0">
            <wp:extent cx="3321050" cy="1828800"/>
            <wp:effectExtent l="0" t="0" r="1270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3321050" cy="1828800"/>
                    </a:xfrm>
                    <a:prstGeom prst="rect">
                      <a:avLst/>
                    </a:prstGeom>
                    <a:noFill/>
                    <a:ln>
                      <a:noFill/>
                    </a:ln>
                  </pic:spPr>
                </pic:pic>
              </a:graphicData>
            </a:graphic>
          </wp:inline>
        </w:drawing>
      </w:r>
      <w:r>
        <w:rPr>
          <w:rFonts w:ascii="Times New Roman" w:hAnsi="Times New Roman"/>
          <w:color w:val="000000"/>
          <w:sz w:val="24"/>
          <w:szCs w:val="24"/>
        </w:rPr>
        <w:t xml:space="preserve"> </w:t>
      </w:r>
    </w:p>
    <w:p>
      <w:pPr>
        <w:snapToGrid w:val="0"/>
        <w:spacing w:line="240" w:lineRule="auto"/>
        <w:jc w:val="center"/>
        <w:rPr>
          <w:rFonts w:ascii="Times New Roman" w:hAnsi="Times New Roman" w:eastAsia="黑体"/>
          <w:bCs/>
          <w:color w:val="000000"/>
        </w:rPr>
      </w:pPr>
      <w:r>
        <w:rPr>
          <w:rFonts w:ascii="黑体" w:hAnsi="黑体" w:eastAsia="黑体"/>
          <w:bCs/>
          <w:color w:val="000000"/>
        </w:rPr>
        <w:t>图</w:t>
      </w:r>
      <w:r>
        <w:rPr>
          <w:rFonts w:hint="eastAsia" w:ascii="Times New Roman" w:hAnsi="Times New Roman" w:eastAsia="黑体"/>
          <w:bCs/>
          <w:color w:val="000000"/>
        </w:rPr>
        <w:t>18</w:t>
      </w:r>
      <w:r>
        <w:rPr>
          <w:rFonts w:ascii="黑体" w:hAnsi="黑体" w:eastAsia="黑体"/>
          <w:bCs/>
          <w:color w:val="000000"/>
        </w:rPr>
        <w:t xml:space="preserve"> 桁架预制板开洞补强构造示意</w:t>
      </w:r>
    </w:p>
    <w:p>
      <w:pPr>
        <w:snapToGrid w:val="0"/>
        <w:spacing w:line="240" w:lineRule="auto"/>
        <w:jc w:val="center"/>
        <w:rPr>
          <w:rFonts w:ascii="Times New Roman" w:hAnsi="Times New Roman" w:eastAsia="黑体"/>
          <w:bCs/>
          <w:color w:val="000000"/>
        </w:rPr>
      </w:pPr>
      <w:r>
        <w:rPr>
          <w:rFonts w:ascii="Times New Roman" w:hAnsi="Times New Roman" w:eastAsia="黑体"/>
          <w:bCs/>
          <w:color w:val="000000"/>
        </w:rPr>
        <w:t>1-</w:t>
      </w:r>
      <w:r>
        <w:rPr>
          <w:rFonts w:ascii="黑体" w:hAnsi="黑体" w:eastAsia="黑体"/>
          <w:bCs/>
          <w:color w:val="000000"/>
        </w:rPr>
        <w:t>桁架预制板；</w:t>
      </w:r>
      <w:r>
        <w:rPr>
          <w:rFonts w:ascii="Times New Roman" w:hAnsi="Times New Roman" w:eastAsia="黑体"/>
          <w:bCs/>
          <w:color w:val="000000"/>
        </w:rPr>
        <w:t>2-</w:t>
      </w:r>
      <w:r>
        <w:rPr>
          <w:rFonts w:ascii="黑体" w:hAnsi="黑体" w:eastAsia="黑体"/>
          <w:bCs/>
          <w:color w:val="000000"/>
        </w:rPr>
        <w:t>洞口；</w:t>
      </w:r>
      <w:r>
        <w:rPr>
          <w:rFonts w:ascii="Times New Roman" w:hAnsi="Times New Roman" w:eastAsia="黑体"/>
          <w:bCs/>
          <w:color w:val="000000"/>
        </w:rPr>
        <w:t>3-</w:t>
      </w:r>
      <w:r>
        <w:rPr>
          <w:rFonts w:ascii="黑体" w:hAnsi="黑体" w:eastAsia="黑体"/>
          <w:bCs/>
          <w:color w:val="000000"/>
        </w:rPr>
        <w:t>补强钢筋桁架</w:t>
      </w:r>
    </w:p>
    <w:p>
      <w:pPr>
        <w:snapToGrid w:val="0"/>
        <w:spacing w:line="240" w:lineRule="auto"/>
        <w:rPr>
          <w:rFonts w:ascii="Times New Roman" w:hAnsi="Times New Roman"/>
          <w:color w:val="000000"/>
        </w:rPr>
      </w:pPr>
      <w:r>
        <w:rPr>
          <w:rFonts w:hint="eastAsia" w:ascii="Times New Roman" w:hAnsi="Times New Roman"/>
          <w:b/>
          <w:color w:val="000000"/>
        </w:rPr>
        <w:t>6</w:t>
      </w:r>
      <w:r>
        <w:rPr>
          <w:rFonts w:ascii="Times New Roman" w:hAnsi="Times New Roman"/>
          <w:b/>
          <w:color w:val="000000"/>
        </w:rPr>
        <w:t>.2.7</w:t>
      </w:r>
      <w:r>
        <w:rPr>
          <w:rFonts w:hint="eastAsia" w:ascii="宋体" w:hAnsi="宋体"/>
          <w:color w:val="000000"/>
        </w:rPr>
        <w:t>相邻桁架预制板之间采用后浇带式整体接缝时，为控制接缝处的开裂，并保证接缝处的剪力传递，桁架预制板侧面宜设置粗糙面。</w:t>
      </w:r>
      <w:r>
        <w:rPr>
          <w:rFonts w:hint="eastAsia" w:ascii="宋体" w:hAnsi="宋体"/>
        </w:rPr>
        <w:t xml:space="preserve"> </w:t>
      </w:r>
    </w:p>
    <w:p>
      <w:pPr>
        <w:snapToGrid w:val="0"/>
        <w:spacing w:line="240" w:lineRule="auto"/>
        <w:rPr>
          <w:rFonts w:ascii="宋体" w:hAnsi="宋体"/>
          <w:color w:val="000000"/>
        </w:rPr>
      </w:pPr>
      <w:r>
        <w:rPr>
          <w:rFonts w:hint="eastAsia" w:ascii="Times New Roman" w:hAnsi="Times New Roman"/>
          <w:b/>
          <w:color w:val="000000"/>
        </w:rPr>
        <w:t>6</w:t>
      </w:r>
      <w:r>
        <w:rPr>
          <w:rFonts w:ascii="Times New Roman" w:hAnsi="Times New Roman"/>
          <w:b/>
          <w:color w:val="000000"/>
        </w:rPr>
        <w:t>.2.</w:t>
      </w:r>
      <w:r>
        <w:rPr>
          <w:rFonts w:hint="eastAsia" w:ascii="Times New Roman" w:hAnsi="Times New Roman"/>
          <w:b/>
          <w:color w:val="000000"/>
        </w:rPr>
        <w:t>9</w:t>
      </w:r>
      <w:r>
        <w:rPr>
          <w:rFonts w:hint="eastAsia" w:ascii="宋体" w:hAnsi="宋体"/>
          <w:color w:val="000000"/>
        </w:rPr>
        <w:t>钢筋桁架兼作吊点可避免另外设置专门吊点，减少生产工序，节约成本。中国建筑科学研究院有限公司、龙信建设集团有限公司等单位对钢筋桁架兼作吊点的情况进行了试验，结果表明在钢筋桁架埋深不小于</w:t>
      </w:r>
      <w:r>
        <w:rPr>
          <w:rFonts w:ascii="Times New Roman" w:hAnsi="Times New Roman"/>
          <w:color w:val="000000"/>
        </w:rPr>
        <w:t>35mm</w:t>
      </w:r>
      <w:r>
        <w:rPr>
          <w:rFonts w:hint="eastAsia" w:ascii="宋体" w:hAnsi="宋体"/>
          <w:color w:val="000000"/>
        </w:rPr>
        <w:t>且满足本条第</w:t>
      </w:r>
      <w:r>
        <w:rPr>
          <w:rFonts w:ascii="Times New Roman" w:hAnsi="Times New Roman"/>
          <w:color w:val="000000"/>
        </w:rPr>
        <w:t>1~3</w:t>
      </w:r>
      <w:r>
        <w:rPr>
          <w:rFonts w:hint="eastAsia" w:ascii="宋体" w:hAnsi="宋体"/>
          <w:color w:val="000000"/>
        </w:rPr>
        <w:t>款规定条件下，钢筋桁架可用作吊点。表</w:t>
      </w:r>
      <w:r>
        <w:rPr>
          <w:rFonts w:hint="eastAsia" w:ascii="Times New Roman" w:hAnsi="Times New Roman"/>
          <w:color w:val="000000"/>
        </w:rPr>
        <w:t>7</w:t>
      </w:r>
      <w:r>
        <w:rPr>
          <w:rFonts w:hint="eastAsia" w:ascii="宋体" w:hAnsi="宋体"/>
          <w:color w:val="000000"/>
        </w:rPr>
        <w:t>给出了不同起吊情况（吊索与构件水平面夹角、钢筋桁架埋深、腹杆钢筋类别）下单个吊点的承载力测试平均值。</w:t>
      </w:r>
    </w:p>
    <w:p>
      <w:pPr>
        <w:snapToGrid w:val="0"/>
        <w:spacing w:line="240" w:lineRule="auto"/>
        <w:jc w:val="center"/>
        <w:rPr>
          <w:rFonts w:ascii="宋体" w:hAnsi="宋体"/>
          <w:bCs/>
          <w:color w:val="000000"/>
        </w:rPr>
      </w:pPr>
      <w:r>
        <w:rPr>
          <w:rFonts w:ascii="宋体" w:hAnsi="宋体"/>
          <w:bCs/>
          <w:color w:val="000000"/>
        </w:rPr>
        <w:t>表</w:t>
      </w:r>
      <w:r>
        <w:rPr>
          <w:rFonts w:hint="eastAsia" w:ascii="Times New Roman" w:hAnsi="Times New Roman"/>
          <w:bCs/>
          <w:color w:val="000000"/>
        </w:rPr>
        <w:t>7</w:t>
      </w:r>
      <w:r>
        <w:rPr>
          <w:rFonts w:ascii="Times New Roman" w:hAnsi="Times New Roman"/>
          <w:bCs/>
          <w:color w:val="000000"/>
        </w:rPr>
        <w:t xml:space="preserve"> </w:t>
      </w:r>
      <w:r>
        <w:rPr>
          <w:rFonts w:hint="eastAsia" w:ascii="宋体" w:hAnsi="宋体"/>
          <w:bCs/>
          <w:color w:val="000000"/>
        </w:rPr>
        <w:t>单个钢筋桁架吊点承载力平均值</w:t>
      </w:r>
    </w:p>
    <w:p>
      <w:pPr>
        <w:snapToGrid w:val="0"/>
        <w:spacing w:line="240" w:lineRule="auto"/>
        <w:rPr>
          <w:rFonts w:ascii="Times New Roman" w:hAnsi="Times New Roman"/>
        </w:rPr>
      </w:pPr>
      <w:r>
        <w:rPr>
          <w:rFonts w:ascii="Times New Roman" w:hAnsi="Times New Roman"/>
        </w:rPr>
        <w:drawing>
          <wp:inline distT="0" distB="0" distL="0" distR="0">
            <wp:extent cx="5279390" cy="1268095"/>
            <wp:effectExtent l="0" t="0" r="16510" b="825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5279390" cy="1268095"/>
                    </a:xfrm>
                    <a:prstGeom prst="rect">
                      <a:avLst/>
                    </a:prstGeom>
                    <a:noFill/>
                    <a:ln>
                      <a:noFill/>
                    </a:ln>
                  </pic:spPr>
                </pic:pic>
              </a:graphicData>
            </a:graphic>
          </wp:inline>
        </w:drawing>
      </w:r>
      <w:r>
        <w:rPr>
          <w:rFonts w:ascii="Times New Roman" w:hAnsi="Times New Roman"/>
        </w:rPr>
        <w:drawing>
          <wp:inline distT="0" distB="0" distL="0" distR="0">
            <wp:extent cx="5279390" cy="1130300"/>
            <wp:effectExtent l="0" t="0" r="16510" b="1270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5279390" cy="1130300"/>
                    </a:xfrm>
                    <a:prstGeom prst="rect">
                      <a:avLst/>
                    </a:prstGeom>
                    <a:noFill/>
                    <a:ln>
                      <a:noFill/>
                    </a:ln>
                  </pic:spPr>
                </pic:pic>
              </a:graphicData>
            </a:graphic>
          </wp:inline>
        </w:drawing>
      </w:r>
      <w:r>
        <w:rPr>
          <w:rFonts w:ascii="Times New Roman" w:hAnsi="Times New Roman"/>
        </w:rPr>
        <w:t xml:space="preserve"> </w:t>
      </w:r>
    </w:p>
    <w:p>
      <w:pPr>
        <w:snapToGrid w:val="0"/>
        <w:spacing w:line="240" w:lineRule="auto"/>
        <w:ind w:firstLine="420" w:firstLineChars="200"/>
        <w:rPr>
          <w:rFonts w:ascii="Times New Roman" w:hAnsi="Times New Roman"/>
          <w:sz w:val="18"/>
          <w:szCs w:val="18"/>
        </w:rPr>
      </w:pPr>
      <w:r>
        <w:rPr>
          <w:rFonts w:hint="eastAsia" w:ascii="宋体" w:hAnsi="宋体"/>
          <w:color w:val="000000"/>
        </w:rPr>
        <w:t xml:space="preserve">试验结果表明，吊索与构件水平面夹角为 </w:t>
      </w:r>
      <w:r>
        <w:rPr>
          <w:rFonts w:ascii="Times New Roman" w:hAnsi="Times New Roman"/>
          <w:color w:val="000000"/>
        </w:rPr>
        <w:t>90°</w:t>
      </w:r>
      <w:r>
        <w:rPr>
          <w:rFonts w:hint="eastAsia" w:ascii="宋体" w:hAnsi="宋体"/>
          <w:color w:val="000000"/>
        </w:rPr>
        <w:t xml:space="preserve">时的承载力高于夹角为 </w:t>
      </w:r>
      <w:r>
        <w:rPr>
          <w:rFonts w:ascii="Times New Roman" w:hAnsi="Times New Roman"/>
          <w:color w:val="000000"/>
        </w:rPr>
        <w:t>60°</w:t>
      </w:r>
      <w:r>
        <w:rPr>
          <w:rFonts w:hint="eastAsia" w:ascii="宋体" w:hAnsi="宋体"/>
          <w:color w:val="000000"/>
        </w:rPr>
        <w:t>时的承载力，腹杆为带肋钢筋时的承载力高于腹杆为光面钢筋时的承载力。由于吊索角度难以精确控制，表</w:t>
      </w:r>
      <w:r>
        <w:rPr>
          <w:rFonts w:hint="eastAsia" w:ascii="Times New Roman" w:hAnsi="Times New Roman"/>
          <w:color w:val="000000"/>
        </w:rPr>
        <w:t>3</w:t>
      </w:r>
      <w:r>
        <w:rPr>
          <w:rFonts w:hint="eastAsia" w:ascii="宋体" w:hAnsi="宋体"/>
          <w:color w:val="000000"/>
        </w:rPr>
        <w:t>分别针对腹杆钢筋为带肋钢筋和冷拨光面钢筋的情况，取不同吊索角度和钢筋桁架构造时的最不利结果并取整，从而偏于安全地给出吊点的承载力标准值。将承载力标准值除以安全系数</w:t>
      </w:r>
      <w:r>
        <w:rPr>
          <w:rFonts w:ascii="Times New Roman" w:hAnsi="Times New Roman"/>
          <w:color w:val="000000"/>
        </w:rPr>
        <w:t>4</w:t>
      </w:r>
      <w:r>
        <w:rPr>
          <w:rFonts w:hint="eastAsia" w:ascii="宋体" w:hAnsi="宋体"/>
          <w:color w:val="000000"/>
        </w:rPr>
        <w:t>即为吊点的承载力设计值。</w:t>
      </w:r>
    </w:p>
    <w:p>
      <w:pPr>
        <w:snapToGrid w:val="0"/>
        <w:spacing w:line="240" w:lineRule="auto"/>
        <w:rPr>
          <w:rFonts w:ascii="Times New Roman" w:hAnsi="Times New Roman"/>
          <w:color w:val="000000"/>
        </w:rPr>
      </w:pPr>
      <w:r>
        <w:rPr>
          <w:rFonts w:hint="eastAsia" w:ascii="Times New Roman" w:hAnsi="Times New Roman"/>
          <w:b/>
          <w:color w:val="000000"/>
        </w:rPr>
        <w:t>6</w:t>
      </w:r>
      <w:r>
        <w:rPr>
          <w:rFonts w:ascii="Times New Roman" w:hAnsi="Times New Roman"/>
          <w:b/>
          <w:color w:val="000000"/>
        </w:rPr>
        <w:t>.2.10</w:t>
      </w:r>
      <w:r>
        <w:rPr>
          <w:rFonts w:hint="eastAsia" w:ascii="宋体" w:hAnsi="宋体"/>
          <w:color w:val="000000"/>
        </w:rPr>
        <w:t>桁架预制板在制作完成后至形成桁架叠合板整体之前，存在一些短暂的独立受力状况，因此应对桁架预制板进行短暂设计状况下的验算。</w:t>
      </w:r>
    </w:p>
    <w:p>
      <w:pPr>
        <w:snapToGrid w:val="0"/>
        <w:spacing w:line="240" w:lineRule="auto"/>
        <w:rPr>
          <w:rFonts w:ascii="Times New Roman" w:hAnsi="Times New Roman"/>
          <w:color w:val="000000"/>
        </w:rPr>
      </w:pPr>
      <w:bookmarkStart w:id="145" w:name="_Hlk60920266"/>
      <w:bookmarkEnd w:id="145"/>
      <w:r>
        <w:rPr>
          <w:rFonts w:hint="eastAsia" w:ascii="Times New Roman" w:hAnsi="Times New Roman"/>
          <w:b/>
          <w:color w:val="000000"/>
        </w:rPr>
        <w:t>6</w:t>
      </w:r>
      <w:r>
        <w:rPr>
          <w:rFonts w:ascii="Times New Roman" w:hAnsi="Times New Roman"/>
          <w:b/>
          <w:color w:val="000000"/>
        </w:rPr>
        <w:t>.2.11</w:t>
      </w:r>
      <w:r>
        <w:rPr>
          <w:rFonts w:hint="eastAsia" w:ascii="宋体" w:hAnsi="宋体"/>
          <w:color w:val="000000"/>
        </w:rPr>
        <w:t>在施工阶段，当采用钢梁或者全预制混凝土梁、花篮梁、倒</w:t>
      </w:r>
      <w:r>
        <w:rPr>
          <w:rFonts w:ascii="Times New Roman" w:hAnsi="Times New Roman"/>
          <w:color w:val="000000"/>
        </w:rPr>
        <w:t>T</w:t>
      </w:r>
      <w:r>
        <w:rPr>
          <w:rFonts w:hint="eastAsia" w:ascii="宋体" w:hAnsi="宋体"/>
          <w:color w:val="000000"/>
        </w:rPr>
        <w:t>梁等形式时，桁架预制板的端部可支承于梁上，支承长度一般不应小于</w:t>
      </w:r>
      <w:r>
        <w:rPr>
          <w:rFonts w:ascii="Times New Roman" w:hAnsi="Times New Roman"/>
          <w:color w:val="000000"/>
        </w:rPr>
        <w:t>50mm</w:t>
      </w:r>
      <w:r>
        <w:rPr>
          <w:rFonts w:hint="eastAsia" w:ascii="宋体" w:hAnsi="宋体"/>
          <w:color w:val="000000"/>
        </w:rPr>
        <w:t>，支座承载力包括局部承压、桁架板端受剪等应满足要求。当采用矩形叠合梁或者混凝土剪力墙作为支座时，由于梁箍筋、墙纵向钢筋的影响，桁架预制板难以直接支承在支座上，需要在板端设置临时支撑。</w:t>
      </w:r>
    </w:p>
    <w:p>
      <w:pPr>
        <w:snapToGrid w:val="0"/>
        <w:spacing w:line="240" w:lineRule="auto"/>
        <w:rPr>
          <w:rFonts w:ascii="Times New Roman" w:hAnsi="Times New Roman"/>
          <w:color w:val="000000"/>
        </w:rPr>
      </w:pPr>
      <w:r>
        <w:rPr>
          <w:rFonts w:hint="eastAsia" w:ascii="Times New Roman" w:hAnsi="Times New Roman"/>
          <w:b/>
          <w:color w:val="000000"/>
        </w:rPr>
        <w:t>6</w:t>
      </w:r>
      <w:r>
        <w:rPr>
          <w:rFonts w:ascii="Times New Roman" w:hAnsi="Times New Roman"/>
          <w:b/>
          <w:color w:val="000000"/>
        </w:rPr>
        <w:t>.2.12</w:t>
      </w:r>
      <w:r>
        <w:rPr>
          <w:rFonts w:hint="eastAsia" w:ascii="宋体" w:hAnsi="宋体"/>
          <w:color w:val="000000"/>
        </w:rPr>
        <w:t>计算桁架叠合板的刚度时，可忽略水平结合面的影响，按照整板计算。</w:t>
      </w:r>
      <w:r>
        <w:rPr>
          <w:rFonts w:hint="eastAsia" w:ascii="宋体" w:hAnsi="宋体"/>
        </w:rPr>
        <w:t xml:space="preserve"> </w:t>
      </w:r>
    </w:p>
    <w:p>
      <w:pPr>
        <w:adjustRightInd/>
        <w:spacing w:before="312" w:beforeLines="100" w:after="312" w:afterLines="100" w:line="240" w:lineRule="auto"/>
        <w:outlineLvl w:val="1"/>
        <w:rPr>
          <w:rFonts w:ascii="Times New Roman" w:hAnsi="Times New Roman"/>
          <w:b/>
          <w:color w:val="000000"/>
        </w:rPr>
      </w:pPr>
      <w:r>
        <w:rPr>
          <w:rFonts w:ascii="Times New Roman" w:hAnsi="Times New Roman"/>
          <w:b/>
          <w:color w:val="000000"/>
        </w:rPr>
        <w:t xml:space="preserve">6.3 </w:t>
      </w:r>
      <w:r>
        <w:rPr>
          <w:rFonts w:hint="eastAsia" w:ascii="黑体" w:hAnsi="黑体" w:eastAsia="黑体"/>
          <w:color w:val="000000"/>
        </w:rPr>
        <w:t>板缝节点设计及构造</w:t>
      </w:r>
    </w:p>
    <w:p>
      <w:pPr>
        <w:snapToGrid w:val="0"/>
        <w:spacing w:line="240" w:lineRule="auto"/>
        <w:rPr>
          <w:rFonts w:ascii="宋体" w:hAnsi="宋体"/>
          <w:color w:val="000000"/>
        </w:rPr>
      </w:pPr>
      <w:r>
        <w:rPr>
          <w:rFonts w:hint="eastAsia" w:ascii="Times New Roman" w:hAnsi="Times New Roman"/>
          <w:b/>
          <w:color w:val="000000"/>
        </w:rPr>
        <w:t>6</w:t>
      </w:r>
      <w:r>
        <w:rPr>
          <w:rFonts w:ascii="Times New Roman" w:hAnsi="Times New Roman"/>
          <w:b/>
          <w:color w:val="000000"/>
        </w:rPr>
        <w:t>.3.</w:t>
      </w:r>
      <w:r>
        <w:rPr>
          <w:rFonts w:hint="eastAsia" w:ascii="Times New Roman" w:hAnsi="Times New Roman"/>
          <w:b/>
          <w:color w:val="000000"/>
        </w:rPr>
        <w:t>1</w:t>
      </w:r>
      <w:r>
        <w:rPr>
          <w:rFonts w:hint="eastAsia" w:ascii="宋体" w:hAnsi="宋体"/>
          <w:color w:val="000000"/>
        </w:rPr>
        <w:t xml:space="preserve">本条 </w:t>
      </w:r>
      <w:r>
        <w:rPr>
          <w:rFonts w:ascii="Times New Roman" w:hAnsi="Times New Roman"/>
          <w:color w:val="000000"/>
        </w:rPr>
        <w:t xml:space="preserve">1~3 </w:t>
      </w:r>
      <w:r>
        <w:rPr>
          <w:rFonts w:hint="eastAsia" w:ascii="宋体" w:hAnsi="宋体"/>
          <w:color w:val="000000"/>
        </w:rPr>
        <w:t>款的规定与现行国家标准《装配式混凝土建筑技术标准》</w:t>
      </w:r>
      <w:r>
        <w:rPr>
          <w:rFonts w:ascii="Times New Roman" w:hAnsi="Times New Roman"/>
          <w:color w:val="000000"/>
        </w:rPr>
        <w:t xml:space="preserve">GB/T51231 </w:t>
      </w:r>
      <w:r>
        <w:rPr>
          <w:rFonts w:hint="eastAsia" w:ascii="宋体" w:hAnsi="宋体"/>
          <w:color w:val="000000"/>
        </w:rPr>
        <w:t>基本相同，并根据现行国家标准《混凝土结构设计规范》</w:t>
      </w:r>
      <w:r>
        <w:rPr>
          <w:rFonts w:ascii="Times New Roman" w:hAnsi="Times New Roman"/>
          <w:color w:val="000000"/>
        </w:rPr>
        <w:t>GB 50010</w:t>
      </w:r>
      <w:r>
        <w:rPr>
          <w:rFonts w:hint="eastAsia" w:ascii="宋体" w:hAnsi="宋体"/>
          <w:color w:val="000000"/>
        </w:rPr>
        <w:t>作了进一步的规定。第</w:t>
      </w:r>
      <w:r>
        <w:rPr>
          <w:rFonts w:ascii="Times New Roman" w:hAnsi="Times New Roman"/>
          <w:color w:val="000000"/>
        </w:rPr>
        <w:t>4</w:t>
      </w:r>
      <w:r>
        <w:rPr>
          <w:rFonts w:hint="eastAsia" w:ascii="宋体" w:hAnsi="宋体"/>
          <w:color w:val="000000"/>
        </w:rPr>
        <w:t>款规定了接缝处顺缝板底纵筋配筋率要求。</w:t>
      </w:r>
    </w:p>
    <w:p>
      <w:pPr>
        <w:snapToGrid w:val="0"/>
        <w:spacing w:line="240" w:lineRule="auto"/>
        <w:rPr>
          <w:rFonts w:ascii="宋体" w:hAnsi="宋体"/>
          <w:color w:val="000000"/>
        </w:rPr>
      </w:pPr>
      <w:r>
        <w:rPr>
          <w:rFonts w:hint="eastAsia" w:ascii="Times New Roman" w:hAnsi="Times New Roman"/>
          <w:b/>
          <w:color w:val="000000"/>
        </w:rPr>
        <w:t>6</w:t>
      </w:r>
      <w:r>
        <w:rPr>
          <w:rFonts w:ascii="Times New Roman" w:hAnsi="Times New Roman"/>
          <w:b/>
          <w:color w:val="000000"/>
        </w:rPr>
        <w:t>.3.</w:t>
      </w:r>
      <w:r>
        <w:rPr>
          <w:rFonts w:hint="eastAsia" w:ascii="Times New Roman" w:hAnsi="Times New Roman"/>
          <w:b/>
          <w:color w:val="000000"/>
        </w:rPr>
        <w:t>2</w:t>
      </w:r>
      <w:r>
        <w:rPr>
          <w:rFonts w:hint="eastAsia" w:ascii="宋体" w:hAnsi="宋体"/>
          <w:color w:val="000000"/>
        </w:rPr>
        <w:t>行业标准《装配式混凝土结构技术规程》</w:t>
      </w:r>
      <w:r>
        <w:rPr>
          <w:rFonts w:ascii="Times New Roman" w:hAnsi="Times New Roman"/>
          <w:color w:val="000000"/>
        </w:rPr>
        <w:t xml:space="preserve">JGJ 1–2014 </w:t>
      </w:r>
      <w:r>
        <w:rPr>
          <w:rFonts w:hint="eastAsia" w:ascii="宋体" w:hAnsi="宋体"/>
          <w:color w:val="000000"/>
        </w:rPr>
        <w:t>第</w:t>
      </w:r>
      <w:r>
        <w:rPr>
          <w:rFonts w:ascii="Times New Roman" w:hAnsi="Times New Roman"/>
          <w:color w:val="000000"/>
        </w:rPr>
        <w:t>6.6.5</w:t>
      </w:r>
      <w:r>
        <w:rPr>
          <w:rFonts w:hint="eastAsia" w:ascii="宋体" w:hAnsi="宋体"/>
          <w:color w:val="000000"/>
        </w:rPr>
        <w:t>条的条文说明指出，当后浇层厚度较大（大于</w:t>
      </w:r>
      <w:r>
        <w:rPr>
          <w:rFonts w:ascii="Times New Roman" w:hAnsi="Times New Roman"/>
          <w:color w:val="000000"/>
        </w:rPr>
        <w:t>75mm</w:t>
      </w:r>
      <w:r>
        <w:rPr>
          <w:rFonts w:hint="eastAsia" w:ascii="宋体" w:hAnsi="宋体"/>
          <w:color w:val="000000"/>
        </w:rPr>
        <w:t>），可将其作为整体接缝，几块预制板通过接缝和后浇层组成的叠合板可按照整体双向板进行设计。</w:t>
      </w:r>
    </w:p>
    <w:p>
      <w:pPr>
        <w:snapToGrid w:val="0"/>
        <w:spacing w:line="240" w:lineRule="auto"/>
        <w:ind w:firstLine="480"/>
        <w:rPr>
          <w:rFonts w:ascii="宋体" w:hAnsi="宋体"/>
        </w:rPr>
      </w:pPr>
      <w:r>
        <w:rPr>
          <w:rFonts w:hint="eastAsia" w:ascii="宋体" w:hAnsi="宋体"/>
          <w:color w:val="000000"/>
        </w:rPr>
        <w:t>本条规定了密拼式整体接缝的构造做法，控制条件包括后浇层厚度、搭接钢筋、分布钢筋与钢筋桁架的设置等。经同济大学、龙信建设集团有限公司、浙江工业大学工程设计集团有限公司、宝业湖北建工集团有限公司、华中科技大学等单位的试验研究表明，本条提出的密拼式接缝构造设计可实现内力（弯矩及剪力）的连续传递，受力性能上相当于整体板。</w:t>
      </w:r>
    </w:p>
    <w:p>
      <w:pPr>
        <w:snapToGrid w:val="0"/>
        <w:spacing w:line="240" w:lineRule="auto"/>
        <w:ind w:firstLine="480"/>
        <w:rPr>
          <w:rFonts w:ascii="Times New Roman" w:hAnsi="Times New Roman"/>
          <w:color w:val="000000"/>
        </w:rPr>
      </w:pPr>
      <w:r>
        <w:rPr>
          <w:rFonts w:hint="eastAsia" w:ascii="宋体" w:hAnsi="宋体"/>
          <w:color w:val="000000"/>
        </w:rPr>
        <w:t>接缝处设置垂直于接缝的搭接钢筋是保证接缝处受弯承载力和控制裂缝宽度的重要因素。试验结果表明，当接缝平行于钢筋桁架时，桁架叠合板受弯时从接缝到第一道钢筋桁架之间的叠合面上易出现混凝土开裂，钢筋的锚固作用不可靠；因此规定搭接钢筋的搭接长度从距离接缝最近一道钢筋桁架的腹杆钢筋</w:t>
      </w:r>
      <w:r>
        <w:rPr>
          <w:rFonts w:ascii="Times New Roman" w:hAnsi="Times New Roman"/>
          <w:color w:val="000000"/>
        </w:rPr>
        <w:t>与下弦钢筋交点起算。</w:t>
      </w:r>
    </w:p>
    <w:p>
      <w:pPr>
        <w:snapToGrid w:val="0"/>
        <w:spacing w:line="240" w:lineRule="auto"/>
        <w:ind w:firstLine="480"/>
        <w:rPr>
          <w:rFonts w:ascii="Times New Roman" w:hAnsi="Times New Roman"/>
          <w:color w:val="000000"/>
        </w:rPr>
      </w:pPr>
      <w:r>
        <w:rPr>
          <w:rFonts w:ascii="Times New Roman" w:hAnsi="Times New Roman"/>
          <w:color w:val="000000"/>
        </w:rPr>
        <w:t>第c）款的规定与现行国家标准《装配式混凝土建筑技术标准》GB/T 51231相同。试验结果表明，搭接钢筋紧贴叠合面、分布钢筋放置在搭接钢筋上方的做法与分布钢筋在下方的做法相比，其承载力和刚度接近，且前者略高。</w:t>
      </w:r>
    </w:p>
    <w:p>
      <w:pPr>
        <w:snapToGrid w:val="0"/>
        <w:spacing w:line="240" w:lineRule="auto"/>
        <w:ind w:firstLine="480"/>
        <w:rPr>
          <w:rFonts w:ascii="宋体" w:hAnsi="宋体"/>
          <w:color w:val="000000"/>
        </w:rPr>
      </w:pPr>
      <w:r>
        <w:rPr>
          <w:rFonts w:ascii="Times New Roman" w:hAnsi="Times New Roman"/>
          <w:color w:val="000000"/>
        </w:rPr>
        <w:t>第d）款的</w:t>
      </w:r>
      <w:r>
        <w:rPr>
          <w:rFonts w:hint="eastAsia" w:ascii="宋体" w:hAnsi="宋体"/>
          <w:color w:val="000000"/>
        </w:rPr>
        <w:t xml:space="preserve">规定与现行德国规范 </w:t>
      </w:r>
      <w:r>
        <w:rPr>
          <w:rFonts w:ascii="Times New Roman" w:hAnsi="Times New Roman"/>
          <w:color w:val="000000"/>
        </w:rPr>
        <w:t>DIN 1045-1</w:t>
      </w:r>
      <w:r>
        <w:rPr>
          <w:rFonts w:hint="eastAsia" w:ascii="宋体" w:hAnsi="宋体"/>
          <w:color w:val="000000"/>
        </w:rPr>
        <w:t>基本一致，增加了钢筋桁架间距最大限值的要求。试验结果表明，钢筋桁架平行于接缝时，这种构造做法可保证接缝处的有效传力，并可控制接缝处的裂缝开展。</w:t>
      </w:r>
    </w:p>
    <w:p>
      <w:pPr>
        <w:snapToGrid w:val="0"/>
        <w:spacing w:line="240" w:lineRule="auto"/>
        <w:ind w:firstLine="420" w:firstLineChars="200"/>
        <w:rPr>
          <w:rFonts w:ascii="Times New Roman" w:hAnsi="Times New Roman"/>
          <w:color w:val="000000"/>
        </w:rPr>
      </w:pPr>
      <w:r>
        <w:rPr>
          <w:rFonts w:hint="eastAsia" w:ascii="宋体" w:hAnsi="宋体"/>
          <w:color w:val="000000"/>
        </w:rPr>
        <w:t>桁架叠合板的密拼式整体接缝也可采用其他的构造形式，但需进行相关的试验或分析验证，以确保其安全性与可靠性。</w:t>
      </w:r>
    </w:p>
    <w:p>
      <w:pPr>
        <w:snapToGrid w:val="0"/>
        <w:spacing w:line="240" w:lineRule="auto"/>
        <w:rPr>
          <w:rFonts w:ascii="宋体" w:hAnsi="宋体"/>
          <w:kern w:val="0"/>
        </w:rPr>
      </w:pPr>
      <w:r>
        <w:rPr>
          <w:rFonts w:ascii="Times New Roman" w:hAnsi="Times New Roman"/>
          <w:b/>
          <w:bCs/>
          <w:color w:val="000000"/>
        </w:rPr>
        <w:t>6.3.3</w:t>
      </w:r>
      <w:r>
        <w:rPr>
          <w:rFonts w:hint="eastAsia" w:ascii="宋体" w:hAnsi="宋体"/>
          <w:color w:val="000000"/>
        </w:rPr>
        <w:t>试验结果表明，当钢筋桁架平行于接缝时，在承载力极限状态下接缝附近桁架预制板与叠合层之间的结合面易发生撕裂，导致接缝附近两侧叠合面产生剪切破坏，搭接钢筋搭接范围内钢筋桁架的腹杆钢筋可以有效提供受剪承载力，起到防止</w:t>
      </w:r>
      <w:r>
        <w:rPr>
          <w:rFonts w:ascii="Times New Roman" w:hAnsi="Times New Roman"/>
          <w:color w:val="000000"/>
        </w:rPr>
        <w:t>叠合面撕裂的作用。本规程公式参照中国工程建设标准化协会</w:t>
      </w:r>
      <w:r>
        <w:rPr>
          <w:rFonts w:ascii="Times New Roman" w:hAnsi="Times New Roman"/>
          <w:kern w:val="0"/>
        </w:rPr>
        <w:t>标准《钢筋桁架混凝土叠合板应用技术规程》T/CECS 715-2020</w:t>
      </w:r>
      <w:r>
        <w:rPr>
          <w:rFonts w:hint="eastAsia" w:ascii="宋体" w:hAnsi="宋体"/>
          <w:kern w:val="0"/>
        </w:rPr>
        <w:t>。</w:t>
      </w:r>
    </w:p>
    <w:p>
      <w:pPr>
        <w:adjustRightInd/>
        <w:spacing w:line="240" w:lineRule="auto"/>
        <w:rPr>
          <w:rFonts w:ascii="宋体" w:hAnsi="宋体"/>
        </w:rPr>
      </w:pPr>
      <w:r>
        <w:rPr>
          <w:rFonts w:hint="eastAsia" w:ascii="Times New Roman" w:hAnsi="Times New Roman"/>
          <w:b/>
          <w:color w:val="000000"/>
        </w:rPr>
        <w:t>6</w:t>
      </w:r>
      <w:r>
        <w:rPr>
          <w:rFonts w:ascii="Times New Roman" w:hAnsi="Times New Roman"/>
          <w:b/>
          <w:color w:val="000000"/>
        </w:rPr>
        <w:t xml:space="preserve">.3.4 </w:t>
      </w:r>
      <w:r>
        <w:rPr>
          <w:rFonts w:hint="eastAsia" w:ascii="宋体" w:hAnsi="宋体"/>
          <w:color w:val="000000"/>
        </w:rPr>
        <w:t>试验研究表明，密拼式整体接缝在开裂后，其裂缝宽度大于整体浇筑楼板的裂缝宽度，因此应严格控制密拼接缝处开裂时的裂缝宽度。本条通过限制接缝处搭接钢筋的应力水平来控制接缝处的开裂。</w:t>
      </w:r>
    </w:p>
    <w:p>
      <w:pPr>
        <w:adjustRightInd/>
        <w:spacing w:line="240" w:lineRule="auto"/>
        <w:rPr>
          <w:rFonts w:ascii="宋体" w:hAnsi="宋体"/>
          <w:color w:val="000000"/>
        </w:rPr>
      </w:pPr>
      <w:r>
        <w:rPr>
          <w:rFonts w:hint="eastAsia" w:ascii="Times New Roman" w:hAnsi="Times New Roman"/>
          <w:b/>
          <w:color w:val="000000"/>
        </w:rPr>
        <w:t>6</w:t>
      </w:r>
      <w:r>
        <w:rPr>
          <w:rFonts w:ascii="Times New Roman" w:hAnsi="Times New Roman"/>
          <w:b/>
          <w:color w:val="000000"/>
        </w:rPr>
        <w:t>.3</w:t>
      </w:r>
      <w:r>
        <w:rPr>
          <w:rFonts w:hint="eastAsia" w:ascii="Times New Roman" w:hAnsi="Times New Roman"/>
          <w:b/>
          <w:color w:val="000000"/>
        </w:rPr>
        <w:t>.6</w:t>
      </w:r>
      <w:r>
        <w:rPr>
          <w:rFonts w:hint="eastAsia" w:ascii="宋体" w:hAnsi="宋体"/>
          <w:color w:val="000000"/>
        </w:rPr>
        <w:t>本条规定了分离式接缝的构造做法，条文规定与现行行业标准《装配式混凝土结构技术规程》</w:t>
      </w:r>
      <w:r>
        <w:rPr>
          <w:rFonts w:ascii="Times New Roman" w:hAnsi="Times New Roman"/>
          <w:color w:val="000000"/>
        </w:rPr>
        <w:t>JGJ1</w:t>
      </w:r>
      <w:r>
        <w:rPr>
          <w:rFonts w:hint="eastAsia" w:ascii="宋体" w:hAnsi="宋体"/>
          <w:color w:val="000000"/>
        </w:rPr>
        <w:t>相同。</w:t>
      </w:r>
    </w:p>
    <w:p>
      <w:pPr>
        <w:snapToGrid w:val="0"/>
        <w:spacing w:line="240" w:lineRule="auto"/>
        <w:rPr>
          <w:rFonts w:ascii="宋体" w:hAnsi="宋体"/>
        </w:rPr>
      </w:pPr>
      <w:r>
        <w:rPr>
          <w:rFonts w:hint="eastAsia" w:ascii="Times New Roman" w:hAnsi="Times New Roman"/>
          <w:b/>
          <w:color w:val="000000"/>
        </w:rPr>
        <w:t>6</w:t>
      </w:r>
      <w:r>
        <w:rPr>
          <w:rFonts w:ascii="Times New Roman" w:hAnsi="Times New Roman"/>
          <w:b/>
          <w:color w:val="000000"/>
        </w:rPr>
        <w:t>.3</w:t>
      </w:r>
      <w:r>
        <w:rPr>
          <w:rFonts w:hint="eastAsia" w:ascii="Times New Roman" w:hAnsi="Times New Roman"/>
          <w:b/>
          <w:color w:val="000000"/>
        </w:rPr>
        <w:t>.7</w:t>
      </w:r>
      <w:r>
        <w:rPr>
          <w:rFonts w:hint="eastAsia" w:ascii="宋体" w:hAnsi="宋体"/>
          <w:color w:val="000000"/>
        </w:rPr>
        <w:t>当桁架预制板采用密拼式接缝连接时，如板底无吊顶且采用腻子及乳胶漆装修，接缝需要做嵌缝处理，可采用图9</w:t>
      </w:r>
      <w:r>
        <w:rPr>
          <w:rFonts w:ascii="Times New Roman" w:hAnsi="Times New Roman"/>
          <w:color w:val="000000"/>
        </w:rPr>
        <w:t xml:space="preserve">a </w:t>
      </w:r>
      <w:r>
        <w:rPr>
          <w:rFonts w:hint="eastAsia" w:ascii="宋体" w:hAnsi="宋体"/>
          <w:color w:val="000000"/>
        </w:rPr>
        <w:t>所示的构造，桁架预制板底面设置倒角、侧面设置斜面形成连续斜坡。采用柔性抗裂砂浆</w:t>
      </w:r>
      <w:r>
        <w:rPr>
          <w:rFonts w:ascii="Times New Roman" w:hAnsi="Times New Roman"/>
          <w:color w:val="000000"/>
        </w:rPr>
        <w:t>(</w:t>
      </w:r>
      <w:r>
        <w:rPr>
          <w:rFonts w:hint="eastAsia" w:ascii="宋体" w:hAnsi="宋体"/>
          <w:color w:val="000000"/>
        </w:rPr>
        <w:t>聚合物改性砂浆</w:t>
      </w:r>
      <w:r>
        <w:rPr>
          <w:rFonts w:ascii="Times New Roman" w:hAnsi="Times New Roman"/>
          <w:color w:val="000000"/>
        </w:rPr>
        <w:t>)</w:t>
      </w:r>
      <w:r>
        <w:rPr>
          <w:rFonts w:hint="eastAsia" w:ascii="宋体" w:hAnsi="宋体"/>
          <w:color w:val="000000"/>
        </w:rPr>
        <w:t>分层嵌填。因砂浆具有一定的变形能力，可有效防止接缝下表面开裂，且嵌填砂浆可保证接缝处搭接钢筋的耐久性。也可采用图</w:t>
      </w:r>
      <w:r>
        <w:rPr>
          <w:rFonts w:hint="eastAsia" w:ascii="Times New Roman" w:hAnsi="Times New Roman"/>
          <w:color w:val="000000"/>
        </w:rPr>
        <w:t>9</w:t>
      </w:r>
      <w:r>
        <w:rPr>
          <w:rFonts w:ascii="Times New Roman" w:hAnsi="Times New Roman"/>
          <w:color w:val="000000"/>
        </w:rPr>
        <w:t>b</w:t>
      </w:r>
      <w:r>
        <w:rPr>
          <w:rFonts w:hint="eastAsia" w:ascii="宋体" w:hAnsi="宋体"/>
          <w:color w:val="000000"/>
        </w:rPr>
        <w:t>所示的构造，板底设置槽口并粘贴抗裂材料，抗裂材料可采用网格布等；为使接缝处搭接钢筋具有足够的保护层厚度，桁架预制板顶面边缘处需设置倒角或者直接做成正</w:t>
      </w:r>
      <w:r>
        <w:rPr>
          <w:rFonts w:ascii="Times New Roman" w:hAnsi="Times New Roman"/>
          <w:color w:val="000000"/>
        </w:rPr>
        <w:t>“V”</w:t>
      </w:r>
      <w:r>
        <w:rPr>
          <w:rFonts w:hint="eastAsia" w:ascii="宋体" w:hAnsi="宋体"/>
          <w:color w:val="000000"/>
        </w:rPr>
        <w:t>字形接口。采用图</w:t>
      </w:r>
      <w:r>
        <w:rPr>
          <w:rFonts w:hint="eastAsia" w:ascii="Times New Roman" w:hAnsi="Times New Roman"/>
          <w:color w:val="000000"/>
        </w:rPr>
        <w:t>9</w:t>
      </w:r>
      <w:r>
        <w:rPr>
          <w:rFonts w:ascii="Times New Roman" w:hAnsi="Times New Roman"/>
          <w:color w:val="000000"/>
        </w:rPr>
        <w:t>c</w:t>
      </w:r>
      <w:r>
        <w:rPr>
          <w:rFonts w:hint="eastAsia" w:ascii="宋体" w:hAnsi="宋体"/>
          <w:color w:val="000000"/>
        </w:rPr>
        <w:t>所示的构造时，如板底有吊顶或者无需装修处理时，接缝可外露不嵌填。</w:t>
      </w:r>
      <w:r>
        <w:rPr>
          <w:rFonts w:hint="eastAsia" w:ascii="宋体" w:hAnsi="宋体"/>
        </w:rPr>
        <w:t xml:space="preserve"> </w:t>
      </w:r>
    </w:p>
    <w:p>
      <w:pPr>
        <w:adjustRightInd/>
        <w:spacing w:before="312" w:beforeLines="100" w:after="312" w:afterLines="100" w:line="240" w:lineRule="auto"/>
        <w:outlineLvl w:val="1"/>
        <w:rPr>
          <w:rFonts w:ascii="Times New Roman" w:hAnsi="Times New Roman"/>
          <w:b/>
          <w:color w:val="000000"/>
        </w:rPr>
      </w:pPr>
      <w:r>
        <w:rPr>
          <w:rFonts w:ascii="Times New Roman" w:hAnsi="Times New Roman"/>
          <w:b/>
          <w:color w:val="000000"/>
        </w:rPr>
        <w:t>6.4</w:t>
      </w:r>
      <w:r>
        <w:rPr>
          <w:rFonts w:hint="eastAsia" w:ascii="黑体" w:hAnsi="黑体" w:eastAsia="黑体"/>
          <w:color w:val="000000"/>
        </w:rPr>
        <w:t>支座节点设计及构造</w:t>
      </w:r>
    </w:p>
    <w:p>
      <w:pPr>
        <w:snapToGrid w:val="0"/>
        <w:spacing w:line="240" w:lineRule="auto"/>
        <w:rPr>
          <w:rFonts w:ascii="Times New Roman" w:hAnsi="Times New Roman"/>
          <w:color w:val="000000"/>
        </w:rPr>
      </w:pPr>
      <w:r>
        <w:rPr>
          <w:rFonts w:hint="eastAsia" w:ascii="Times New Roman" w:hAnsi="Times New Roman"/>
          <w:b/>
          <w:color w:val="000000"/>
        </w:rPr>
        <w:t>6</w:t>
      </w:r>
      <w:r>
        <w:rPr>
          <w:rFonts w:ascii="Times New Roman" w:hAnsi="Times New Roman"/>
          <w:b/>
          <w:color w:val="000000"/>
        </w:rPr>
        <w:t>.</w:t>
      </w:r>
      <w:r>
        <w:rPr>
          <w:rFonts w:hint="eastAsia" w:ascii="Times New Roman" w:hAnsi="Times New Roman"/>
          <w:b/>
          <w:color w:val="000000"/>
        </w:rPr>
        <w:t>4.2</w:t>
      </w:r>
      <w:r>
        <w:rPr>
          <w:rFonts w:ascii="宋体" w:hAnsi="宋体"/>
          <w:color w:val="000000"/>
        </w:rPr>
        <w:t>桁架叠合板板端受剪承载力较大，通常不用验算。当特殊情况需要验算时，可按</w:t>
      </w:r>
      <w:r>
        <w:rPr>
          <w:rFonts w:hint="eastAsia" w:ascii="宋体" w:hAnsi="宋体"/>
          <w:color w:val="000000"/>
        </w:rPr>
        <w:t>式（</w:t>
      </w:r>
      <w:r>
        <w:rPr>
          <w:rFonts w:hint="eastAsia" w:ascii="Times New Roman" w:hAnsi="Times New Roman"/>
          <w:color w:val="000000"/>
        </w:rPr>
        <w:t>6</w:t>
      </w:r>
      <w:r>
        <w:rPr>
          <w:rFonts w:ascii="Times New Roman" w:hAnsi="Times New Roman"/>
          <w:color w:val="000000"/>
        </w:rPr>
        <w:t>.4.2-2</w:t>
      </w:r>
      <w:r>
        <w:rPr>
          <w:rFonts w:hint="eastAsia" w:ascii="宋体" w:hAnsi="宋体"/>
          <w:color w:val="000000"/>
        </w:rPr>
        <w:t>）</w:t>
      </w:r>
      <w:r>
        <w:rPr>
          <w:rFonts w:ascii="宋体" w:hAnsi="宋体"/>
          <w:color w:val="000000"/>
        </w:rPr>
        <w:t>计算</w:t>
      </w:r>
      <w:r>
        <w:rPr>
          <w:rFonts w:hint="eastAsia" w:ascii="宋体" w:hAnsi="宋体"/>
          <w:color w:val="000000"/>
        </w:rPr>
        <w:t>。本条参照现行行业标准《装配式混凝土结构技术规程》</w:t>
      </w:r>
      <w:r>
        <w:rPr>
          <w:rFonts w:ascii="Times New Roman" w:hAnsi="Times New Roman"/>
          <w:color w:val="000000"/>
        </w:rPr>
        <w:t>JGJ 1</w:t>
      </w:r>
      <w:r>
        <w:rPr>
          <w:rFonts w:hint="eastAsia" w:ascii="宋体" w:hAnsi="宋体"/>
          <w:color w:val="000000"/>
        </w:rPr>
        <w:t>中叠合梁端受剪承载力的规定，提出了桁架叠合板板端受剪承载力的规定和承载力设计值计算公式。由于桁架预制板板端无键槽，因此式（</w:t>
      </w:r>
      <w:r>
        <w:rPr>
          <w:rFonts w:hint="eastAsia" w:ascii="Times New Roman" w:hAnsi="Times New Roman"/>
          <w:color w:val="000000"/>
        </w:rPr>
        <w:t>6</w:t>
      </w:r>
      <w:r>
        <w:rPr>
          <w:rFonts w:ascii="Times New Roman" w:hAnsi="Times New Roman"/>
          <w:color w:val="000000"/>
        </w:rPr>
        <w:t>.4.2-2</w:t>
      </w:r>
      <w:r>
        <w:rPr>
          <w:rFonts w:hint="eastAsia" w:ascii="宋体" w:hAnsi="宋体"/>
          <w:color w:val="000000"/>
        </w:rPr>
        <w:t>）中仅包含后浇叠合层抗剪项和穿过桁架叠合板板端竖向接缝的钢筋销栓项。</w:t>
      </w:r>
    </w:p>
    <w:p>
      <w:pPr>
        <w:snapToGrid w:val="0"/>
        <w:spacing w:line="240" w:lineRule="auto"/>
        <w:rPr>
          <w:rFonts w:ascii="Times New Roman" w:hAnsi="Times New Roman" w:eastAsia="华文仿宋"/>
          <w:color w:val="000000"/>
        </w:rPr>
      </w:pPr>
      <w:r>
        <w:rPr>
          <w:rFonts w:hint="eastAsia" w:ascii="Times New Roman" w:hAnsi="Times New Roman"/>
          <w:b/>
          <w:color w:val="000000"/>
        </w:rPr>
        <w:t>6</w:t>
      </w:r>
      <w:r>
        <w:rPr>
          <w:rFonts w:ascii="Times New Roman" w:hAnsi="Times New Roman"/>
          <w:b/>
          <w:color w:val="000000"/>
        </w:rPr>
        <w:t>.</w:t>
      </w:r>
      <w:r>
        <w:rPr>
          <w:rFonts w:hint="eastAsia" w:ascii="Times New Roman" w:hAnsi="Times New Roman"/>
          <w:b/>
          <w:color w:val="000000"/>
        </w:rPr>
        <w:t>4.4</w:t>
      </w:r>
      <w:r>
        <w:rPr>
          <w:rFonts w:ascii="宋体" w:hAnsi="宋体"/>
          <w:color w:val="000000"/>
        </w:rPr>
        <w:t>按照分布钢筋间距</w:t>
      </w:r>
      <w:r>
        <w:rPr>
          <w:rFonts w:ascii="Times New Roman" w:hAnsi="Times New Roman"/>
          <w:color w:val="000000"/>
        </w:rPr>
        <w:t>200mm</w:t>
      </w:r>
      <w:r>
        <w:rPr>
          <w:rFonts w:ascii="宋体" w:hAnsi="宋体"/>
          <w:color w:val="000000"/>
        </w:rPr>
        <w:t>、桁架钢筋间距</w:t>
      </w:r>
      <w:r>
        <w:rPr>
          <w:rFonts w:ascii="Times New Roman" w:hAnsi="Times New Roman"/>
          <w:color w:val="000000"/>
        </w:rPr>
        <w:t>600mm</w:t>
      </w:r>
      <w:r>
        <w:rPr>
          <w:rFonts w:ascii="宋体" w:hAnsi="宋体"/>
          <w:color w:val="000000"/>
        </w:rPr>
        <w:t>计算，搭接率约为</w:t>
      </w:r>
      <w:r>
        <w:rPr>
          <w:rFonts w:ascii="Times New Roman" w:hAnsi="Times New Roman"/>
          <w:color w:val="000000"/>
        </w:rPr>
        <w:t>33%</w:t>
      </w:r>
      <w:r>
        <w:rPr>
          <w:rFonts w:ascii="宋体" w:hAnsi="宋体"/>
          <w:color w:val="000000"/>
        </w:rPr>
        <w:t>，根据《混凝土结构设计规范》</w:t>
      </w:r>
      <w:r>
        <w:rPr>
          <w:rFonts w:ascii="Times New Roman" w:hAnsi="Times New Roman"/>
          <w:color w:val="000000"/>
        </w:rPr>
        <w:t>GB 50010</w:t>
      </w:r>
      <w:r>
        <w:rPr>
          <w:rFonts w:ascii="宋体" w:hAnsi="宋体"/>
          <w:color w:val="000000"/>
        </w:rPr>
        <w:t>，受拉钢筋搭接长度修正系数取为</w:t>
      </w:r>
      <w:r>
        <w:rPr>
          <w:rFonts w:ascii="Times New Roman" w:hAnsi="Times New Roman"/>
          <w:color w:val="000000"/>
        </w:rPr>
        <w:t>1.4</w:t>
      </w:r>
      <w:r>
        <w:rPr>
          <w:rFonts w:hint="eastAsia" w:ascii="宋体" w:hAnsi="宋体"/>
          <w:color w:val="000000"/>
        </w:rPr>
        <w:t>，即</w:t>
      </w:r>
      <w:r>
        <w:rPr>
          <w:rFonts w:ascii="Times New Roman" w:hAnsi="Times New Roman"/>
          <w:i/>
          <w:color w:val="000000"/>
        </w:rPr>
        <w:t>l</w:t>
      </w:r>
      <w:r>
        <w:rPr>
          <w:rFonts w:ascii="Times New Roman" w:hAnsi="Times New Roman"/>
          <w:i/>
          <w:color w:val="000000"/>
          <w:vertAlign w:val="subscript"/>
        </w:rPr>
        <w:t>l</w:t>
      </w:r>
      <w:r>
        <w:rPr>
          <w:rFonts w:ascii="Times New Roman" w:hAnsi="Times New Roman"/>
          <w:i/>
          <w:color w:val="000000"/>
        </w:rPr>
        <w:t xml:space="preserve"> </w:t>
      </w:r>
      <w:r>
        <w:rPr>
          <w:rFonts w:hint="eastAsia" w:ascii="Times New Roman" w:hAnsi="Times New Roman"/>
          <w:i/>
          <w:color w:val="000000"/>
        </w:rPr>
        <w:t>=</w:t>
      </w:r>
      <w:r>
        <w:rPr>
          <w:rFonts w:ascii="Times New Roman" w:hAnsi="Times New Roman"/>
          <w:color w:val="000000"/>
        </w:rPr>
        <w:t>1.4</w:t>
      </w:r>
      <w:r>
        <w:rPr>
          <w:rFonts w:ascii="Times New Roman" w:hAnsi="Times New Roman"/>
          <w:i/>
          <w:color w:val="000000"/>
        </w:rPr>
        <w:t>l</w:t>
      </w:r>
      <w:r>
        <w:rPr>
          <w:rFonts w:ascii="Times New Roman" w:hAnsi="Times New Roman"/>
          <w:color w:val="000000"/>
          <w:vertAlign w:val="subscript"/>
        </w:rPr>
        <w:t>a</w:t>
      </w:r>
      <w:r>
        <w:rPr>
          <w:rFonts w:ascii="宋体" w:hAnsi="宋体"/>
          <w:color w:val="000000"/>
        </w:rPr>
        <w:t>。</w:t>
      </w:r>
    </w:p>
    <w:p>
      <w:pPr>
        <w:snapToGrid w:val="0"/>
        <w:spacing w:line="240" w:lineRule="auto"/>
        <w:rPr>
          <w:rFonts w:ascii="Times New Roman" w:hAnsi="Times New Roman"/>
          <w:color w:val="000000"/>
        </w:rPr>
      </w:pPr>
      <w:r>
        <w:rPr>
          <w:rFonts w:hint="eastAsia" w:ascii="Times New Roman" w:hAnsi="Times New Roman"/>
          <w:b/>
          <w:color w:val="000000"/>
        </w:rPr>
        <w:t>6</w:t>
      </w:r>
      <w:r>
        <w:rPr>
          <w:rFonts w:ascii="Times New Roman" w:hAnsi="Times New Roman"/>
          <w:b/>
          <w:color w:val="000000"/>
        </w:rPr>
        <w:t>.</w:t>
      </w:r>
      <w:r>
        <w:rPr>
          <w:rFonts w:hint="eastAsia" w:ascii="Times New Roman" w:hAnsi="Times New Roman"/>
          <w:b/>
          <w:color w:val="000000"/>
        </w:rPr>
        <w:t>4.5</w:t>
      </w:r>
      <w:r>
        <w:rPr>
          <w:rFonts w:ascii="宋体" w:hAnsi="宋体"/>
        </w:rPr>
        <w:t>参考现行行业标准《装配式混凝土结构技术规程》</w:t>
      </w:r>
      <w:r>
        <w:rPr>
          <w:rFonts w:ascii="Times New Roman" w:hAnsi="Times New Roman"/>
        </w:rPr>
        <w:t>JGJ 1</w:t>
      </w:r>
      <w:r>
        <w:rPr>
          <w:rFonts w:ascii="宋体" w:hAnsi="宋体"/>
        </w:rPr>
        <w:t>，规定了桁架预制板纵向钢筋伸入支座的锚固长度。</w:t>
      </w:r>
    </w:p>
    <w:p>
      <w:pPr>
        <w:adjustRightInd/>
        <w:spacing w:line="240" w:lineRule="auto"/>
        <w:rPr>
          <w:rFonts w:ascii="Times New Roman" w:hAnsi="Times New Roman"/>
          <w:color w:val="000000"/>
        </w:rPr>
      </w:pPr>
      <w:r>
        <w:rPr>
          <w:rFonts w:hint="eastAsia" w:ascii="Times New Roman" w:hAnsi="Times New Roman"/>
          <w:b/>
          <w:color w:val="000000"/>
        </w:rPr>
        <w:t>6</w:t>
      </w:r>
      <w:r>
        <w:rPr>
          <w:rFonts w:ascii="Times New Roman" w:hAnsi="Times New Roman"/>
          <w:b/>
          <w:color w:val="000000"/>
        </w:rPr>
        <w:t>.</w:t>
      </w:r>
      <w:r>
        <w:rPr>
          <w:rFonts w:hint="eastAsia" w:ascii="Times New Roman" w:hAnsi="Times New Roman"/>
          <w:b/>
          <w:color w:val="000000"/>
        </w:rPr>
        <w:t>4.6</w:t>
      </w:r>
      <w:r>
        <w:rPr>
          <w:rFonts w:ascii="宋体" w:hAnsi="宋体"/>
        </w:rPr>
        <w:t>清华大学的试验研究表明，板端纵向钢筋不伸入支座并设置搭接钢筋时，在负弯矩作用下，桁架叠合板端下部受压，搭接钢筋为受拉状态并能达到屈服，可提高桁架叠合板的受弯承载力；在正弯矩作用下，桁架预制板内纵向钢筋受拉，支座接缝处混凝土开裂后承载力下降，此后搭接钢筋开始受拉，截面有效高度变化为搭接钢筋形心至桁架叠合板上表面距离（图</w:t>
      </w:r>
      <w:r>
        <w:rPr>
          <w:rFonts w:hint="eastAsia" w:ascii="Times New Roman" w:hAnsi="Times New Roman"/>
        </w:rPr>
        <w:t>12</w:t>
      </w:r>
      <w:r>
        <w:rPr>
          <w:rFonts w:ascii="宋体" w:hAnsi="宋体"/>
        </w:rPr>
        <w:t>中</w:t>
      </w:r>
      <w:r>
        <w:rPr>
          <w:rFonts w:ascii="Times New Roman" w:hAnsi="Times New Roman"/>
        </w:rPr>
        <w:t>h</w:t>
      </w:r>
      <w:r>
        <w:rPr>
          <w:rFonts w:ascii="Times New Roman" w:hAnsi="Times New Roman"/>
          <w:vertAlign w:val="subscript"/>
        </w:rPr>
        <w:t>20</w:t>
      </w:r>
      <w:r>
        <w:rPr>
          <w:rFonts w:ascii="宋体" w:hAnsi="宋体"/>
        </w:rPr>
        <w:t>）。在地震作用下，当结构侧移很大时（</w:t>
      </w:r>
      <w:r>
        <w:rPr>
          <w:rFonts w:ascii="Times New Roman" w:hAnsi="Times New Roman"/>
        </w:rPr>
        <w:t>1/50</w:t>
      </w:r>
      <w:r>
        <w:rPr>
          <w:rFonts w:ascii="宋体" w:hAnsi="宋体"/>
        </w:rPr>
        <w:t>），设置了搭接钢筋的支座节点即使发生了屈服，仍具有足够的变形能力和一定的承载力，可承担竖向荷载而不发生倒塌破坏。</w:t>
      </w:r>
    </w:p>
    <w:p>
      <w:pPr>
        <w:adjustRightInd/>
        <w:spacing w:before="312" w:beforeLines="100" w:after="312" w:afterLines="100" w:line="240" w:lineRule="auto"/>
        <w:outlineLvl w:val="0"/>
        <w:rPr>
          <w:rFonts w:ascii="黑体" w:hAnsi="黑体" w:eastAsia="黑体"/>
          <w:color w:val="000000"/>
        </w:rPr>
      </w:pPr>
      <w:bookmarkStart w:id="146" w:name="_Toc8066916"/>
      <w:bookmarkEnd w:id="146"/>
      <w:bookmarkStart w:id="147" w:name="_Toc29482"/>
      <w:r>
        <w:rPr>
          <w:rFonts w:hint="eastAsia" w:ascii="Times New Roman" w:hAnsi="Times New Roman"/>
          <w:b/>
          <w:color w:val="000000"/>
        </w:rPr>
        <w:t>7</w:t>
      </w:r>
      <w:r>
        <w:rPr>
          <w:rFonts w:ascii="Times New Roman" w:hAnsi="Times New Roman"/>
          <w:b/>
          <w:color w:val="000000"/>
        </w:rPr>
        <w:t xml:space="preserve"> </w:t>
      </w:r>
      <w:r>
        <w:rPr>
          <w:rFonts w:hint="eastAsia" w:ascii="黑体" w:hAnsi="黑体" w:eastAsia="黑体"/>
          <w:color w:val="000000"/>
        </w:rPr>
        <w:t>桁架预制板制作、运输与堆放</w:t>
      </w:r>
      <w:bookmarkEnd w:id="147"/>
    </w:p>
    <w:p>
      <w:pPr>
        <w:adjustRightInd/>
        <w:spacing w:before="312" w:beforeLines="100" w:after="312" w:afterLines="100" w:line="240" w:lineRule="auto"/>
        <w:outlineLvl w:val="1"/>
        <w:rPr>
          <w:rFonts w:ascii="Times New Roman" w:hAnsi="Times New Roman"/>
          <w:b/>
          <w:color w:val="000000"/>
        </w:rPr>
      </w:pPr>
      <w:bookmarkStart w:id="148" w:name="_Toc8066917"/>
      <w:bookmarkEnd w:id="148"/>
      <w:r>
        <w:rPr>
          <w:rFonts w:hint="eastAsia" w:ascii="Times New Roman" w:hAnsi="Times New Roman"/>
          <w:b/>
          <w:color w:val="000000"/>
        </w:rPr>
        <w:t>7</w:t>
      </w:r>
      <w:r>
        <w:rPr>
          <w:rFonts w:ascii="Times New Roman" w:hAnsi="Times New Roman"/>
          <w:b/>
          <w:color w:val="000000"/>
        </w:rPr>
        <w:t xml:space="preserve">.1 </w:t>
      </w:r>
      <w:r>
        <w:rPr>
          <w:rFonts w:hint="eastAsia" w:ascii="黑体" w:hAnsi="黑体" w:eastAsia="黑体"/>
          <w:color w:val="000000"/>
        </w:rPr>
        <w:t>一般规定</w:t>
      </w:r>
    </w:p>
    <w:p>
      <w:pPr>
        <w:adjustRightInd/>
        <w:spacing w:line="240" w:lineRule="auto"/>
        <w:rPr>
          <w:rFonts w:ascii="宋体" w:hAnsi="宋体"/>
          <w:color w:val="000000"/>
        </w:rPr>
      </w:pPr>
      <w:r>
        <w:rPr>
          <w:rFonts w:ascii="Times New Roman" w:hAnsi="Times New Roman"/>
          <w:b/>
          <w:bCs/>
          <w:color w:val="000000"/>
        </w:rPr>
        <w:t>7.1.1</w:t>
      </w:r>
      <w:r>
        <w:rPr>
          <w:rFonts w:hint="eastAsia" w:ascii="宋体" w:hAnsi="宋体"/>
          <w:color w:val="000000"/>
        </w:rPr>
        <w:t>完善的质量管理体系和制度是质量管理的前提条件和企业质量管理水平的体现。质量管理体系中应建立并保持与质量管理有关的文件形成和控制工作程序，该程序应包括文件的编制、审核、批准、发放、变更和保存等。</w:t>
      </w:r>
    </w:p>
    <w:p>
      <w:pPr>
        <w:adjustRightInd/>
        <w:spacing w:line="240" w:lineRule="auto"/>
        <w:rPr>
          <w:rFonts w:ascii="宋体" w:hAnsi="宋体"/>
          <w:color w:val="000000"/>
        </w:rPr>
      </w:pPr>
      <w:r>
        <w:rPr>
          <w:rFonts w:ascii="Times New Roman" w:hAnsi="Times New Roman"/>
          <w:b/>
          <w:bCs/>
          <w:color w:val="000000"/>
        </w:rPr>
        <w:t>7.1.2</w:t>
      </w:r>
      <w:r>
        <w:rPr>
          <w:rFonts w:hint="eastAsia" w:ascii="宋体" w:hAnsi="宋体"/>
          <w:color w:val="000000"/>
        </w:rPr>
        <w:t>桁架预制板的设计需综合考虑制作、脱模、运输、安装的要求，采用标准化的尺寸和构造形式，减少桁架预制板种类和模具类型，使制作简单、运输和安装便捷。当设计文件深度不足以指导生产时，需要生产单位或专业公司另行制作加工详图。加工详图包括构件布置图、模具图、配筋图、预留孔洞及预埋件布置图等。</w:t>
      </w:r>
      <w:r>
        <w:rPr>
          <w:rFonts w:hint="eastAsia" w:ascii="宋体" w:hAnsi="宋体"/>
        </w:rPr>
        <w:t xml:space="preserve"> </w:t>
      </w:r>
    </w:p>
    <w:p>
      <w:pPr>
        <w:adjustRightInd/>
        <w:spacing w:before="312" w:beforeLines="100" w:after="312" w:afterLines="100" w:line="240" w:lineRule="auto"/>
        <w:outlineLvl w:val="1"/>
        <w:rPr>
          <w:rFonts w:ascii="Times New Roman" w:hAnsi="Times New Roman"/>
          <w:b/>
          <w:color w:val="000000"/>
        </w:rPr>
      </w:pPr>
      <w:bookmarkStart w:id="149" w:name="_Toc8066918"/>
      <w:bookmarkEnd w:id="149"/>
      <w:r>
        <w:rPr>
          <w:rFonts w:hint="eastAsia" w:ascii="Times New Roman" w:hAnsi="Times New Roman"/>
          <w:b/>
          <w:color w:val="000000"/>
        </w:rPr>
        <w:t>7</w:t>
      </w:r>
      <w:r>
        <w:rPr>
          <w:rFonts w:ascii="Times New Roman" w:hAnsi="Times New Roman"/>
          <w:b/>
          <w:color w:val="000000"/>
        </w:rPr>
        <w:t xml:space="preserve">.2 </w:t>
      </w:r>
      <w:r>
        <w:rPr>
          <w:rFonts w:hint="eastAsia" w:ascii="黑体" w:hAnsi="黑体" w:eastAsia="黑体"/>
          <w:color w:val="000000"/>
        </w:rPr>
        <w:t>模具</w:t>
      </w:r>
    </w:p>
    <w:p>
      <w:pPr>
        <w:adjustRightInd/>
        <w:spacing w:line="240" w:lineRule="auto"/>
        <w:rPr>
          <w:rFonts w:ascii="宋体" w:hAnsi="宋体"/>
          <w:color w:val="000000"/>
        </w:rPr>
      </w:pPr>
      <w:bookmarkStart w:id="150" w:name="_Toc8066919"/>
      <w:bookmarkEnd w:id="150"/>
      <w:r>
        <w:rPr>
          <w:rFonts w:hint="eastAsia" w:ascii="Times New Roman" w:hAnsi="Times New Roman"/>
          <w:b/>
          <w:color w:val="000000"/>
        </w:rPr>
        <w:t>7</w:t>
      </w:r>
      <w:r>
        <w:rPr>
          <w:rFonts w:ascii="Times New Roman" w:hAnsi="Times New Roman"/>
          <w:b/>
          <w:color w:val="000000"/>
        </w:rPr>
        <w:t xml:space="preserve">.2.1 </w:t>
      </w:r>
      <w:r>
        <w:rPr>
          <w:rFonts w:hint="eastAsia" w:ascii="宋体" w:hAnsi="宋体"/>
          <w:color w:val="000000"/>
        </w:rPr>
        <w:t>模具设计与配置需综合考虑重复利用。桁架预制板边模配置数量需满足生产进度要求，边模在模台上可采用螺栓固定、磁盒固定、磁性边模等方式。</w:t>
      </w:r>
    </w:p>
    <w:p>
      <w:pPr>
        <w:adjustRightInd/>
        <w:spacing w:line="240" w:lineRule="auto"/>
        <w:rPr>
          <w:rFonts w:ascii="宋体" w:hAnsi="宋体"/>
          <w:color w:val="000000"/>
        </w:rPr>
      </w:pPr>
      <w:r>
        <w:rPr>
          <w:rFonts w:hint="eastAsia" w:ascii="Times New Roman" w:hAnsi="Times New Roman"/>
          <w:b/>
          <w:color w:val="000000"/>
        </w:rPr>
        <w:t>7</w:t>
      </w:r>
      <w:r>
        <w:rPr>
          <w:rFonts w:ascii="Times New Roman" w:hAnsi="Times New Roman"/>
          <w:b/>
          <w:color w:val="000000"/>
        </w:rPr>
        <w:t xml:space="preserve">.2.2 </w:t>
      </w:r>
      <w:r>
        <w:rPr>
          <w:rFonts w:hint="eastAsia" w:ascii="宋体" w:hAnsi="宋体"/>
          <w:color w:val="000000"/>
        </w:rPr>
        <w:t>对不出筋桁架预制板的模具，鼓励采用磁性边模。磁性边模具有安装拆卸简单方便、布置灵活、 重复利用率高等优势，能够很好地满足自动化流水线生产节拍及机械臂装拆边模的需要。磁性边模使用时需与模台振动方式相适应，如采用高频振动，振动状态下磁性边模吸力不足，容易造成边模偏移，影响构件尺寸的准确性，此时应采取辅助加固措施。</w:t>
      </w:r>
    </w:p>
    <w:p>
      <w:pPr>
        <w:adjustRightInd/>
        <w:spacing w:line="240" w:lineRule="auto"/>
        <w:rPr>
          <w:rFonts w:ascii="宋体" w:hAnsi="宋体"/>
          <w:b/>
        </w:rPr>
      </w:pPr>
      <w:r>
        <w:rPr>
          <w:rFonts w:hint="eastAsia" w:ascii="Times New Roman" w:hAnsi="Times New Roman"/>
          <w:b/>
          <w:color w:val="000000"/>
        </w:rPr>
        <w:t>7</w:t>
      </w:r>
      <w:r>
        <w:rPr>
          <w:rFonts w:ascii="Times New Roman" w:hAnsi="Times New Roman"/>
          <w:b/>
          <w:color w:val="000000"/>
        </w:rPr>
        <w:t xml:space="preserve">.2.4 </w:t>
      </w:r>
      <w:r>
        <w:rPr>
          <w:rFonts w:hint="eastAsia" w:ascii="宋体" w:hAnsi="宋体"/>
          <w:color w:val="000000"/>
        </w:rPr>
        <w:t>对新模具和改制后的模具，需加强尺寸检查，合格后方可投入生产。表</w:t>
      </w:r>
      <w:r>
        <w:rPr>
          <w:rFonts w:hint="eastAsia" w:ascii="Times New Roman" w:hAnsi="Times New Roman"/>
          <w:color w:val="000000"/>
        </w:rPr>
        <w:t>4</w:t>
      </w:r>
      <w:r>
        <w:rPr>
          <w:rFonts w:hint="eastAsia" w:ascii="宋体" w:hAnsi="宋体"/>
          <w:color w:val="000000"/>
        </w:rPr>
        <w:t xml:space="preserve">参考了《装配式混凝土建筑技术标准》 </w:t>
      </w:r>
      <w:r>
        <w:rPr>
          <w:rFonts w:ascii="Times New Roman" w:hAnsi="Times New Roman"/>
          <w:color w:val="000000"/>
        </w:rPr>
        <w:t xml:space="preserve">GB/T 51231–2016 </w:t>
      </w:r>
      <w:r>
        <w:rPr>
          <w:rFonts w:hint="eastAsia" w:ascii="宋体" w:hAnsi="宋体"/>
          <w:color w:val="000000"/>
        </w:rPr>
        <w:t xml:space="preserve">中表 </w:t>
      </w:r>
      <w:r>
        <w:rPr>
          <w:rFonts w:ascii="Times New Roman" w:hAnsi="Times New Roman"/>
          <w:color w:val="000000"/>
        </w:rPr>
        <w:t>9.3.3“</w:t>
      </w:r>
      <w:r>
        <w:rPr>
          <w:rFonts w:hint="eastAsia" w:ascii="宋体" w:hAnsi="宋体"/>
          <w:color w:val="000000"/>
        </w:rPr>
        <w:t>预制构件模具尺寸允许偏差和检验方法</w:t>
      </w:r>
      <w:r>
        <w:rPr>
          <w:rFonts w:ascii="Times New Roman" w:hAnsi="Times New Roman"/>
          <w:color w:val="000000"/>
        </w:rPr>
        <w:t>”</w:t>
      </w:r>
      <w:r>
        <w:rPr>
          <w:rFonts w:hint="eastAsia" w:ascii="宋体" w:hAnsi="宋体"/>
          <w:color w:val="000000"/>
        </w:rPr>
        <w:t>和《装配式混凝土结构技术规程》</w:t>
      </w:r>
      <w:r>
        <w:rPr>
          <w:rFonts w:ascii="Times New Roman" w:hAnsi="Times New Roman"/>
          <w:color w:val="000000"/>
        </w:rPr>
        <w:t xml:space="preserve">JGJ 1–2014 </w:t>
      </w:r>
      <w:r>
        <w:rPr>
          <w:rFonts w:hint="eastAsia" w:ascii="宋体" w:hAnsi="宋体"/>
          <w:color w:val="000000"/>
        </w:rPr>
        <w:t xml:space="preserve">中表 </w:t>
      </w:r>
      <w:r>
        <w:rPr>
          <w:rFonts w:ascii="Times New Roman" w:hAnsi="Times New Roman"/>
          <w:color w:val="000000"/>
        </w:rPr>
        <w:t>11.2.3“</w:t>
      </w:r>
      <w:r>
        <w:rPr>
          <w:rFonts w:hint="eastAsia" w:ascii="宋体" w:hAnsi="宋体"/>
          <w:color w:val="000000"/>
        </w:rPr>
        <w:t>预制构件模具尺寸的允许偏差和检验方法</w:t>
      </w:r>
      <w:r>
        <w:rPr>
          <w:rFonts w:ascii="Times New Roman" w:hAnsi="Times New Roman"/>
          <w:color w:val="000000"/>
        </w:rPr>
        <w:t>”</w:t>
      </w:r>
      <w:r>
        <w:rPr>
          <w:rFonts w:hint="eastAsia" w:ascii="宋体" w:hAnsi="宋体"/>
          <w:color w:val="000000"/>
        </w:rPr>
        <w:t>。</w:t>
      </w:r>
      <w:r>
        <w:rPr>
          <w:rFonts w:hint="eastAsia" w:ascii="宋体" w:hAnsi="宋体"/>
          <w:b/>
        </w:rPr>
        <w:t xml:space="preserve"> </w:t>
      </w:r>
    </w:p>
    <w:p>
      <w:pPr>
        <w:adjustRightInd/>
        <w:spacing w:before="312" w:beforeLines="100" w:after="312" w:afterLines="100" w:line="240" w:lineRule="auto"/>
        <w:outlineLvl w:val="1"/>
        <w:rPr>
          <w:rFonts w:ascii="Times New Roman" w:hAnsi="Times New Roman"/>
          <w:b/>
          <w:color w:val="000000"/>
        </w:rPr>
      </w:pPr>
      <w:r>
        <w:rPr>
          <w:rFonts w:hint="eastAsia" w:ascii="Times New Roman" w:hAnsi="Times New Roman"/>
          <w:b/>
          <w:color w:val="000000"/>
        </w:rPr>
        <w:t>7</w:t>
      </w:r>
      <w:r>
        <w:rPr>
          <w:rFonts w:ascii="Times New Roman" w:hAnsi="Times New Roman"/>
          <w:b/>
          <w:color w:val="000000"/>
        </w:rPr>
        <w:t xml:space="preserve">.3 </w:t>
      </w:r>
      <w:r>
        <w:rPr>
          <w:rFonts w:hint="eastAsia" w:ascii="黑体" w:hAnsi="黑体" w:eastAsia="黑体"/>
          <w:color w:val="000000"/>
        </w:rPr>
        <w:t>桁架预制板制作</w:t>
      </w:r>
    </w:p>
    <w:p>
      <w:pPr>
        <w:snapToGrid w:val="0"/>
        <w:spacing w:line="240" w:lineRule="auto"/>
        <w:rPr>
          <w:rFonts w:ascii="Times New Roman" w:hAnsi="Times New Roman"/>
          <w:bCs/>
          <w:color w:val="000000"/>
        </w:rPr>
      </w:pPr>
      <w:r>
        <w:rPr>
          <w:rFonts w:ascii="Times New Roman" w:hAnsi="Times New Roman"/>
          <w:bCs/>
          <w:color w:val="000000"/>
        </w:rPr>
        <w:t>7.3.1</w:t>
      </w:r>
      <w:r>
        <w:rPr>
          <w:rFonts w:ascii="宋体" w:hAnsi="宋体"/>
          <w:bCs/>
          <w:color w:val="000000"/>
        </w:rPr>
        <w:t>钢筋</w:t>
      </w:r>
    </w:p>
    <w:p>
      <w:pPr>
        <w:adjustRightInd/>
        <w:spacing w:line="240" w:lineRule="auto"/>
        <w:rPr>
          <w:rFonts w:ascii="宋体" w:hAnsi="宋体"/>
          <w:color w:val="000000"/>
        </w:rPr>
      </w:pPr>
      <w:bookmarkStart w:id="151" w:name="_Toc8066920"/>
      <w:bookmarkEnd w:id="151"/>
      <w:r>
        <w:rPr>
          <w:rFonts w:hint="eastAsia" w:ascii="宋体" w:hAnsi="宋体"/>
          <w:color w:val="000000"/>
        </w:rPr>
        <w:t>a）钢筋采用专用自动化机械设备调直、切割、弯折和焊接，可有效保证钢筋加工质量和效率。</w:t>
      </w:r>
    </w:p>
    <w:p>
      <w:pPr>
        <w:adjustRightInd/>
        <w:spacing w:line="240" w:lineRule="auto"/>
        <w:rPr>
          <w:rFonts w:ascii="宋体" w:hAnsi="宋体"/>
          <w:color w:val="000000"/>
        </w:rPr>
      </w:pPr>
      <w:r>
        <w:rPr>
          <w:rFonts w:hint="eastAsia" w:ascii="宋体" w:hAnsi="宋体"/>
          <w:color w:val="000000"/>
        </w:rPr>
        <w:t>b）钢筋安装牢固并保证位置准确，是钢筋安装的基本要求。本条中钢筋包括钢筋桁架、钢筋焊接网或纵向钢筋等。</w:t>
      </w:r>
    </w:p>
    <w:p>
      <w:pPr>
        <w:adjustRightInd/>
        <w:spacing w:line="240" w:lineRule="auto"/>
        <w:rPr>
          <w:rFonts w:ascii="宋体" w:hAnsi="宋体"/>
          <w:b/>
        </w:rPr>
      </w:pPr>
      <w:r>
        <w:rPr>
          <w:rFonts w:hint="eastAsia" w:ascii="宋体" w:hAnsi="宋体"/>
          <w:color w:val="000000"/>
        </w:rPr>
        <w:t>c）保证钢筋的混凝土保护层厚度的专门措施主要指采用各种定位件。定位件的数量、间距和固定方式，应能保证钢筋的位置偏差符合国家现行有关标准的规定。</w:t>
      </w:r>
      <w:r>
        <w:rPr>
          <w:rFonts w:hint="eastAsia" w:ascii="宋体" w:hAnsi="宋体"/>
          <w:b/>
        </w:rPr>
        <w:t xml:space="preserve"> </w:t>
      </w:r>
    </w:p>
    <w:p>
      <w:pPr>
        <w:snapToGrid w:val="0"/>
        <w:spacing w:line="240" w:lineRule="auto"/>
        <w:jc w:val="left"/>
        <w:rPr>
          <w:rFonts w:ascii="Times New Roman" w:hAnsi="Times New Roman"/>
          <w:color w:val="000000"/>
        </w:rPr>
      </w:pPr>
      <w:r>
        <w:rPr>
          <w:rFonts w:ascii="Times New Roman" w:hAnsi="Times New Roman"/>
          <w:color w:val="000000"/>
        </w:rPr>
        <w:t>7.3.</w:t>
      </w:r>
      <w:r>
        <w:rPr>
          <w:rFonts w:hint="eastAsia" w:ascii="Times New Roman" w:hAnsi="Times New Roman"/>
          <w:color w:val="000000"/>
        </w:rPr>
        <w:t>2</w:t>
      </w:r>
      <w:r>
        <w:rPr>
          <w:rFonts w:ascii="宋体" w:hAnsi="宋体"/>
          <w:color w:val="000000"/>
        </w:rPr>
        <w:t>混凝土</w:t>
      </w:r>
    </w:p>
    <w:p>
      <w:pPr>
        <w:adjustRightInd/>
        <w:spacing w:line="240" w:lineRule="auto"/>
        <w:rPr>
          <w:rFonts w:ascii="宋体" w:hAnsi="宋体"/>
          <w:color w:val="000000"/>
        </w:rPr>
      </w:pPr>
      <w:r>
        <w:rPr>
          <w:rFonts w:hint="eastAsia" w:ascii="Times New Roman" w:hAnsi="Times New Roman"/>
          <w:bCs/>
          <w:color w:val="000000"/>
        </w:rPr>
        <w:t>7.3.2.3</w:t>
      </w:r>
      <w:r>
        <w:rPr>
          <w:rFonts w:hint="eastAsia" w:ascii="宋体" w:hAnsi="宋体"/>
          <w:color w:val="000000"/>
        </w:rPr>
        <w:t>浇筑过程中，需进行充分有效振捣，避免出现漏振造成蜂窝麻面现象。当采用振捣棒振捣时，不宜触碰模具、钢筋、预埋件、预埋线盒等，以免发生位置、尺寸等偏差。对洒落的混凝土需及时清理。</w:t>
      </w:r>
    </w:p>
    <w:p>
      <w:pPr>
        <w:adjustRightInd/>
        <w:spacing w:line="240" w:lineRule="auto"/>
        <w:rPr>
          <w:rFonts w:ascii="宋体" w:hAnsi="宋体"/>
          <w:color w:val="000000"/>
        </w:rPr>
      </w:pPr>
      <w:r>
        <w:rPr>
          <w:rFonts w:hint="eastAsia" w:ascii="Times New Roman" w:hAnsi="Times New Roman"/>
          <w:bCs/>
          <w:color w:val="000000"/>
        </w:rPr>
        <w:t>7.3.2.4</w:t>
      </w:r>
      <w:r>
        <w:rPr>
          <w:rFonts w:hint="eastAsia" w:ascii="宋体" w:hAnsi="宋体"/>
          <w:color w:val="000000"/>
        </w:rPr>
        <w:t xml:space="preserve">加热养护可加速混凝土凝结硬化，缩短脱模时间，加快模板的周转，提高生产效率。当采用加热养护时，需通过试验确定合适的养护温度曲线，对静停、升温、恒温、降温时间进行控制，避免产生混凝土收缩裂缝。 </w:t>
      </w:r>
    </w:p>
    <w:p>
      <w:pPr>
        <w:adjustRightInd/>
        <w:spacing w:line="240" w:lineRule="auto"/>
        <w:rPr>
          <w:rFonts w:ascii="宋体" w:hAnsi="宋体"/>
          <w:b/>
        </w:rPr>
      </w:pPr>
      <w:r>
        <w:rPr>
          <w:rFonts w:hint="eastAsia" w:ascii="宋体" w:hAnsi="宋体"/>
          <w:b/>
        </w:rPr>
        <w:t xml:space="preserve"> </w:t>
      </w:r>
    </w:p>
    <w:p>
      <w:pPr>
        <w:snapToGrid w:val="0"/>
        <w:spacing w:line="240" w:lineRule="auto"/>
        <w:rPr>
          <w:rFonts w:ascii="Times New Roman" w:hAnsi="Times New Roman"/>
          <w:color w:val="000000"/>
        </w:rPr>
      </w:pPr>
      <w:r>
        <w:rPr>
          <w:rFonts w:ascii="Times New Roman" w:hAnsi="Times New Roman"/>
          <w:color w:val="000000"/>
        </w:rPr>
        <w:t>7.3.</w:t>
      </w:r>
      <w:r>
        <w:rPr>
          <w:rFonts w:hint="eastAsia" w:ascii="Times New Roman" w:hAnsi="Times New Roman"/>
          <w:color w:val="000000"/>
        </w:rPr>
        <w:t>3</w:t>
      </w:r>
      <w:r>
        <w:rPr>
          <w:rFonts w:ascii="宋体" w:hAnsi="宋体"/>
          <w:color w:val="000000"/>
        </w:rPr>
        <w:t>脱模与标识</w:t>
      </w:r>
    </w:p>
    <w:p>
      <w:pPr>
        <w:adjustRightInd/>
        <w:spacing w:line="240" w:lineRule="auto"/>
        <w:rPr>
          <w:rFonts w:ascii="宋体" w:hAnsi="宋体"/>
          <w:color w:val="000000"/>
        </w:rPr>
      </w:pPr>
      <w:r>
        <w:rPr>
          <w:rFonts w:hint="eastAsia" w:ascii="Times New Roman" w:hAnsi="Times New Roman"/>
          <w:bCs/>
          <w:color w:val="000000"/>
        </w:rPr>
        <w:t xml:space="preserve">7.3.3.1 </w:t>
      </w:r>
      <w:r>
        <w:rPr>
          <w:rFonts w:hint="eastAsia" w:ascii="宋体" w:hAnsi="宋体"/>
          <w:color w:val="000000"/>
        </w:rPr>
        <w:t xml:space="preserve">桁架预制板的吊装方式及相应吊具需根据桁架预制板构件的尺寸、重量和作业半径等进行选择和设计。当吊索与起吊桁架预制板的夹角小于 </w:t>
      </w:r>
      <w:r>
        <w:rPr>
          <w:rFonts w:ascii="Times New Roman" w:hAnsi="Times New Roman"/>
          <w:color w:val="000000"/>
        </w:rPr>
        <w:t>60°</w:t>
      </w:r>
      <w:r>
        <w:rPr>
          <w:rFonts w:hint="eastAsia" w:ascii="宋体" w:hAnsi="宋体"/>
          <w:color w:val="000000"/>
        </w:rPr>
        <w:t>时，需设置分配梁或分配桁架。吊运前，应按国家现行有关标准的规定和设计方案的要求对吊具进行检查，复核吊装设备的吊装能力。</w:t>
      </w:r>
    </w:p>
    <w:p>
      <w:pPr>
        <w:adjustRightInd/>
        <w:spacing w:line="240" w:lineRule="auto"/>
        <w:rPr>
          <w:rFonts w:ascii="宋体" w:hAnsi="宋体"/>
          <w:color w:val="000000"/>
        </w:rPr>
      </w:pPr>
      <w:r>
        <w:rPr>
          <w:rFonts w:hint="eastAsia" w:ascii="Times New Roman" w:hAnsi="Times New Roman"/>
          <w:bCs/>
          <w:color w:val="000000"/>
        </w:rPr>
        <w:t>7.3.3.2</w:t>
      </w:r>
      <w:r>
        <w:rPr>
          <w:rFonts w:hint="eastAsia" w:ascii="宋体" w:hAnsi="宋体"/>
          <w:color w:val="000000"/>
        </w:rPr>
        <w:t>桁架预制板拆模宜先从无出筋侧模开始，先拆除固定预埋件的夹具，再拆除其它模板。拆除侧模时，不得损伤预制构件，不得使用敲打震动方式拆模。确认螺栓、夹具全部拆卸后，将边模平行向外移除，防止边模变形。桁架预制板脱模强度应根据设计要求确定，当设计无具体要求时，不应低于</w:t>
      </w:r>
      <w:r>
        <w:rPr>
          <w:rFonts w:ascii="Times New Roman" w:hAnsi="Times New Roman"/>
          <w:color w:val="000000"/>
        </w:rPr>
        <w:t>15MPa</w:t>
      </w:r>
      <w:r>
        <w:rPr>
          <w:rFonts w:hint="eastAsia" w:ascii="宋体" w:hAnsi="宋体"/>
          <w:color w:val="000000"/>
        </w:rPr>
        <w:t>，以防止过早脱模造成构件出现过大变形或开裂。</w:t>
      </w:r>
    </w:p>
    <w:p>
      <w:pPr>
        <w:adjustRightInd/>
        <w:spacing w:line="240" w:lineRule="auto"/>
        <w:rPr>
          <w:rFonts w:ascii="宋体" w:hAnsi="宋体"/>
          <w:b/>
        </w:rPr>
      </w:pPr>
      <w:r>
        <w:rPr>
          <w:rFonts w:hint="eastAsia" w:ascii="Times New Roman" w:hAnsi="Times New Roman"/>
          <w:bCs/>
          <w:color w:val="000000"/>
        </w:rPr>
        <w:t>7.3.3.3</w:t>
      </w:r>
      <w:r>
        <w:rPr>
          <w:rFonts w:hint="eastAsia" w:ascii="宋体" w:hAnsi="宋体"/>
          <w:color w:val="000000"/>
        </w:rPr>
        <w:t xml:space="preserve">不影响结构性能的表面非受力细微裂缝包括混凝土收缩裂缝、温度裂缝等，裂缝宽度一般不超过 </w:t>
      </w:r>
      <w:r>
        <w:rPr>
          <w:rFonts w:ascii="Times New Roman" w:hAnsi="Times New Roman"/>
          <w:color w:val="000000"/>
        </w:rPr>
        <w:t>0.4mm</w:t>
      </w:r>
      <w:r>
        <w:rPr>
          <w:rFonts w:hint="eastAsia" w:ascii="宋体" w:hAnsi="宋体"/>
          <w:color w:val="000000"/>
        </w:rPr>
        <w:t>。经工程实践验证，叠合面层混凝土现浇施工时混凝土浆料可有效渗入裂缝内对裂缝进行修复，不会影响楼板的整体受力性能。对局部破损，可用修补浆料进行修补；对叠合面的表面非受力细微裂缝可不做处理，或用修补浆料进行修补，对底面可在装修阶段采用修补浆料或弹性腻子进行修补。</w:t>
      </w:r>
      <w:r>
        <w:rPr>
          <w:rFonts w:hint="eastAsia" w:ascii="宋体" w:hAnsi="宋体"/>
          <w:b/>
        </w:rPr>
        <w:t xml:space="preserve"> </w:t>
      </w:r>
    </w:p>
    <w:p>
      <w:pPr>
        <w:adjustRightInd/>
        <w:spacing w:before="312" w:beforeLines="100" w:after="312" w:afterLines="100" w:line="240" w:lineRule="auto"/>
        <w:outlineLvl w:val="1"/>
        <w:rPr>
          <w:rFonts w:ascii="Times New Roman" w:hAnsi="Times New Roman"/>
          <w:b/>
          <w:color w:val="000000"/>
        </w:rPr>
      </w:pPr>
      <w:r>
        <w:rPr>
          <w:rFonts w:hint="eastAsia" w:ascii="Times New Roman" w:hAnsi="Times New Roman"/>
          <w:b/>
          <w:color w:val="000000"/>
        </w:rPr>
        <w:t>7</w:t>
      </w:r>
      <w:r>
        <w:rPr>
          <w:rFonts w:ascii="Times New Roman" w:hAnsi="Times New Roman"/>
          <w:b/>
          <w:color w:val="000000"/>
        </w:rPr>
        <w:t xml:space="preserve">.4 </w:t>
      </w:r>
      <w:r>
        <w:rPr>
          <w:rFonts w:hint="eastAsia" w:ascii="黑体" w:hAnsi="黑体" w:eastAsia="黑体"/>
          <w:color w:val="000000"/>
        </w:rPr>
        <w:t>桁架预制板堆放与运输</w:t>
      </w:r>
    </w:p>
    <w:p>
      <w:pPr>
        <w:snapToGrid w:val="0"/>
        <w:spacing w:line="240" w:lineRule="auto"/>
        <w:rPr>
          <w:rFonts w:ascii="Times New Roman" w:hAnsi="Times New Roman"/>
          <w:color w:val="000000"/>
        </w:rPr>
      </w:pPr>
      <w:r>
        <w:rPr>
          <w:rFonts w:hint="eastAsia" w:ascii="Times New Roman" w:hAnsi="Times New Roman"/>
          <w:b/>
          <w:color w:val="000000"/>
        </w:rPr>
        <w:t>7</w:t>
      </w:r>
      <w:r>
        <w:rPr>
          <w:rFonts w:ascii="Times New Roman" w:hAnsi="Times New Roman"/>
          <w:b/>
          <w:color w:val="000000"/>
        </w:rPr>
        <w:t>.</w:t>
      </w:r>
      <w:r>
        <w:rPr>
          <w:rFonts w:hint="eastAsia" w:ascii="Times New Roman" w:hAnsi="Times New Roman"/>
          <w:b/>
          <w:color w:val="000000"/>
        </w:rPr>
        <w:t>4</w:t>
      </w:r>
      <w:r>
        <w:rPr>
          <w:rFonts w:ascii="Times New Roman" w:hAnsi="Times New Roman"/>
          <w:b/>
          <w:color w:val="000000"/>
        </w:rPr>
        <w:t>.1</w:t>
      </w:r>
      <w:r>
        <w:rPr>
          <w:rFonts w:ascii="宋体" w:hAnsi="宋体"/>
          <w:color w:val="000000"/>
        </w:rPr>
        <w:t>预制构件的堆放和运输涉及质量和安全要求，应按工程或产品特点制定运输堆放方案，策划重点控制环节，对于特殊构件还要制定专门质量安全保证措施。</w:t>
      </w:r>
    </w:p>
    <w:p>
      <w:pPr>
        <w:snapToGrid w:val="0"/>
        <w:spacing w:line="240" w:lineRule="auto"/>
        <w:rPr>
          <w:rFonts w:ascii="Times New Roman" w:hAnsi="Times New Roman"/>
          <w:color w:val="000000"/>
        </w:rPr>
      </w:pPr>
      <w:r>
        <w:rPr>
          <w:rFonts w:hint="eastAsia" w:ascii="Times New Roman" w:hAnsi="Times New Roman"/>
          <w:b/>
          <w:color w:val="000000"/>
        </w:rPr>
        <w:t>7</w:t>
      </w:r>
      <w:r>
        <w:rPr>
          <w:rFonts w:ascii="Times New Roman" w:hAnsi="Times New Roman"/>
          <w:b/>
          <w:color w:val="000000"/>
        </w:rPr>
        <w:t>.</w:t>
      </w:r>
      <w:r>
        <w:rPr>
          <w:rFonts w:hint="eastAsia" w:ascii="Times New Roman" w:hAnsi="Times New Roman"/>
          <w:b/>
          <w:color w:val="000000"/>
        </w:rPr>
        <w:t>4</w:t>
      </w:r>
      <w:r>
        <w:rPr>
          <w:rFonts w:ascii="Times New Roman" w:hAnsi="Times New Roman"/>
          <w:b/>
          <w:color w:val="000000"/>
        </w:rPr>
        <w:t>.</w:t>
      </w:r>
      <w:r>
        <w:rPr>
          <w:rFonts w:hint="eastAsia" w:ascii="Times New Roman" w:hAnsi="Times New Roman"/>
          <w:b/>
          <w:color w:val="000000"/>
        </w:rPr>
        <w:t>2</w:t>
      </w:r>
      <w:r>
        <w:rPr>
          <w:rFonts w:ascii="宋体" w:hAnsi="宋体"/>
          <w:color w:val="000000"/>
        </w:rPr>
        <w:t>重叠堆放构件时，构件间垫块应坚实，位置准确。每层构件间的垫块应上下对齐（图</w:t>
      </w:r>
      <w:r>
        <w:rPr>
          <w:rFonts w:hint="eastAsia" w:ascii="Times New Roman" w:hAnsi="Times New Roman"/>
          <w:color w:val="000000"/>
        </w:rPr>
        <w:t>19</w:t>
      </w:r>
      <w:r>
        <w:rPr>
          <w:rFonts w:ascii="宋体" w:hAnsi="宋体"/>
          <w:color w:val="000000"/>
        </w:rPr>
        <w:t>）。堆垛层数应根据构件、垫块的承载能力及堆垛的稳定性确定，必要时设置防倾覆措施。</w:t>
      </w:r>
    </w:p>
    <w:p>
      <w:pPr>
        <w:adjustRightInd/>
        <w:spacing w:line="240" w:lineRule="auto"/>
        <w:jc w:val="center"/>
        <w:rPr>
          <w:rFonts w:ascii="Times New Roman" w:hAnsi="Times New Roman" w:eastAsia="楷体"/>
          <w:color w:val="000000"/>
        </w:rPr>
      </w:pPr>
      <w:r>
        <w:rPr>
          <w:rFonts w:ascii="Times New Roman" w:hAnsi="Times New Roman"/>
        </w:rPr>
        <w:drawing>
          <wp:inline distT="0" distB="0" distL="0" distR="0">
            <wp:extent cx="3830320" cy="3580130"/>
            <wp:effectExtent l="0" t="0" r="17780" b="127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3830320" cy="3580130"/>
                    </a:xfrm>
                    <a:prstGeom prst="rect">
                      <a:avLst/>
                    </a:prstGeom>
                    <a:noFill/>
                    <a:ln>
                      <a:noFill/>
                    </a:ln>
                  </pic:spPr>
                </pic:pic>
              </a:graphicData>
            </a:graphic>
          </wp:inline>
        </w:drawing>
      </w:r>
      <w:r>
        <w:rPr>
          <w:rFonts w:ascii="Times New Roman" w:hAnsi="Times New Roman" w:eastAsia="楷体"/>
          <w:color w:val="000000"/>
        </w:rPr>
        <w:t xml:space="preserve"> </w:t>
      </w:r>
    </w:p>
    <w:p>
      <w:pPr>
        <w:adjustRightInd/>
        <w:spacing w:line="240" w:lineRule="auto"/>
        <w:jc w:val="center"/>
        <w:rPr>
          <w:rFonts w:ascii="Times New Roman" w:hAnsi="Times New Roman" w:eastAsia="黑体"/>
          <w:bCs/>
          <w:color w:val="000000"/>
        </w:rPr>
      </w:pPr>
      <w:r>
        <w:rPr>
          <w:rFonts w:ascii="黑体" w:hAnsi="黑体" w:eastAsia="黑体"/>
          <w:bCs/>
          <w:color w:val="000000"/>
        </w:rPr>
        <w:t>图</w:t>
      </w:r>
      <w:r>
        <w:rPr>
          <w:rFonts w:hint="eastAsia" w:ascii="Times New Roman" w:hAnsi="Times New Roman" w:eastAsia="黑体"/>
          <w:bCs/>
          <w:color w:val="000000"/>
        </w:rPr>
        <w:t>19</w:t>
      </w:r>
      <w:r>
        <w:rPr>
          <w:rFonts w:ascii="Times New Roman" w:hAnsi="Times New Roman" w:eastAsia="黑体"/>
          <w:bCs/>
          <w:color w:val="000000"/>
        </w:rPr>
        <w:t xml:space="preserve"> </w:t>
      </w:r>
      <w:r>
        <w:rPr>
          <w:rFonts w:ascii="黑体" w:hAnsi="黑体" w:eastAsia="黑体"/>
          <w:bCs/>
          <w:color w:val="000000"/>
        </w:rPr>
        <w:t>桁架预制板堆放示意图</w:t>
      </w:r>
    </w:p>
    <w:p>
      <w:pPr>
        <w:adjustRightInd/>
        <w:spacing w:line="240" w:lineRule="auto"/>
        <w:jc w:val="center"/>
        <w:rPr>
          <w:rFonts w:ascii="Times New Roman" w:hAnsi="Times New Roman" w:eastAsia="黑体"/>
          <w:bCs/>
          <w:color w:val="000000"/>
        </w:rPr>
      </w:pPr>
      <w:r>
        <w:rPr>
          <w:rFonts w:ascii="Times New Roman" w:hAnsi="Times New Roman" w:eastAsia="黑体"/>
          <w:bCs/>
        </w:rPr>
        <w:t>1-</w:t>
      </w:r>
      <w:r>
        <w:rPr>
          <w:rFonts w:ascii="黑体" w:hAnsi="黑体" w:eastAsia="黑体"/>
          <w:bCs/>
        </w:rPr>
        <w:t>垫块；</w:t>
      </w:r>
      <w:r>
        <w:rPr>
          <w:rFonts w:ascii="Times New Roman" w:hAnsi="Times New Roman" w:eastAsia="黑体"/>
          <w:bCs/>
        </w:rPr>
        <w:t>2-</w:t>
      </w:r>
      <w:r>
        <w:rPr>
          <w:rFonts w:ascii="黑体" w:hAnsi="黑体" w:eastAsia="黑体"/>
          <w:bCs/>
        </w:rPr>
        <w:t>桁架预制板</w:t>
      </w:r>
    </w:p>
    <w:p>
      <w:pPr>
        <w:snapToGrid w:val="0"/>
        <w:spacing w:line="240" w:lineRule="auto"/>
        <w:rPr>
          <w:rFonts w:ascii="Times New Roman" w:hAnsi="Times New Roman"/>
          <w:color w:val="000000"/>
        </w:rPr>
      </w:pPr>
      <w:r>
        <w:rPr>
          <w:rFonts w:hint="eastAsia" w:ascii="Times New Roman" w:hAnsi="Times New Roman"/>
          <w:b/>
          <w:color w:val="000000"/>
        </w:rPr>
        <w:t>7</w:t>
      </w:r>
      <w:r>
        <w:rPr>
          <w:rFonts w:ascii="Times New Roman" w:hAnsi="Times New Roman"/>
          <w:b/>
          <w:color w:val="000000"/>
        </w:rPr>
        <w:t>.</w:t>
      </w:r>
      <w:r>
        <w:rPr>
          <w:rFonts w:hint="eastAsia" w:ascii="Times New Roman" w:hAnsi="Times New Roman"/>
          <w:b/>
          <w:color w:val="000000"/>
        </w:rPr>
        <w:t>4</w:t>
      </w:r>
      <w:r>
        <w:rPr>
          <w:rFonts w:ascii="Times New Roman" w:hAnsi="Times New Roman"/>
          <w:b/>
          <w:color w:val="000000"/>
        </w:rPr>
        <w:t>.</w:t>
      </w:r>
      <w:r>
        <w:rPr>
          <w:rFonts w:hint="eastAsia" w:ascii="Times New Roman" w:hAnsi="Times New Roman"/>
          <w:b/>
          <w:color w:val="000000"/>
        </w:rPr>
        <w:t>4</w:t>
      </w:r>
      <w:r>
        <w:rPr>
          <w:rFonts w:ascii="宋体" w:hAnsi="宋体"/>
          <w:color w:val="000000"/>
        </w:rPr>
        <w:t>当不具备专用运输车条件而用改装车运输时，应采取相应的加固措施。</w:t>
      </w:r>
    </w:p>
    <w:p>
      <w:pPr>
        <w:adjustRightInd/>
        <w:spacing w:before="312" w:beforeLines="100" w:after="312" w:afterLines="100" w:line="240" w:lineRule="auto"/>
        <w:outlineLvl w:val="1"/>
        <w:rPr>
          <w:rFonts w:ascii="Times New Roman" w:hAnsi="Times New Roman"/>
          <w:b/>
          <w:color w:val="000000"/>
        </w:rPr>
      </w:pPr>
      <w:bookmarkStart w:id="152" w:name="_Toc8066922"/>
      <w:bookmarkEnd w:id="152"/>
      <w:r>
        <w:rPr>
          <w:rFonts w:hint="eastAsia" w:ascii="Times New Roman" w:hAnsi="Times New Roman"/>
          <w:b/>
          <w:color w:val="000000"/>
        </w:rPr>
        <w:t>7</w:t>
      </w:r>
      <w:r>
        <w:rPr>
          <w:rFonts w:ascii="Times New Roman" w:hAnsi="Times New Roman"/>
          <w:b/>
          <w:color w:val="000000"/>
        </w:rPr>
        <w:t>.</w:t>
      </w:r>
      <w:r>
        <w:rPr>
          <w:rFonts w:hint="eastAsia" w:ascii="Times New Roman" w:hAnsi="Times New Roman"/>
          <w:b/>
          <w:color w:val="000000"/>
        </w:rPr>
        <w:t>5</w:t>
      </w:r>
      <w:r>
        <w:rPr>
          <w:rFonts w:ascii="Times New Roman" w:hAnsi="Times New Roman"/>
          <w:b/>
          <w:color w:val="000000"/>
        </w:rPr>
        <w:t xml:space="preserve"> </w:t>
      </w:r>
      <w:r>
        <w:rPr>
          <w:rFonts w:hint="eastAsia" w:ascii="黑体" w:hAnsi="黑体" w:eastAsia="黑体"/>
          <w:color w:val="000000"/>
        </w:rPr>
        <w:t>质量检查与验收</w:t>
      </w:r>
    </w:p>
    <w:p>
      <w:pPr>
        <w:snapToGrid w:val="0"/>
        <w:spacing w:line="240" w:lineRule="auto"/>
        <w:rPr>
          <w:rFonts w:ascii="Times New Roman" w:hAnsi="Times New Roman"/>
          <w:color w:val="000000"/>
        </w:rPr>
      </w:pPr>
      <w:bookmarkStart w:id="153" w:name="_Toc8066923"/>
      <w:bookmarkEnd w:id="153"/>
      <w:r>
        <w:rPr>
          <w:rFonts w:hint="eastAsia" w:ascii="Times New Roman" w:hAnsi="Times New Roman"/>
          <w:b/>
          <w:bCs/>
          <w:color w:val="000000"/>
        </w:rPr>
        <w:t>7</w:t>
      </w:r>
      <w:r>
        <w:rPr>
          <w:rFonts w:ascii="Times New Roman" w:hAnsi="Times New Roman"/>
          <w:b/>
          <w:bCs/>
          <w:color w:val="000000"/>
        </w:rPr>
        <w:t>.5.1</w:t>
      </w:r>
      <w:r>
        <w:rPr>
          <w:rFonts w:ascii="Times New Roman" w:hAnsi="Times New Roman"/>
          <w:color w:val="000000"/>
        </w:rPr>
        <w:t xml:space="preserve"> </w:t>
      </w:r>
      <w:r>
        <w:rPr>
          <w:rFonts w:hint="eastAsia" w:ascii="宋体" w:hAnsi="宋体"/>
          <w:color w:val="000000"/>
        </w:rPr>
        <w:t>桁架预制板质量检查与验收的国家现行有关标准主要有：国家标准《混凝土结构工程施工质量验收规范》</w:t>
      </w:r>
      <w:r>
        <w:rPr>
          <w:rFonts w:ascii="Times New Roman" w:hAnsi="Times New Roman"/>
          <w:color w:val="000000"/>
        </w:rPr>
        <w:t>GB 50204</w:t>
      </w:r>
      <w:r>
        <w:rPr>
          <w:rFonts w:hint="eastAsia" w:ascii="宋体" w:hAnsi="宋体"/>
          <w:color w:val="000000"/>
        </w:rPr>
        <w:t>、《混凝土结构工程施工规范》</w:t>
      </w:r>
      <w:r>
        <w:rPr>
          <w:rFonts w:ascii="Times New Roman" w:hAnsi="Times New Roman"/>
          <w:color w:val="000000"/>
        </w:rPr>
        <w:t>GB 50666</w:t>
      </w:r>
      <w:r>
        <w:rPr>
          <w:rFonts w:hint="eastAsia" w:ascii="宋体" w:hAnsi="宋体"/>
          <w:color w:val="000000"/>
        </w:rPr>
        <w:t>、《装配式混凝土建筑技术标准》</w:t>
      </w:r>
      <w:r>
        <w:rPr>
          <w:rFonts w:hint="eastAsia" w:ascii="Times New Roman" w:hAnsi="Times New Roman"/>
          <w:color w:val="000000"/>
        </w:rPr>
        <w:t xml:space="preserve"> </w:t>
      </w:r>
      <w:r>
        <w:rPr>
          <w:rFonts w:ascii="Times New Roman" w:hAnsi="Times New Roman"/>
          <w:color w:val="000000"/>
        </w:rPr>
        <w:t>GB/T 51231</w:t>
      </w:r>
      <w:r>
        <w:rPr>
          <w:rFonts w:hint="eastAsia" w:ascii="宋体" w:hAnsi="宋体"/>
          <w:color w:val="000000"/>
        </w:rPr>
        <w:t>，行业标准《装配式混凝土结构技术规程》</w:t>
      </w:r>
      <w:r>
        <w:rPr>
          <w:rFonts w:ascii="Times New Roman" w:hAnsi="Times New Roman"/>
          <w:color w:val="000000"/>
        </w:rPr>
        <w:t>JGJ 1</w:t>
      </w:r>
      <w:r>
        <w:rPr>
          <w:rFonts w:hint="eastAsia" w:ascii="宋体" w:hAnsi="宋体"/>
          <w:color w:val="000000"/>
        </w:rPr>
        <w:t>、《混凝土结构成型钢筋应用技术规程》</w:t>
      </w:r>
      <w:r>
        <w:rPr>
          <w:rFonts w:hint="eastAsia" w:ascii="Times New Roman" w:hAnsi="Times New Roman"/>
          <w:color w:val="000000"/>
        </w:rPr>
        <w:t xml:space="preserve"> </w:t>
      </w:r>
      <w:r>
        <w:rPr>
          <w:rFonts w:ascii="Times New Roman" w:hAnsi="Times New Roman"/>
          <w:color w:val="000000"/>
        </w:rPr>
        <w:t>JGJ 366</w:t>
      </w:r>
      <w:r>
        <w:rPr>
          <w:rFonts w:hint="eastAsia" w:ascii="宋体" w:hAnsi="宋体"/>
          <w:color w:val="000000"/>
        </w:rPr>
        <w:t>、《工厂预制混凝土构件质量管理标准》</w:t>
      </w:r>
      <w:r>
        <w:rPr>
          <w:rFonts w:ascii="Times New Roman" w:hAnsi="Times New Roman"/>
          <w:color w:val="000000"/>
        </w:rPr>
        <w:t xml:space="preserve">JG/T 566 </w:t>
      </w:r>
      <w:r>
        <w:rPr>
          <w:rFonts w:hint="eastAsia" w:ascii="宋体" w:hAnsi="宋体"/>
          <w:color w:val="000000"/>
        </w:rPr>
        <w:t>、《装配式混凝土结构工程施工与质量验收规程》</w:t>
      </w:r>
      <w:r>
        <w:rPr>
          <w:rFonts w:hint="eastAsia" w:ascii="Times New Roman" w:hAnsi="Times New Roman"/>
          <w:color w:val="000000"/>
        </w:rPr>
        <w:t>D</w:t>
      </w:r>
      <w:r>
        <w:rPr>
          <w:rFonts w:ascii="Times New Roman" w:hAnsi="Times New Roman"/>
          <w:color w:val="000000"/>
        </w:rPr>
        <w:t>B42/T 1225</w:t>
      </w:r>
      <w:r>
        <w:rPr>
          <w:rFonts w:hint="eastAsia" w:ascii="宋体" w:hAnsi="宋体"/>
          <w:color w:val="000000"/>
        </w:rPr>
        <w:t>、《预制混凝土构件质量检验标准》</w:t>
      </w:r>
      <w:r>
        <w:rPr>
          <w:rFonts w:hint="eastAsia" w:ascii="Times New Roman" w:hAnsi="Times New Roman"/>
          <w:color w:val="000000"/>
        </w:rPr>
        <w:t>D</w:t>
      </w:r>
      <w:r>
        <w:rPr>
          <w:rFonts w:ascii="Times New Roman" w:hAnsi="Times New Roman"/>
          <w:color w:val="000000"/>
        </w:rPr>
        <w:t>B42/T 1224</w:t>
      </w:r>
      <w:r>
        <w:rPr>
          <w:rFonts w:hint="eastAsia" w:ascii="宋体" w:hAnsi="宋体"/>
          <w:color w:val="000000"/>
        </w:rPr>
        <w:t>等。</w:t>
      </w:r>
    </w:p>
    <w:p>
      <w:pPr>
        <w:snapToGrid w:val="0"/>
        <w:spacing w:line="240" w:lineRule="auto"/>
        <w:rPr>
          <w:rFonts w:ascii="Times New Roman" w:hAnsi="Times New Roman"/>
          <w:color w:val="000000"/>
        </w:rPr>
      </w:pPr>
      <w:r>
        <w:rPr>
          <w:rFonts w:hint="eastAsia" w:ascii="Times New Roman" w:hAnsi="Times New Roman"/>
          <w:b/>
          <w:bCs/>
          <w:color w:val="000000"/>
        </w:rPr>
        <w:t>7.5.3</w:t>
      </w:r>
      <w:r>
        <w:rPr>
          <w:rFonts w:hint="eastAsia" w:ascii="Times New Roman" w:hAnsi="Times New Roman"/>
          <w:color w:val="000000"/>
        </w:rPr>
        <w:t xml:space="preserve"> </w:t>
      </w:r>
      <w:r>
        <w:rPr>
          <w:rFonts w:hint="eastAsia" w:ascii="宋体" w:hAnsi="宋体"/>
          <w:color w:val="000000"/>
        </w:rPr>
        <w:t>钢筋对混凝土结构的承载能力至关重要，对其质量应从严要求。</w:t>
      </w:r>
    </w:p>
    <w:p>
      <w:pPr>
        <w:snapToGrid w:val="0"/>
        <w:spacing w:line="240" w:lineRule="auto"/>
        <w:ind w:firstLine="420" w:firstLineChars="200"/>
        <w:rPr>
          <w:rFonts w:ascii="Times New Roman" w:hAnsi="Times New Roman"/>
          <w:color w:val="000000"/>
        </w:rPr>
      </w:pPr>
      <w:r>
        <w:rPr>
          <w:rFonts w:hint="eastAsia" w:ascii="宋体" w:hAnsi="宋体"/>
          <w:color w:val="000000"/>
        </w:rPr>
        <w:t>与热轧光圆钢筋、热轧带肋钢筋、余热处理钢筋性能及检验相关的国家现行标准有：《钢筋混凝土用钢</w:t>
      </w:r>
      <w:r>
        <w:rPr>
          <w:rFonts w:hint="eastAsia" w:ascii="Times New Roman" w:hAnsi="Times New Roman"/>
          <w:color w:val="000000"/>
        </w:rPr>
        <w:t xml:space="preserve"> </w:t>
      </w:r>
      <w:r>
        <w:rPr>
          <w:rFonts w:hint="eastAsia" w:ascii="宋体" w:hAnsi="宋体"/>
          <w:color w:val="000000"/>
        </w:rPr>
        <w:t>第</w:t>
      </w:r>
      <w:r>
        <w:rPr>
          <w:rFonts w:hint="eastAsia" w:ascii="Times New Roman" w:hAnsi="Times New Roman"/>
          <w:color w:val="000000"/>
        </w:rPr>
        <w:t xml:space="preserve"> </w:t>
      </w:r>
      <w:r>
        <w:rPr>
          <w:rFonts w:ascii="Times New Roman" w:hAnsi="Times New Roman"/>
          <w:color w:val="000000"/>
        </w:rPr>
        <w:t xml:space="preserve">1 </w:t>
      </w:r>
      <w:r>
        <w:rPr>
          <w:rFonts w:hint="eastAsia" w:ascii="宋体" w:hAnsi="宋体"/>
          <w:color w:val="000000"/>
        </w:rPr>
        <w:t>部分：热轧光圆钢筋》</w:t>
      </w:r>
      <w:r>
        <w:rPr>
          <w:rFonts w:hint="eastAsia" w:ascii="Times New Roman" w:hAnsi="Times New Roman"/>
          <w:color w:val="000000"/>
        </w:rPr>
        <w:t xml:space="preserve"> </w:t>
      </w:r>
      <w:r>
        <w:rPr>
          <w:rFonts w:ascii="Times New Roman" w:hAnsi="Times New Roman"/>
          <w:color w:val="000000"/>
        </w:rPr>
        <w:t>GB/T 1499.1</w:t>
      </w:r>
      <w:r>
        <w:rPr>
          <w:rFonts w:hint="eastAsia" w:ascii="宋体" w:hAnsi="宋体"/>
          <w:color w:val="000000"/>
        </w:rPr>
        <w:t>、《钢筋混凝土用钢</w:t>
      </w:r>
      <w:r>
        <w:rPr>
          <w:rFonts w:hint="eastAsia" w:ascii="Times New Roman" w:hAnsi="Times New Roman"/>
          <w:color w:val="000000"/>
        </w:rPr>
        <w:t xml:space="preserve"> </w:t>
      </w:r>
      <w:r>
        <w:rPr>
          <w:rFonts w:hint="eastAsia" w:ascii="宋体" w:hAnsi="宋体"/>
          <w:color w:val="000000"/>
        </w:rPr>
        <w:t>第</w:t>
      </w:r>
      <w:r>
        <w:rPr>
          <w:rFonts w:hint="eastAsia" w:ascii="Times New Roman" w:hAnsi="Times New Roman"/>
          <w:color w:val="000000"/>
        </w:rPr>
        <w:t xml:space="preserve"> </w:t>
      </w:r>
      <w:r>
        <w:rPr>
          <w:rFonts w:ascii="Times New Roman" w:hAnsi="Times New Roman"/>
          <w:color w:val="000000"/>
        </w:rPr>
        <w:t xml:space="preserve">2 </w:t>
      </w:r>
      <w:r>
        <w:rPr>
          <w:rFonts w:hint="eastAsia" w:ascii="宋体" w:hAnsi="宋体"/>
          <w:color w:val="000000"/>
        </w:rPr>
        <w:t>部分：热轧带肋钢筋》</w:t>
      </w:r>
      <w:r>
        <w:rPr>
          <w:rFonts w:hint="eastAsia" w:ascii="Times New Roman" w:hAnsi="Times New Roman"/>
          <w:color w:val="000000"/>
        </w:rPr>
        <w:t xml:space="preserve"> </w:t>
      </w:r>
      <w:r>
        <w:rPr>
          <w:rFonts w:ascii="Times New Roman" w:hAnsi="Times New Roman"/>
          <w:color w:val="000000"/>
        </w:rPr>
        <w:t xml:space="preserve">GB/T 1499.2 </w:t>
      </w:r>
      <w:r>
        <w:rPr>
          <w:rFonts w:hint="eastAsia" w:ascii="宋体" w:hAnsi="宋体"/>
          <w:color w:val="000000"/>
        </w:rPr>
        <w:t>和《钢筋混凝土用余热处理钢筋》</w:t>
      </w:r>
      <w:r>
        <w:rPr>
          <w:rFonts w:hint="eastAsia" w:ascii="Times New Roman" w:hAnsi="Times New Roman"/>
          <w:color w:val="000000"/>
        </w:rPr>
        <w:t xml:space="preserve"> </w:t>
      </w:r>
      <w:r>
        <w:rPr>
          <w:rFonts w:ascii="Times New Roman" w:hAnsi="Times New Roman"/>
          <w:color w:val="000000"/>
        </w:rPr>
        <w:t xml:space="preserve">GB/T 13014 </w:t>
      </w:r>
      <w:r>
        <w:rPr>
          <w:rFonts w:hint="eastAsia" w:ascii="宋体" w:hAnsi="宋体"/>
          <w:color w:val="000000"/>
        </w:rPr>
        <w:t>等。与冷加工钢筋性能及检验相关的国家现行标准有：《冷轧带肋钢筋》</w:t>
      </w:r>
      <w:r>
        <w:rPr>
          <w:rFonts w:hint="eastAsia" w:ascii="Times New Roman" w:hAnsi="Times New Roman"/>
          <w:color w:val="000000"/>
        </w:rPr>
        <w:t xml:space="preserve"> </w:t>
      </w:r>
      <w:r>
        <w:rPr>
          <w:rFonts w:ascii="Times New Roman" w:hAnsi="Times New Roman"/>
          <w:color w:val="000000"/>
        </w:rPr>
        <w:t>GB/T 13788</w:t>
      </w:r>
      <w:r>
        <w:rPr>
          <w:rFonts w:hint="eastAsia" w:ascii="宋体" w:hAnsi="宋体"/>
          <w:color w:val="000000"/>
        </w:rPr>
        <w:t>、《高延性冷轧带肋钢筋》</w:t>
      </w:r>
      <w:r>
        <w:rPr>
          <w:rFonts w:hint="eastAsia" w:ascii="Times New Roman" w:hAnsi="Times New Roman"/>
          <w:color w:val="000000"/>
        </w:rPr>
        <w:t xml:space="preserve"> </w:t>
      </w:r>
      <w:r>
        <w:rPr>
          <w:rFonts w:ascii="Times New Roman" w:hAnsi="Times New Roman"/>
          <w:color w:val="000000"/>
        </w:rPr>
        <w:t>YB/T 4260</w:t>
      </w:r>
      <w:r>
        <w:rPr>
          <w:rFonts w:hint="eastAsia" w:ascii="宋体" w:hAnsi="宋体"/>
          <w:color w:val="000000"/>
        </w:rPr>
        <w:t>、《冷轧带肋钢筋混凝土结构技术规程》</w:t>
      </w:r>
      <w:r>
        <w:rPr>
          <w:rFonts w:hint="eastAsia" w:ascii="Times New Roman" w:hAnsi="Times New Roman"/>
          <w:color w:val="000000"/>
        </w:rPr>
        <w:t xml:space="preserve"> </w:t>
      </w:r>
      <w:r>
        <w:rPr>
          <w:rFonts w:ascii="Times New Roman" w:hAnsi="Times New Roman"/>
          <w:color w:val="000000"/>
        </w:rPr>
        <w:t xml:space="preserve">JGJ 95 </w:t>
      </w:r>
      <w:r>
        <w:rPr>
          <w:rFonts w:hint="eastAsia" w:ascii="宋体" w:hAnsi="宋体"/>
          <w:color w:val="000000"/>
        </w:rPr>
        <w:t>和《冷拔低碳钢丝应用技术规程》</w:t>
      </w:r>
      <w:r>
        <w:rPr>
          <w:rFonts w:hint="eastAsia" w:ascii="Times New Roman" w:hAnsi="Times New Roman"/>
          <w:color w:val="000000"/>
        </w:rPr>
        <w:t xml:space="preserve"> </w:t>
      </w:r>
      <w:r>
        <w:rPr>
          <w:rFonts w:ascii="Times New Roman" w:hAnsi="Times New Roman"/>
          <w:color w:val="000000"/>
        </w:rPr>
        <w:t xml:space="preserve">JGJ 19 </w:t>
      </w:r>
      <w:r>
        <w:rPr>
          <w:rFonts w:hint="eastAsia" w:ascii="宋体" w:hAnsi="宋体"/>
          <w:color w:val="000000"/>
        </w:rPr>
        <w:t>等。</w:t>
      </w:r>
    </w:p>
    <w:p>
      <w:pPr>
        <w:snapToGrid w:val="0"/>
        <w:spacing w:line="240" w:lineRule="auto"/>
        <w:rPr>
          <w:rFonts w:ascii="Times New Roman" w:hAnsi="Times New Roman"/>
          <w:color w:val="000000"/>
        </w:rPr>
      </w:pPr>
      <w:r>
        <w:rPr>
          <w:rFonts w:hint="eastAsia" w:ascii="Times New Roman" w:hAnsi="Times New Roman"/>
          <w:b/>
          <w:bCs/>
          <w:color w:val="000000"/>
        </w:rPr>
        <w:t>7</w:t>
      </w:r>
      <w:r>
        <w:rPr>
          <w:rFonts w:ascii="Times New Roman" w:hAnsi="Times New Roman"/>
          <w:b/>
          <w:bCs/>
          <w:color w:val="000000"/>
        </w:rPr>
        <w:t>.5.5</w:t>
      </w:r>
      <w:r>
        <w:rPr>
          <w:rFonts w:ascii="Times New Roman" w:hAnsi="Times New Roman"/>
          <w:color w:val="000000"/>
        </w:rPr>
        <w:t xml:space="preserve"> </w:t>
      </w:r>
      <w:r>
        <w:rPr>
          <w:rFonts w:hint="eastAsia" w:ascii="宋体" w:hAnsi="宋体"/>
          <w:color w:val="000000"/>
        </w:rPr>
        <w:t>在桁架预制板混凝土浇筑前，需按要求对钢筋桁架和纵向受力钢筋、预留孔洞、预埋件等进行隐蔽工程质量检查，这是保证预制构件结构性能满足要求的</w:t>
      </w:r>
      <w:r>
        <w:rPr>
          <w:rFonts w:hint="eastAsia" w:ascii="Times New Roman" w:hAnsi="Times New Roman"/>
          <w:color w:val="000000"/>
        </w:rPr>
        <w:t xml:space="preserve"> </w:t>
      </w:r>
      <w:r>
        <w:rPr>
          <w:rFonts w:hint="eastAsia" w:ascii="宋体" w:hAnsi="宋体"/>
          <w:color w:val="000000"/>
        </w:rPr>
        <w:t>关键质量控制环节。</w:t>
      </w:r>
    </w:p>
    <w:p>
      <w:pPr>
        <w:snapToGrid w:val="0"/>
        <w:spacing w:line="240" w:lineRule="auto"/>
        <w:rPr>
          <w:rFonts w:ascii="Times New Roman" w:hAnsi="Times New Roman"/>
          <w:color w:val="000000"/>
        </w:rPr>
      </w:pPr>
      <w:r>
        <w:rPr>
          <w:rFonts w:hint="eastAsia" w:ascii="Times New Roman" w:hAnsi="Times New Roman"/>
          <w:b/>
          <w:bCs/>
          <w:color w:val="000000"/>
        </w:rPr>
        <w:t>7</w:t>
      </w:r>
      <w:r>
        <w:rPr>
          <w:rFonts w:ascii="Times New Roman" w:hAnsi="Times New Roman"/>
          <w:b/>
          <w:bCs/>
          <w:color w:val="000000"/>
        </w:rPr>
        <w:t>.5.7</w:t>
      </w:r>
      <w:r>
        <w:rPr>
          <w:rFonts w:ascii="Times New Roman" w:hAnsi="Times New Roman"/>
          <w:color w:val="000000"/>
        </w:rPr>
        <w:t xml:space="preserve"> </w:t>
      </w:r>
      <w:r>
        <w:rPr>
          <w:rFonts w:hint="eastAsia" w:ascii="宋体" w:hAnsi="宋体"/>
          <w:color w:val="000000"/>
        </w:rPr>
        <w:t>表</w:t>
      </w:r>
      <w:r>
        <w:rPr>
          <w:rFonts w:hint="eastAsia" w:ascii="Times New Roman" w:hAnsi="Times New Roman"/>
          <w:color w:val="000000"/>
        </w:rPr>
        <w:t>5</w:t>
      </w:r>
      <w:r>
        <w:rPr>
          <w:rFonts w:ascii="Times New Roman" w:hAnsi="Times New Roman"/>
          <w:color w:val="000000"/>
        </w:rPr>
        <w:t xml:space="preserve"> </w:t>
      </w:r>
      <w:r>
        <w:rPr>
          <w:rFonts w:hint="eastAsia" w:ascii="宋体" w:hAnsi="宋体"/>
          <w:color w:val="000000"/>
        </w:rPr>
        <w:t>基于现行国家标准《装配式混凝土建筑技术标准》</w:t>
      </w:r>
      <w:r>
        <w:rPr>
          <w:rFonts w:hint="eastAsia" w:ascii="Times New Roman" w:hAnsi="Times New Roman"/>
          <w:color w:val="000000"/>
        </w:rPr>
        <w:t xml:space="preserve"> </w:t>
      </w:r>
      <w:r>
        <w:rPr>
          <w:rFonts w:ascii="Times New Roman" w:hAnsi="Times New Roman"/>
          <w:color w:val="000000"/>
        </w:rPr>
        <w:t xml:space="preserve">GB/T 51231 </w:t>
      </w:r>
      <w:r>
        <w:rPr>
          <w:rFonts w:hint="eastAsia" w:ascii="宋体" w:hAnsi="宋体"/>
          <w:color w:val="000000"/>
        </w:rPr>
        <w:t>的表</w:t>
      </w:r>
      <w:r>
        <w:rPr>
          <w:rFonts w:hint="eastAsia" w:ascii="Times New Roman" w:hAnsi="Times New Roman"/>
          <w:color w:val="000000"/>
        </w:rPr>
        <w:t xml:space="preserve"> </w:t>
      </w:r>
      <w:r>
        <w:rPr>
          <w:rFonts w:ascii="Times New Roman" w:hAnsi="Times New Roman"/>
          <w:color w:val="000000"/>
        </w:rPr>
        <w:t xml:space="preserve">9.7.4-1 </w:t>
      </w:r>
      <w:r>
        <w:rPr>
          <w:rFonts w:hint="eastAsia" w:ascii="宋体" w:hAnsi="宋体"/>
          <w:color w:val="000000"/>
        </w:rPr>
        <w:t>制定，考虑到桁架预制板的实际尺寸范围，对其长度分档做了调整并细化了允许偏差；当桁架预制板之间采用密拼连接时，考虑到安装需求，对桁架预制板宽度应从严控制，表</w:t>
      </w:r>
      <w:r>
        <w:rPr>
          <w:rFonts w:hint="eastAsia" w:ascii="Times New Roman" w:hAnsi="Times New Roman"/>
          <w:color w:val="000000"/>
        </w:rPr>
        <w:t>5</w:t>
      </w:r>
      <w:r>
        <w:rPr>
          <w:rFonts w:hint="eastAsia" w:ascii="宋体" w:hAnsi="宋体"/>
          <w:color w:val="000000"/>
        </w:rPr>
        <w:t>对密拼时桁架预制板宽度允许偏差适当加严。</w:t>
      </w:r>
    </w:p>
    <w:p>
      <w:pPr>
        <w:snapToGrid w:val="0"/>
        <w:spacing w:line="240" w:lineRule="auto"/>
        <w:rPr>
          <w:rFonts w:ascii="Times New Roman" w:hAnsi="Times New Roman"/>
        </w:rPr>
      </w:pPr>
      <w:r>
        <w:rPr>
          <w:rFonts w:hint="eastAsia" w:ascii="Times New Roman" w:hAnsi="Times New Roman"/>
          <w:b/>
          <w:bCs/>
          <w:color w:val="000000"/>
        </w:rPr>
        <w:t>7</w:t>
      </w:r>
      <w:r>
        <w:rPr>
          <w:rFonts w:ascii="Times New Roman" w:hAnsi="Times New Roman"/>
          <w:b/>
          <w:bCs/>
          <w:color w:val="000000"/>
        </w:rPr>
        <w:t>.5.9</w:t>
      </w:r>
      <w:r>
        <w:rPr>
          <w:rFonts w:ascii="Times New Roman" w:hAnsi="Times New Roman"/>
          <w:color w:val="000000"/>
        </w:rPr>
        <w:t xml:space="preserve"> </w:t>
      </w:r>
      <w:r>
        <w:rPr>
          <w:rFonts w:hint="eastAsia" w:ascii="宋体" w:hAnsi="宋体"/>
          <w:color w:val="000000"/>
        </w:rPr>
        <w:t>质量证明文件除本条规定的内容外，也可由供需双方协商补充。</w:t>
      </w:r>
      <w:r>
        <w:rPr>
          <w:rFonts w:hint="eastAsia" w:ascii="宋体" w:hAnsi="宋体"/>
        </w:rPr>
        <w:t xml:space="preserve"> </w:t>
      </w:r>
    </w:p>
    <w:p>
      <w:pPr>
        <w:adjustRightInd/>
        <w:spacing w:before="312" w:beforeLines="100" w:after="312" w:afterLines="100" w:line="240" w:lineRule="auto"/>
        <w:outlineLvl w:val="0"/>
        <w:rPr>
          <w:rFonts w:ascii="Times New Roman" w:hAnsi="Times New Roman" w:eastAsia="黑体"/>
          <w:b/>
          <w:color w:val="000000"/>
        </w:rPr>
      </w:pPr>
      <w:bookmarkStart w:id="154" w:name="_Toc22668"/>
      <w:r>
        <w:rPr>
          <w:rFonts w:hint="eastAsia" w:ascii="Times New Roman" w:hAnsi="Times New Roman" w:eastAsia="黑体"/>
          <w:b/>
          <w:color w:val="000000"/>
        </w:rPr>
        <w:t>8</w:t>
      </w:r>
      <w:r>
        <w:rPr>
          <w:rFonts w:ascii="Times New Roman" w:hAnsi="Times New Roman" w:eastAsia="黑体"/>
          <w:b/>
          <w:color w:val="000000"/>
        </w:rPr>
        <w:t xml:space="preserve">  </w:t>
      </w:r>
      <w:r>
        <w:rPr>
          <w:rFonts w:hint="eastAsia" w:ascii="黑体" w:hAnsi="黑体" w:eastAsia="黑体"/>
          <w:color w:val="000000"/>
        </w:rPr>
        <w:t>施工与验收</w:t>
      </w:r>
      <w:bookmarkEnd w:id="154"/>
    </w:p>
    <w:p>
      <w:pPr>
        <w:adjustRightInd/>
        <w:spacing w:before="312" w:beforeLines="100" w:after="312" w:afterLines="100" w:line="240" w:lineRule="auto"/>
        <w:outlineLvl w:val="1"/>
        <w:rPr>
          <w:rFonts w:ascii="Times New Roman" w:hAnsi="Times New Roman"/>
          <w:b/>
          <w:color w:val="000000"/>
        </w:rPr>
      </w:pPr>
      <w:bookmarkStart w:id="155" w:name="_Toc8066924"/>
      <w:bookmarkEnd w:id="155"/>
      <w:r>
        <w:rPr>
          <w:rFonts w:hint="eastAsia" w:ascii="Times New Roman" w:hAnsi="Times New Roman"/>
          <w:b/>
          <w:color w:val="000000"/>
        </w:rPr>
        <w:t>8</w:t>
      </w:r>
      <w:r>
        <w:rPr>
          <w:rFonts w:ascii="Times New Roman" w:hAnsi="Times New Roman"/>
          <w:b/>
          <w:color w:val="000000"/>
        </w:rPr>
        <w:t xml:space="preserve">.1  </w:t>
      </w:r>
      <w:r>
        <w:rPr>
          <w:rFonts w:hint="eastAsia" w:ascii="黑体" w:hAnsi="黑体" w:eastAsia="黑体"/>
          <w:color w:val="000000"/>
        </w:rPr>
        <w:t>一般规定</w:t>
      </w:r>
    </w:p>
    <w:p>
      <w:pPr>
        <w:adjustRightInd/>
        <w:spacing w:line="240" w:lineRule="auto"/>
        <w:rPr>
          <w:rFonts w:ascii="Times New Roman" w:hAnsi="Times New Roman"/>
          <w:color w:val="000000"/>
        </w:rPr>
      </w:pPr>
      <w:bookmarkStart w:id="156" w:name="_Toc8066925"/>
      <w:bookmarkEnd w:id="156"/>
      <w:r>
        <w:rPr>
          <w:rFonts w:hint="eastAsia" w:ascii="Times New Roman" w:hAnsi="Times New Roman"/>
          <w:color w:val="000000"/>
        </w:rPr>
        <w:t>8</w:t>
      </w:r>
      <w:r>
        <w:rPr>
          <w:rFonts w:ascii="Times New Roman" w:hAnsi="Times New Roman"/>
          <w:color w:val="000000"/>
        </w:rPr>
        <w:t xml:space="preserve">.1.1 </w:t>
      </w:r>
      <w:r>
        <w:rPr>
          <w:rFonts w:hint="eastAsia" w:ascii="宋体" w:hAnsi="宋体"/>
          <w:color w:val="000000"/>
        </w:rPr>
        <w:t>专项施工方案应按规定程序审批。专项施工方案应包含施工现场平面布置、桁架预制板场内转运路线、道路条件及吊装方案等；对涉及结构安全和人身安全的内容，应有明确的规定和相应的措施。</w:t>
      </w:r>
    </w:p>
    <w:p>
      <w:pPr>
        <w:adjustRightInd/>
        <w:spacing w:line="240" w:lineRule="auto"/>
        <w:rPr>
          <w:rFonts w:ascii="Times New Roman" w:hAnsi="Times New Roman"/>
          <w:color w:val="000000"/>
        </w:rPr>
      </w:pPr>
      <w:r>
        <w:rPr>
          <w:rFonts w:hint="eastAsia" w:ascii="Times New Roman" w:hAnsi="Times New Roman"/>
          <w:color w:val="000000"/>
        </w:rPr>
        <w:t>8</w:t>
      </w:r>
      <w:r>
        <w:rPr>
          <w:rFonts w:ascii="Times New Roman" w:hAnsi="Times New Roman"/>
          <w:color w:val="000000"/>
        </w:rPr>
        <w:t xml:space="preserve">.1.2 </w:t>
      </w:r>
      <w:r>
        <w:rPr>
          <w:rFonts w:hint="eastAsia" w:ascii="宋体" w:hAnsi="宋体"/>
          <w:color w:val="000000"/>
        </w:rPr>
        <w:t>施工现场需根据装配化建造方式要求布置施工总平面，宜规划主体装配区、构件堆放区、材料堆放区和运输道路。桁架预制板运输到施工现场后，可根据场地平面布置，分单元合理安排堆放，便于现场吊装施工。预制构件临时堆放场地需布置在吊装机械覆盖范围内，避免二次搬运。桁架预制板在施工现场的堆放要求与在预制构件厂相同。</w:t>
      </w:r>
    </w:p>
    <w:p>
      <w:pPr>
        <w:adjustRightInd/>
        <w:spacing w:line="240" w:lineRule="auto"/>
        <w:rPr>
          <w:rFonts w:ascii="Times New Roman" w:hAnsi="Times New Roman"/>
          <w:color w:val="000000"/>
        </w:rPr>
      </w:pPr>
      <w:r>
        <w:rPr>
          <w:rFonts w:hint="eastAsia" w:ascii="Times New Roman" w:hAnsi="Times New Roman"/>
          <w:color w:val="000000"/>
        </w:rPr>
        <w:t>8</w:t>
      </w:r>
      <w:r>
        <w:rPr>
          <w:rFonts w:ascii="Times New Roman" w:hAnsi="Times New Roman"/>
          <w:color w:val="000000"/>
        </w:rPr>
        <w:t xml:space="preserve">.1.5 </w:t>
      </w:r>
      <w:r>
        <w:rPr>
          <w:rFonts w:hint="eastAsia" w:ascii="宋体" w:hAnsi="宋体"/>
          <w:color w:val="000000"/>
        </w:rPr>
        <w:t>预埋水电管线敷设前，应确认桁架预制板中预埋件和预留孔洞的位置无误、尺寸准确。接线盒预埋在桁架预制板中，宜采用深型接线盒，水电管线敷设于桁架叠合板现浇层中。敷设管线，正穿时采用刚性管线，斜穿时采用柔韧性较好的管线。避免多根管线集束预埋，可采用直径较小的管线，分散穿孔预埋。施工过程中做好成品保护工作。</w:t>
      </w:r>
    </w:p>
    <w:p>
      <w:pPr>
        <w:adjustRightInd/>
        <w:spacing w:before="312" w:beforeLines="100" w:after="312" w:afterLines="100" w:line="240" w:lineRule="auto"/>
        <w:outlineLvl w:val="1"/>
        <w:rPr>
          <w:rFonts w:ascii="Times New Roman" w:hAnsi="Times New Roman"/>
          <w:b/>
          <w:color w:val="000000"/>
        </w:rPr>
      </w:pPr>
      <w:r>
        <w:rPr>
          <w:rFonts w:hint="eastAsia" w:ascii="Times New Roman" w:hAnsi="Times New Roman"/>
          <w:b/>
          <w:color w:val="000000"/>
        </w:rPr>
        <w:t>8</w:t>
      </w:r>
      <w:r>
        <w:rPr>
          <w:rFonts w:ascii="Times New Roman" w:hAnsi="Times New Roman"/>
          <w:b/>
          <w:color w:val="000000"/>
        </w:rPr>
        <w:t xml:space="preserve">.2  </w:t>
      </w:r>
      <w:r>
        <w:rPr>
          <w:rFonts w:hint="eastAsia" w:ascii="黑体" w:hAnsi="黑体" w:eastAsia="黑体"/>
          <w:color w:val="000000"/>
        </w:rPr>
        <w:t>桁架预制板吊装准备</w:t>
      </w:r>
    </w:p>
    <w:p>
      <w:pPr>
        <w:snapToGrid w:val="0"/>
        <w:spacing w:line="240" w:lineRule="auto"/>
        <w:rPr>
          <w:rFonts w:ascii="Times New Roman" w:hAnsi="Times New Roman"/>
          <w:color w:val="000000"/>
        </w:rPr>
      </w:pPr>
      <w:r>
        <w:rPr>
          <w:rFonts w:hint="eastAsia" w:ascii="Times New Roman" w:hAnsi="Times New Roman"/>
          <w:b/>
          <w:color w:val="000000"/>
        </w:rPr>
        <w:t>8</w:t>
      </w:r>
      <w:r>
        <w:rPr>
          <w:rFonts w:ascii="Times New Roman" w:hAnsi="Times New Roman"/>
          <w:b/>
          <w:color w:val="000000"/>
        </w:rPr>
        <w:t>.2.2</w:t>
      </w:r>
      <w:r>
        <w:rPr>
          <w:rFonts w:hint="eastAsia" w:ascii="宋体" w:hAnsi="宋体"/>
          <w:bCs/>
          <w:color w:val="000000"/>
        </w:rPr>
        <w:t>为了保证桁架预制板安装就位准确，吊装前应在桁架预制板和相应的安装位置上做出必要的控制标志。</w:t>
      </w:r>
    </w:p>
    <w:p>
      <w:pPr>
        <w:adjustRightInd/>
        <w:spacing w:before="312" w:beforeLines="100" w:after="312" w:afterLines="100" w:line="240" w:lineRule="auto"/>
        <w:outlineLvl w:val="1"/>
        <w:rPr>
          <w:rFonts w:ascii="Times New Roman" w:hAnsi="Times New Roman"/>
          <w:b/>
          <w:color w:val="000000"/>
        </w:rPr>
      </w:pPr>
      <w:bookmarkStart w:id="157" w:name="_Toc8066926"/>
      <w:bookmarkEnd w:id="157"/>
      <w:r>
        <w:rPr>
          <w:rFonts w:hint="eastAsia" w:ascii="Times New Roman" w:hAnsi="Times New Roman"/>
          <w:b/>
          <w:color w:val="000000"/>
        </w:rPr>
        <w:t>8</w:t>
      </w:r>
      <w:r>
        <w:rPr>
          <w:rFonts w:ascii="Times New Roman" w:hAnsi="Times New Roman"/>
          <w:b/>
          <w:color w:val="000000"/>
        </w:rPr>
        <w:t xml:space="preserve">.3  </w:t>
      </w:r>
      <w:r>
        <w:rPr>
          <w:rFonts w:hint="eastAsia" w:ascii="黑体" w:hAnsi="黑体" w:eastAsia="黑体"/>
          <w:color w:val="000000"/>
        </w:rPr>
        <w:t>桁架预制板安装与连接</w:t>
      </w:r>
    </w:p>
    <w:p>
      <w:pPr>
        <w:snapToGrid w:val="0"/>
        <w:spacing w:line="240" w:lineRule="auto"/>
        <w:rPr>
          <w:rFonts w:ascii="Times New Roman" w:hAnsi="Times New Roman"/>
          <w:color w:val="000000"/>
        </w:rPr>
      </w:pPr>
      <w:r>
        <w:rPr>
          <w:rFonts w:hint="eastAsia" w:ascii="Times New Roman" w:hAnsi="Times New Roman"/>
          <w:b/>
          <w:color w:val="000000"/>
        </w:rPr>
        <w:t>8</w:t>
      </w:r>
      <w:r>
        <w:rPr>
          <w:rFonts w:ascii="Times New Roman" w:hAnsi="Times New Roman"/>
          <w:b/>
          <w:color w:val="000000"/>
        </w:rPr>
        <w:t>.3.</w:t>
      </w:r>
      <w:r>
        <w:rPr>
          <w:rFonts w:hint="eastAsia" w:ascii="Times New Roman" w:hAnsi="Times New Roman"/>
          <w:b/>
          <w:color w:val="000000"/>
        </w:rPr>
        <w:t>2</w:t>
      </w:r>
      <w:r>
        <w:rPr>
          <w:rFonts w:ascii="宋体" w:hAnsi="宋体"/>
          <w:color w:val="000000"/>
        </w:rPr>
        <w:t>开始起吊时，将预制构件吊离运输车辆或堆放点</w:t>
      </w:r>
      <w:r>
        <w:rPr>
          <w:rFonts w:ascii="Times New Roman" w:hAnsi="Times New Roman"/>
          <w:color w:val="000000"/>
        </w:rPr>
        <w:t xml:space="preserve"> 200mm</w:t>
      </w:r>
      <w:r>
        <w:rPr>
          <w:rFonts w:ascii="宋体" w:hAnsi="宋体"/>
          <w:color w:val="000000"/>
        </w:rPr>
        <w:t>～</w:t>
      </w:r>
      <w:r>
        <w:rPr>
          <w:rFonts w:ascii="Times New Roman" w:hAnsi="Times New Roman"/>
          <w:color w:val="000000"/>
        </w:rPr>
        <w:t xml:space="preserve">300mm </w:t>
      </w:r>
      <w:r>
        <w:rPr>
          <w:rFonts w:ascii="宋体" w:hAnsi="宋体"/>
          <w:color w:val="000000"/>
        </w:rPr>
        <w:t>后停止 起吊，检查预制构件平衡性和吊点位置情况、起重设备的稳定性、制动系统的可 靠性等，确认系统安全可靠后方可继续起吊。</w:t>
      </w:r>
    </w:p>
    <w:p>
      <w:pPr>
        <w:snapToGrid w:val="0"/>
        <w:spacing w:line="240" w:lineRule="auto"/>
        <w:rPr>
          <w:rFonts w:ascii="Times New Roman" w:hAnsi="Times New Roman"/>
          <w:color w:val="000000"/>
        </w:rPr>
      </w:pPr>
      <w:r>
        <w:rPr>
          <w:rFonts w:hint="eastAsia" w:ascii="Times New Roman" w:hAnsi="Times New Roman"/>
          <w:b/>
          <w:color w:val="000000"/>
        </w:rPr>
        <w:t>8</w:t>
      </w:r>
      <w:r>
        <w:rPr>
          <w:rFonts w:ascii="Times New Roman" w:hAnsi="Times New Roman"/>
          <w:b/>
          <w:color w:val="000000"/>
        </w:rPr>
        <w:t>.3.</w:t>
      </w:r>
      <w:r>
        <w:rPr>
          <w:rFonts w:hint="eastAsia" w:ascii="Times New Roman" w:hAnsi="Times New Roman"/>
          <w:b/>
          <w:color w:val="000000"/>
        </w:rPr>
        <w:t>3</w:t>
      </w:r>
      <w:r>
        <w:rPr>
          <w:rFonts w:ascii="宋体" w:hAnsi="宋体"/>
          <w:color w:val="000000"/>
        </w:rPr>
        <w:t>构件吊装时，至少安排两个信号指挥员与起重机械司机沟通。起吊时以下</w:t>
      </w:r>
      <w:r>
        <w:rPr>
          <w:rFonts w:ascii="Times New Roman" w:hAnsi="Times New Roman"/>
          <w:color w:val="000000"/>
        </w:rPr>
        <w:t xml:space="preserve"> </w:t>
      </w:r>
      <w:r>
        <w:rPr>
          <w:rFonts w:ascii="宋体" w:hAnsi="宋体"/>
          <w:color w:val="000000"/>
        </w:rPr>
        <w:t>方信号指挥员的发令为准，安装时以上方信号指挥员的发令为准。</w:t>
      </w:r>
    </w:p>
    <w:p>
      <w:pPr>
        <w:snapToGrid w:val="0"/>
        <w:spacing w:line="240" w:lineRule="auto"/>
        <w:ind w:firstLine="420" w:firstLineChars="200"/>
        <w:rPr>
          <w:rFonts w:ascii="Times New Roman" w:hAnsi="Times New Roman"/>
          <w:color w:val="000000"/>
        </w:rPr>
      </w:pPr>
      <w:r>
        <w:rPr>
          <w:rFonts w:ascii="宋体" w:hAnsi="宋体"/>
          <w:color w:val="000000"/>
        </w:rPr>
        <w:t>司索工是指吊装作业中主要从事地面吊具准备、捆绑挂钩、摘钩卸载等工作的工人，多数情况还担任指挥任务。司索工的工作质量与整个吊装作业安全关系</w:t>
      </w:r>
      <w:r>
        <w:rPr>
          <w:rFonts w:ascii="Times New Roman" w:hAnsi="Times New Roman"/>
          <w:color w:val="000000"/>
        </w:rPr>
        <w:t xml:space="preserve"> </w:t>
      </w:r>
      <w:r>
        <w:rPr>
          <w:rFonts w:ascii="宋体" w:hAnsi="宋体"/>
          <w:color w:val="000000"/>
        </w:rPr>
        <w:t>极大。根据行业标准《建筑施工安全检查标准》</w:t>
      </w:r>
      <w:r>
        <w:rPr>
          <w:rFonts w:ascii="Times New Roman" w:hAnsi="Times New Roman"/>
          <w:color w:val="000000"/>
        </w:rPr>
        <w:t xml:space="preserve">JGJ 59–2011 </w:t>
      </w:r>
      <w:r>
        <w:rPr>
          <w:rFonts w:ascii="宋体" w:hAnsi="宋体"/>
          <w:color w:val="000000"/>
        </w:rPr>
        <w:t>规定，起重机作业 应设专职信号指挥员和司索工，一人不得同时承担信号指挥和司索作业。</w:t>
      </w:r>
    </w:p>
    <w:p>
      <w:pPr>
        <w:snapToGrid w:val="0"/>
        <w:spacing w:line="240" w:lineRule="auto"/>
        <w:rPr>
          <w:rFonts w:ascii="Times New Roman" w:hAnsi="Times New Roman"/>
        </w:rPr>
      </w:pPr>
      <w:r>
        <w:rPr>
          <w:rFonts w:hint="eastAsia" w:ascii="Times New Roman" w:hAnsi="Times New Roman"/>
          <w:b/>
          <w:color w:val="000000"/>
        </w:rPr>
        <w:t>8</w:t>
      </w:r>
      <w:r>
        <w:rPr>
          <w:rFonts w:ascii="Times New Roman" w:hAnsi="Times New Roman"/>
          <w:b/>
          <w:color w:val="000000"/>
        </w:rPr>
        <w:t>.3.</w:t>
      </w:r>
      <w:r>
        <w:rPr>
          <w:rFonts w:hint="eastAsia" w:ascii="Times New Roman" w:hAnsi="Times New Roman"/>
          <w:b/>
          <w:color w:val="000000"/>
        </w:rPr>
        <w:t>5</w:t>
      </w:r>
      <w:r>
        <w:rPr>
          <w:rFonts w:ascii="宋体" w:hAnsi="宋体"/>
          <w:color w:val="000000"/>
        </w:rPr>
        <w:t>临时固定措施是装配式结构构件安装过程中承受施工荷载、保证构件定位</w:t>
      </w:r>
      <w:r>
        <w:rPr>
          <w:rFonts w:ascii="Times New Roman" w:hAnsi="Times New Roman"/>
          <w:color w:val="000000"/>
        </w:rPr>
        <w:t xml:space="preserve"> </w:t>
      </w:r>
      <w:r>
        <w:rPr>
          <w:rFonts w:ascii="宋体" w:hAnsi="宋体"/>
          <w:color w:val="000000"/>
        </w:rPr>
        <w:t>准确的有效措施。在预制构件安装就位后，需利用其相邻构件或临时支撑措施对</w:t>
      </w:r>
      <w:r>
        <w:rPr>
          <w:rFonts w:ascii="Times New Roman" w:hAnsi="Times New Roman"/>
          <w:color w:val="000000"/>
        </w:rPr>
        <w:t xml:space="preserve"> </w:t>
      </w:r>
      <w:r>
        <w:rPr>
          <w:rFonts w:ascii="宋体" w:hAnsi="宋体"/>
          <w:color w:val="000000"/>
        </w:rPr>
        <w:t>其进行固定。临时支撑措施应能承受结构自重、施工荷载、风荷载、吊装就位产</w:t>
      </w:r>
      <w:r>
        <w:rPr>
          <w:rFonts w:ascii="Times New Roman" w:hAnsi="Times New Roman"/>
          <w:color w:val="000000"/>
        </w:rPr>
        <w:t xml:space="preserve"> </w:t>
      </w:r>
      <w:r>
        <w:rPr>
          <w:rFonts w:ascii="宋体" w:hAnsi="宋体"/>
          <w:color w:val="000000"/>
        </w:rPr>
        <w:t>生的冲击荷载等的作用，不得使结构构件产生永久变形。</w:t>
      </w:r>
    </w:p>
    <w:p>
      <w:pPr>
        <w:snapToGrid w:val="0"/>
        <w:spacing w:line="240" w:lineRule="auto"/>
        <w:rPr>
          <w:rFonts w:ascii="Times New Roman" w:hAnsi="Times New Roman"/>
          <w:color w:val="000000"/>
        </w:rPr>
      </w:pPr>
      <w:r>
        <w:rPr>
          <w:rFonts w:hint="eastAsia" w:ascii="Times New Roman" w:hAnsi="Times New Roman"/>
          <w:b/>
          <w:color w:val="000000"/>
        </w:rPr>
        <w:t>8</w:t>
      </w:r>
      <w:r>
        <w:rPr>
          <w:rFonts w:ascii="Times New Roman" w:hAnsi="Times New Roman"/>
          <w:b/>
          <w:color w:val="000000"/>
        </w:rPr>
        <w:t>.3.</w:t>
      </w:r>
      <w:r>
        <w:rPr>
          <w:rFonts w:hint="eastAsia" w:ascii="Times New Roman" w:hAnsi="Times New Roman"/>
          <w:b/>
          <w:color w:val="000000"/>
        </w:rPr>
        <w:t>7</w:t>
      </w:r>
      <w:r>
        <w:rPr>
          <w:rFonts w:ascii="宋体" w:hAnsi="宋体"/>
          <w:color w:val="000000"/>
        </w:rPr>
        <w:t>桁架预制板安装采用的临时支撑架体应具有足够的强度、刚度和整体稳定</w:t>
      </w:r>
      <w:r>
        <w:rPr>
          <w:rFonts w:ascii="Times New Roman" w:hAnsi="Times New Roman"/>
          <w:color w:val="000000"/>
        </w:rPr>
        <w:t xml:space="preserve"> </w:t>
      </w:r>
      <w:r>
        <w:rPr>
          <w:rFonts w:ascii="宋体" w:hAnsi="宋体"/>
          <w:color w:val="000000"/>
        </w:rPr>
        <w:t>性，可按现行国家标准《混凝土结构工程施工规范》</w:t>
      </w:r>
      <w:r>
        <w:rPr>
          <w:rFonts w:ascii="Times New Roman" w:hAnsi="Times New Roman"/>
          <w:color w:val="000000"/>
        </w:rPr>
        <w:t xml:space="preserve">GB 50666 </w:t>
      </w:r>
      <w:r>
        <w:rPr>
          <w:rFonts w:ascii="宋体" w:hAnsi="宋体"/>
          <w:color w:val="000000"/>
        </w:rPr>
        <w:t>的有关规定进行 检查与验收。支撑架体标高校核时，需考虑支撑架体自身的变形，支架的轴向压 缩变形或侧向挠度需经计算确定。桁架预制板的支撑架体可选用定型独立钢支柱（图</w:t>
      </w:r>
      <w:r>
        <w:rPr>
          <w:rFonts w:hint="eastAsia" w:ascii="Times New Roman" w:hAnsi="Times New Roman"/>
          <w:color w:val="000000"/>
        </w:rPr>
        <w:t>20</w:t>
      </w:r>
      <w:r>
        <w:rPr>
          <w:rFonts w:ascii="宋体" w:hAnsi="宋体"/>
          <w:color w:val="000000"/>
        </w:rPr>
        <w:t>），也可采用承插式支架（图</w:t>
      </w:r>
      <w:r>
        <w:rPr>
          <w:rFonts w:hint="eastAsia" w:ascii="Times New Roman" w:hAnsi="Times New Roman"/>
          <w:color w:val="000000"/>
        </w:rPr>
        <w:t>21</w:t>
      </w:r>
      <w:r>
        <w:rPr>
          <w:rFonts w:ascii="宋体" w:hAnsi="宋体"/>
          <w:color w:val="000000"/>
        </w:rPr>
        <w:t>）。</w:t>
      </w:r>
    </w:p>
    <w:p>
      <w:pPr>
        <w:adjustRightInd/>
        <w:spacing w:line="240" w:lineRule="auto"/>
        <w:jc w:val="center"/>
        <w:rPr>
          <w:rFonts w:ascii="Times New Roman" w:hAnsi="Times New Roman"/>
          <w:color w:val="000000"/>
        </w:rPr>
      </w:pPr>
      <w:r>
        <w:rPr>
          <w:rFonts w:ascii="Times New Roman" w:hAnsi="Times New Roman"/>
        </w:rPr>
        <w:drawing>
          <wp:inline distT="0" distB="0" distL="0" distR="0">
            <wp:extent cx="4321810" cy="2493010"/>
            <wp:effectExtent l="0" t="0" r="2540" b="254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4321810" cy="2493010"/>
                    </a:xfrm>
                    <a:prstGeom prst="rect">
                      <a:avLst/>
                    </a:prstGeom>
                    <a:noFill/>
                    <a:ln>
                      <a:noFill/>
                    </a:ln>
                  </pic:spPr>
                </pic:pic>
              </a:graphicData>
            </a:graphic>
          </wp:inline>
        </w:drawing>
      </w:r>
      <w:r>
        <w:rPr>
          <w:rFonts w:ascii="Times New Roman" w:hAnsi="Times New Roman"/>
          <w:color w:val="000000"/>
        </w:rPr>
        <w:t xml:space="preserve"> </w:t>
      </w:r>
    </w:p>
    <w:p>
      <w:pPr>
        <w:adjustRightInd/>
        <w:spacing w:line="240" w:lineRule="auto"/>
        <w:jc w:val="center"/>
        <w:rPr>
          <w:rFonts w:ascii="Times New Roman" w:hAnsi="Times New Roman" w:eastAsia="黑体"/>
          <w:bCs/>
          <w:color w:val="000000"/>
        </w:rPr>
      </w:pPr>
      <w:r>
        <w:rPr>
          <w:rFonts w:hint="eastAsia" w:ascii="黑体" w:hAnsi="黑体" w:eastAsia="黑体"/>
          <w:bCs/>
          <w:color w:val="000000"/>
        </w:rPr>
        <w:t>图</w:t>
      </w:r>
      <w:r>
        <w:rPr>
          <w:rFonts w:hint="eastAsia" w:ascii="Times New Roman" w:hAnsi="Times New Roman" w:eastAsia="黑体"/>
          <w:bCs/>
          <w:color w:val="000000"/>
        </w:rPr>
        <w:t>20</w:t>
      </w:r>
      <w:r>
        <w:rPr>
          <w:rFonts w:ascii="Times New Roman" w:hAnsi="Times New Roman" w:eastAsia="黑体"/>
          <w:bCs/>
          <w:color w:val="000000"/>
        </w:rPr>
        <w:t xml:space="preserve"> </w:t>
      </w:r>
      <w:r>
        <w:rPr>
          <w:rFonts w:ascii="黑体" w:hAnsi="黑体" w:eastAsia="黑体"/>
          <w:bCs/>
          <w:color w:val="000000"/>
        </w:rPr>
        <w:t>桁架叠合板定型独立钢支柱示意</w:t>
      </w:r>
    </w:p>
    <w:p>
      <w:pPr>
        <w:adjustRightInd/>
        <w:spacing w:line="240" w:lineRule="auto"/>
        <w:jc w:val="center"/>
        <w:rPr>
          <w:rFonts w:ascii="Times New Roman" w:hAnsi="Times New Roman" w:eastAsia="黑体"/>
          <w:bCs/>
          <w:color w:val="000000"/>
        </w:rPr>
      </w:pPr>
      <w:r>
        <w:rPr>
          <w:rFonts w:ascii="Times New Roman" w:hAnsi="Times New Roman" w:eastAsia="黑体"/>
          <w:bCs/>
          <w:color w:val="000000"/>
        </w:rPr>
        <w:t>1-</w:t>
      </w:r>
      <w:r>
        <w:rPr>
          <w:rFonts w:ascii="黑体" w:hAnsi="黑体" w:eastAsia="黑体"/>
          <w:bCs/>
          <w:color w:val="000000"/>
        </w:rPr>
        <w:t>结构墙体；</w:t>
      </w:r>
      <w:r>
        <w:rPr>
          <w:rFonts w:ascii="Times New Roman" w:hAnsi="Times New Roman" w:eastAsia="黑体"/>
          <w:bCs/>
          <w:color w:val="000000"/>
        </w:rPr>
        <w:t>2-</w:t>
      </w:r>
      <w:r>
        <w:rPr>
          <w:rFonts w:ascii="黑体" w:hAnsi="黑体" w:eastAsia="黑体"/>
          <w:bCs/>
          <w:color w:val="000000"/>
        </w:rPr>
        <w:t>楼板；</w:t>
      </w:r>
      <w:r>
        <w:rPr>
          <w:rFonts w:ascii="Times New Roman" w:hAnsi="Times New Roman" w:eastAsia="黑体"/>
          <w:bCs/>
          <w:color w:val="000000"/>
        </w:rPr>
        <w:t>3-</w:t>
      </w:r>
      <w:r>
        <w:rPr>
          <w:rFonts w:ascii="黑体" w:hAnsi="黑体" w:eastAsia="黑体"/>
          <w:bCs/>
          <w:color w:val="000000"/>
        </w:rPr>
        <w:t>可调独立支撑；</w:t>
      </w:r>
      <w:r>
        <w:rPr>
          <w:rFonts w:ascii="Times New Roman" w:hAnsi="Times New Roman" w:eastAsia="黑体"/>
          <w:bCs/>
          <w:color w:val="000000"/>
        </w:rPr>
        <w:t>4-</w:t>
      </w:r>
      <w:r>
        <w:rPr>
          <w:rFonts w:ascii="黑体" w:hAnsi="黑体" w:eastAsia="黑体"/>
          <w:bCs/>
          <w:color w:val="000000"/>
        </w:rPr>
        <w:t>三角稳定架</w:t>
      </w:r>
    </w:p>
    <w:p>
      <w:pPr>
        <w:adjustRightInd/>
        <w:spacing w:line="240" w:lineRule="auto"/>
        <w:jc w:val="center"/>
        <w:rPr>
          <w:rFonts w:ascii="Times New Roman" w:hAnsi="Times New Roman" w:eastAsia="仿宋"/>
          <w:color w:val="000000"/>
        </w:rPr>
      </w:pPr>
      <w:r>
        <w:rPr>
          <w:rFonts w:ascii="Times New Roman" w:hAnsi="Times New Roman"/>
        </w:rPr>
        <w:drawing>
          <wp:inline distT="0" distB="0" distL="0" distR="0">
            <wp:extent cx="3062605" cy="3260725"/>
            <wp:effectExtent l="0" t="0" r="4445" b="1587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3062605" cy="3260725"/>
                    </a:xfrm>
                    <a:prstGeom prst="rect">
                      <a:avLst/>
                    </a:prstGeom>
                    <a:noFill/>
                    <a:ln>
                      <a:noFill/>
                    </a:ln>
                  </pic:spPr>
                </pic:pic>
              </a:graphicData>
            </a:graphic>
          </wp:inline>
        </w:drawing>
      </w:r>
      <w:r>
        <w:rPr>
          <w:rFonts w:ascii="Times New Roman" w:hAnsi="Times New Roman" w:eastAsia="仿宋"/>
          <w:color w:val="000000"/>
        </w:rPr>
        <w:t xml:space="preserve"> </w:t>
      </w:r>
    </w:p>
    <w:p>
      <w:pPr>
        <w:adjustRightInd/>
        <w:spacing w:line="240" w:lineRule="auto"/>
        <w:jc w:val="center"/>
        <w:rPr>
          <w:rFonts w:ascii="Times New Roman" w:hAnsi="Times New Roman" w:eastAsia="黑体"/>
          <w:bCs/>
        </w:rPr>
      </w:pPr>
      <w:r>
        <w:rPr>
          <w:rFonts w:ascii="黑体" w:hAnsi="黑体" w:eastAsia="黑体"/>
          <w:bCs/>
        </w:rPr>
        <w:t>图</w:t>
      </w:r>
      <w:r>
        <w:rPr>
          <w:rFonts w:hint="eastAsia" w:ascii="Times New Roman" w:hAnsi="Times New Roman" w:eastAsia="黑体"/>
          <w:bCs/>
        </w:rPr>
        <w:t>21</w:t>
      </w:r>
      <w:r>
        <w:rPr>
          <w:rFonts w:ascii="Times New Roman" w:hAnsi="Times New Roman" w:eastAsia="黑体"/>
          <w:bCs/>
        </w:rPr>
        <w:t xml:space="preserve"> </w:t>
      </w:r>
      <w:r>
        <w:rPr>
          <w:rFonts w:ascii="黑体" w:hAnsi="黑体" w:eastAsia="黑体"/>
          <w:bCs/>
        </w:rPr>
        <w:t>桁架叠合板承插式支架示意</w:t>
      </w:r>
      <w:r>
        <w:rPr>
          <w:rFonts w:ascii="Times New Roman" w:hAnsi="Times New Roman" w:eastAsia="黑体"/>
          <w:bCs/>
        </w:rPr>
        <w:t xml:space="preserve"> </w:t>
      </w:r>
    </w:p>
    <w:p>
      <w:pPr>
        <w:adjustRightInd/>
        <w:spacing w:line="240" w:lineRule="auto"/>
        <w:jc w:val="center"/>
        <w:rPr>
          <w:rFonts w:ascii="Times New Roman" w:hAnsi="Times New Roman" w:eastAsia="黑体"/>
          <w:bCs/>
          <w:color w:val="000000"/>
        </w:rPr>
      </w:pPr>
      <w:r>
        <w:rPr>
          <w:rFonts w:ascii="Times New Roman" w:hAnsi="Times New Roman" w:eastAsia="黑体"/>
          <w:bCs/>
        </w:rPr>
        <w:t>1—</w:t>
      </w:r>
      <w:r>
        <w:rPr>
          <w:rFonts w:ascii="黑体" w:hAnsi="黑体" w:eastAsia="黑体"/>
          <w:bCs/>
        </w:rPr>
        <w:t>叠合板；</w:t>
      </w:r>
      <w:r>
        <w:rPr>
          <w:rFonts w:ascii="Times New Roman" w:hAnsi="Times New Roman" w:eastAsia="黑体"/>
          <w:bCs/>
        </w:rPr>
        <w:t>2—</w:t>
      </w:r>
      <w:r>
        <w:rPr>
          <w:rFonts w:ascii="黑体" w:hAnsi="黑体" w:eastAsia="黑体"/>
          <w:bCs/>
        </w:rPr>
        <w:t>支撑立杆；</w:t>
      </w:r>
      <w:r>
        <w:rPr>
          <w:rFonts w:ascii="Times New Roman" w:hAnsi="Times New Roman" w:eastAsia="黑体"/>
          <w:bCs/>
        </w:rPr>
        <w:t>3—</w:t>
      </w:r>
      <w:r>
        <w:rPr>
          <w:rFonts w:ascii="黑体" w:hAnsi="黑体" w:eastAsia="黑体"/>
          <w:bCs/>
        </w:rPr>
        <w:t>水平杆；</w:t>
      </w:r>
      <w:r>
        <w:rPr>
          <w:rFonts w:ascii="Times New Roman" w:hAnsi="Times New Roman" w:eastAsia="黑体"/>
          <w:bCs/>
        </w:rPr>
        <w:t>4—</w:t>
      </w:r>
      <w:r>
        <w:rPr>
          <w:rFonts w:ascii="黑体" w:hAnsi="黑体" w:eastAsia="黑体"/>
          <w:bCs/>
        </w:rPr>
        <w:t>可调托撑</w:t>
      </w:r>
    </w:p>
    <w:p>
      <w:pPr>
        <w:adjustRightInd/>
        <w:spacing w:before="312" w:beforeLines="100" w:after="312" w:afterLines="100" w:line="240" w:lineRule="auto"/>
        <w:outlineLvl w:val="1"/>
        <w:rPr>
          <w:rFonts w:ascii="Times New Roman" w:hAnsi="Times New Roman"/>
          <w:b/>
          <w:color w:val="000000"/>
        </w:rPr>
      </w:pPr>
      <w:bookmarkStart w:id="158" w:name="_Toc8066927"/>
      <w:bookmarkEnd w:id="158"/>
      <w:r>
        <w:rPr>
          <w:rFonts w:hint="eastAsia" w:ascii="Times New Roman" w:hAnsi="Times New Roman"/>
          <w:b/>
          <w:color w:val="000000"/>
        </w:rPr>
        <w:t>8</w:t>
      </w:r>
      <w:r>
        <w:rPr>
          <w:rFonts w:ascii="Times New Roman" w:hAnsi="Times New Roman"/>
          <w:b/>
          <w:color w:val="000000"/>
        </w:rPr>
        <w:t xml:space="preserve">.4  </w:t>
      </w:r>
      <w:r>
        <w:rPr>
          <w:rFonts w:hint="eastAsia" w:ascii="黑体" w:hAnsi="黑体" w:eastAsia="黑体"/>
          <w:color w:val="000000"/>
        </w:rPr>
        <w:t>混凝土浇筑</w:t>
      </w:r>
    </w:p>
    <w:p>
      <w:pPr>
        <w:adjustRightInd/>
        <w:spacing w:line="240" w:lineRule="auto"/>
        <w:rPr>
          <w:rFonts w:ascii="Times New Roman" w:hAnsi="Times New Roman"/>
          <w:bCs/>
        </w:rPr>
      </w:pPr>
      <w:r>
        <w:rPr>
          <w:rFonts w:ascii="Times New Roman" w:hAnsi="Times New Roman"/>
          <w:b/>
        </w:rPr>
        <w:t>8.4.7</w:t>
      </w:r>
      <w:r>
        <w:rPr>
          <w:rFonts w:ascii="Times New Roman" w:hAnsi="Times New Roman"/>
          <w:bCs/>
        </w:rPr>
        <w:t xml:space="preserve"> </w:t>
      </w:r>
      <w:r>
        <w:rPr>
          <w:rFonts w:ascii="宋体" w:hAnsi="宋体"/>
          <w:bCs/>
        </w:rPr>
        <w:t>临时支撑架体的拆除应严格按照施工方案执行。临时支撑架体拆除时，要</w:t>
      </w:r>
      <w:r>
        <w:rPr>
          <w:rFonts w:ascii="Times New Roman" w:hAnsi="Times New Roman"/>
          <w:bCs/>
        </w:rPr>
        <w:t xml:space="preserve"> </w:t>
      </w:r>
      <w:r>
        <w:rPr>
          <w:rFonts w:ascii="宋体" w:hAnsi="宋体"/>
          <w:bCs/>
        </w:rPr>
        <w:t>检查支撑对象即桁架预制板经过安装后的连接情况，确认其已与主体结构形成稳</w:t>
      </w:r>
      <w:r>
        <w:rPr>
          <w:rFonts w:ascii="Times New Roman" w:hAnsi="Times New Roman"/>
          <w:bCs/>
        </w:rPr>
        <w:t xml:space="preserve"> </w:t>
      </w:r>
      <w:r>
        <w:rPr>
          <w:rFonts w:ascii="宋体" w:hAnsi="宋体"/>
          <w:bCs/>
        </w:rPr>
        <w:t>定的受力体系后，方可拆除临时支撑架体。</w:t>
      </w:r>
    </w:p>
    <w:p>
      <w:pPr>
        <w:adjustRightInd/>
        <w:spacing w:line="240" w:lineRule="auto"/>
        <w:rPr>
          <w:rFonts w:ascii="Times New Roman" w:hAnsi="Times New Roman"/>
          <w:bCs/>
        </w:rPr>
      </w:pPr>
      <w:r>
        <w:rPr>
          <w:rFonts w:ascii="Times New Roman" w:hAnsi="Times New Roman"/>
          <w:b/>
        </w:rPr>
        <w:t>8.4.8</w:t>
      </w:r>
      <w:r>
        <w:rPr>
          <w:rFonts w:ascii="Times New Roman" w:hAnsi="Times New Roman"/>
          <w:bCs/>
        </w:rPr>
        <w:t xml:space="preserve"> </w:t>
      </w:r>
      <w:r>
        <w:rPr>
          <w:rFonts w:ascii="宋体" w:hAnsi="宋体"/>
          <w:bCs/>
        </w:rPr>
        <w:t>当密拼式接缝构造采用本规程第</w:t>
      </w:r>
      <w:r>
        <w:rPr>
          <w:rFonts w:ascii="Times New Roman" w:hAnsi="Times New Roman"/>
          <w:bCs/>
        </w:rPr>
        <w:t xml:space="preserve"> 6.3.7 </w:t>
      </w:r>
      <w:r>
        <w:rPr>
          <w:rFonts w:ascii="宋体" w:hAnsi="宋体"/>
          <w:bCs/>
        </w:rPr>
        <w:t>条第</w:t>
      </w:r>
      <w:r>
        <w:rPr>
          <w:rFonts w:hint="eastAsia" w:ascii="Times New Roman" w:hAnsi="Times New Roman"/>
          <w:bCs/>
        </w:rPr>
        <w:t>a</w:t>
      </w:r>
      <w:r>
        <w:rPr>
          <w:rFonts w:hint="eastAsia" w:ascii="宋体" w:hAnsi="宋体"/>
          <w:bCs/>
        </w:rPr>
        <w:t>）</w:t>
      </w:r>
      <w:r>
        <w:rPr>
          <w:rFonts w:ascii="宋体" w:hAnsi="宋体"/>
          <w:bCs/>
        </w:rPr>
        <w:t>款规定的两道连续斜坡做法时，接缝处侧面倾斜面高度范围内嵌缝宜一次性施工完毕，再进行接缝处底面倒角高度范围内嵌缝施工。</w:t>
      </w:r>
    </w:p>
    <w:p>
      <w:pPr>
        <w:adjustRightInd/>
        <w:spacing w:before="312" w:beforeLines="100" w:after="312" w:afterLines="100" w:line="240" w:lineRule="auto"/>
        <w:outlineLvl w:val="1"/>
        <w:rPr>
          <w:rFonts w:ascii="Times New Roman" w:hAnsi="Times New Roman"/>
          <w:b/>
          <w:color w:val="000000"/>
        </w:rPr>
      </w:pPr>
      <w:r>
        <w:rPr>
          <w:rFonts w:ascii="Times New Roman" w:hAnsi="Times New Roman"/>
          <w:b/>
          <w:color w:val="000000"/>
        </w:rPr>
        <w:t xml:space="preserve">8.5  </w:t>
      </w:r>
      <w:r>
        <w:rPr>
          <w:rFonts w:hint="eastAsia" w:ascii="黑体" w:hAnsi="黑体" w:eastAsia="黑体"/>
          <w:color w:val="000000"/>
        </w:rPr>
        <w:t>质量验收</w:t>
      </w:r>
    </w:p>
    <w:p>
      <w:pPr>
        <w:snapToGrid w:val="0"/>
        <w:spacing w:line="240" w:lineRule="auto"/>
        <w:rPr>
          <w:rFonts w:ascii="Times New Roman" w:hAnsi="Times New Roman"/>
          <w:bCs/>
          <w:color w:val="000000"/>
        </w:rPr>
      </w:pPr>
      <w:r>
        <w:rPr>
          <w:rFonts w:ascii="Times New Roman" w:hAnsi="Times New Roman"/>
          <w:bCs/>
          <w:color w:val="000000"/>
        </w:rPr>
        <w:t>8.5.1</w:t>
      </w:r>
      <w:r>
        <w:rPr>
          <w:rFonts w:hint="eastAsia" w:ascii="Times New Roman" w:hAnsi="Times New Roman"/>
          <w:bCs/>
          <w:color w:val="000000"/>
        </w:rPr>
        <w:t xml:space="preserve"> </w:t>
      </w:r>
      <w:r>
        <w:rPr>
          <w:rFonts w:ascii="宋体" w:hAnsi="宋体"/>
          <w:bCs/>
          <w:color w:val="000000"/>
        </w:rPr>
        <w:t>一般规定</w:t>
      </w:r>
    </w:p>
    <w:p>
      <w:pPr>
        <w:snapToGrid w:val="0"/>
        <w:spacing w:line="240" w:lineRule="auto"/>
        <w:rPr>
          <w:rFonts w:ascii="宋体" w:hAnsi="宋体"/>
        </w:rPr>
      </w:pPr>
      <w:r>
        <w:rPr>
          <w:rFonts w:ascii="Times New Roman" w:hAnsi="Times New Roman"/>
          <w:bCs/>
          <w:color w:val="000000"/>
        </w:rPr>
        <w:t>8.5.1</w:t>
      </w:r>
      <w:r>
        <w:rPr>
          <w:rFonts w:hint="eastAsia" w:ascii="Times New Roman" w:hAnsi="Times New Roman"/>
          <w:bCs/>
          <w:color w:val="000000"/>
        </w:rPr>
        <w:t>.1</w:t>
      </w:r>
      <w:r>
        <w:rPr>
          <w:rFonts w:hint="eastAsia" w:ascii="宋体" w:hAnsi="宋体"/>
          <w:color w:val="000000"/>
        </w:rPr>
        <w:t xml:space="preserve">按照现行国家标准《混凝土结构工程施工质量验收规范》 </w:t>
      </w:r>
      <w:r>
        <w:rPr>
          <w:rFonts w:ascii="Times New Roman" w:hAnsi="Times New Roman"/>
          <w:color w:val="000000"/>
        </w:rPr>
        <w:t>GB 50204</w:t>
      </w:r>
      <w:r>
        <w:rPr>
          <w:rFonts w:hint="eastAsia" w:ascii="宋体" w:hAnsi="宋体"/>
          <w:color w:val="000000"/>
        </w:rPr>
        <w:t>，钢筋桁架混凝土叠合板施工包含模板分项工程、钢筋分项工程、混凝土分项工程、现浇结构分项工程和装配式结构分项工程。其中，模板分项工程包括模板、支架、临时支撑等内容；钢筋分项工程包括板面钢筋、附加钢筋等内容；混凝土分项工程包括后浇混凝土、养护等内容；现浇结构分项工程包括现浇混凝土部分的外观质量、尺寸偏差等内容；装配式结构分项工程包括桁架预制板、吊装、连接等内容。这些内容共同构成混凝土结构子分部工程中钢筋桁架混凝土叠合板施工的验收内容。</w:t>
      </w:r>
      <w:r>
        <w:rPr>
          <w:rFonts w:hint="eastAsia" w:ascii="宋体" w:hAnsi="宋体"/>
        </w:rPr>
        <w:t xml:space="preserve"> </w:t>
      </w:r>
    </w:p>
    <w:p>
      <w:pPr>
        <w:snapToGrid w:val="0"/>
        <w:spacing w:line="240" w:lineRule="auto"/>
        <w:rPr>
          <w:rFonts w:ascii="宋体" w:hAnsi="宋体"/>
          <w:color w:val="000000"/>
        </w:rPr>
      </w:pPr>
      <w:r>
        <w:rPr>
          <w:rFonts w:ascii="Times New Roman" w:hAnsi="Times New Roman"/>
          <w:bCs/>
          <w:color w:val="000000"/>
        </w:rPr>
        <w:t>8.5.1</w:t>
      </w:r>
      <w:r>
        <w:rPr>
          <w:rFonts w:hint="eastAsia" w:ascii="Times New Roman" w:hAnsi="Times New Roman"/>
          <w:bCs/>
          <w:color w:val="000000"/>
        </w:rPr>
        <w:t>.</w:t>
      </w:r>
      <w:r>
        <w:rPr>
          <w:rFonts w:ascii="Times New Roman" w:hAnsi="Times New Roman"/>
          <w:bCs/>
          <w:color w:val="000000"/>
        </w:rPr>
        <w:t>2</w:t>
      </w:r>
      <w:r>
        <w:rPr>
          <w:rFonts w:hint="eastAsia" w:ascii="宋体" w:hAnsi="宋体"/>
          <w:color w:val="000000"/>
        </w:rPr>
        <w:t>本条原材料包括钢筋、混凝土、嵌缝砂浆等。嵌缝用聚合物改性水泥砂浆的物理力学性能应符合本规程第</w:t>
      </w:r>
      <w:r>
        <w:rPr>
          <w:rFonts w:ascii="Times New Roman" w:hAnsi="Times New Roman"/>
          <w:color w:val="000000"/>
        </w:rPr>
        <w:t>5.4.1</w:t>
      </w:r>
      <w:r>
        <w:rPr>
          <w:rFonts w:hint="eastAsia" w:ascii="宋体" w:hAnsi="宋体"/>
          <w:color w:val="000000"/>
        </w:rPr>
        <w:t>条的规定。</w:t>
      </w:r>
    </w:p>
    <w:p>
      <w:pPr>
        <w:snapToGrid w:val="0"/>
        <w:spacing w:line="240" w:lineRule="auto"/>
        <w:rPr>
          <w:rFonts w:ascii="宋体" w:hAnsi="宋体"/>
        </w:rPr>
      </w:pPr>
      <w:r>
        <w:rPr>
          <w:rFonts w:ascii="Times New Roman" w:hAnsi="Times New Roman"/>
          <w:bCs/>
          <w:color w:val="000000"/>
        </w:rPr>
        <w:t>8.5.1</w:t>
      </w:r>
      <w:r>
        <w:rPr>
          <w:rFonts w:hint="eastAsia" w:ascii="Times New Roman" w:hAnsi="Times New Roman"/>
          <w:bCs/>
          <w:color w:val="000000"/>
        </w:rPr>
        <w:t>.</w:t>
      </w:r>
      <w:r>
        <w:rPr>
          <w:rFonts w:ascii="Times New Roman" w:hAnsi="Times New Roman"/>
          <w:bCs/>
          <w:color w:val="000000"/>
        </w:rPr>
        <w:t>3</w:t>
      </w:r>
      <w:r>
        <w:rPr>
          <w:rFonts w:hint="eastAsia" w:ascii="宋体" w:hAnsi="宋体"/>
          <w:color w:val="000000"/>
        </w:rPr>
        <w:t xml:space="preserve">本条规定根据现行国家标准《装配式混凝土建筑技术标准》 </w:t>
      </w:r>
      <w:r>
        <w:rPr>
          <w:rFonts w:ascii="Times New Roman" w:hAnsi="Times New Roman"/>
          <w:color w:val="000000"/>
        </w:rPr>
        <w:t xml:space="preserve">GB/T 51231 </w:t>
      </w:r>
      <w:r>
        <w:rPr>
          <w:rFonts w:hint="eastAsia" w:ascii="宋体" w:hAnsi="宋体"/>
          <w:color w:val="000000"/>
        </w:rPr>
        <w:t>第</w:t>
      </w:r>
      <w:r>
        <w:rPr>
          <w:rFonts w:ascii="Times New Roman" w:hAnsi="Times New Roman"/>
          <w:color w:val="000000"/>
        </w:rPr>
        <w:t xml:space="preserve">11.1.5 </w:t>
      </w:r>
      <w:r>
        <w:rPr>
          <w:rFonts w:hint="eastAsia" w:ascii="宋体" w:hAnsi="宋体"/>
          <w:color w:val="000000"/>
        </w:rPr>
        <w:t>条修改而成。隐蔽工程反映粗糙面、钢筋安装、预留预埋等方面的综合质量。在浇筑混凝土之前进行隐蔽工程验收是为了保证叠合板性能满足设计要求。对已铺设好的钢筋应进行成品保护，不应在钢筋上行走或踩踏，不应随意扳动、切断钢筋桁架。</w:t>
      </w:r>
      <w:r>
        <w:rPr>
          <w:rFonts w:hint="eastAsia" w:ascii="宋体" w:hAnsi="宋体"/>
        </w:rPr>
        <w:t xml:space="preserve"> </w:t>
      </w:r>
    </w:p>
    <w:p>
      <w:pPr>
        <w:snapToGrid w:val="0"/>
        <w:spacing w:line="240" w:lineRule="auto"/>
        <w:jc w:val="left"/>
        <w:rPr>
          <w:rFonts w:ascii="Times New Roman" w:hAnsi="Times New Roman"/>
          <w:b/>
          <w:color w:val="000000"/>
        </w:rPr>
      </w:pPr>
      <w:r>
        <w:rPr>
          <w:rFonts w:ascii="Times New Roman" w:hAnsi="Times New Roman"/>
          <w:bCs/>
          <w:color w:val="000000"/>
        </w:rPr>
        <w:t>8.5.</w:t>
      </w:r>
      <w:r>
        <w:rPr>
          <w:rFonts w:hint="eastAsia" w:ascii="Times New Roman" w:hAnsi="Times New Roman"/>
          <w:bCs/>
          <w:color w:val="000000"/>
        </w:rPr>
        <w:t>2</w:t>
      </w:r>
      <w:r>
        <w:rPr>
          <w:rFonts w:ascii="Times New Roman" w:hAnsi="Times New Roman"/>
          <w:bCs/>
          <w:color w:val="000000"/>
        </w:rPr>
        <w:t xml:space="preserve"> </w:t>
      </w:r>
      <w:r>
        <w:rPr>
          <w:rFonts w:ascii="宋体" w:hAnsi="宋体"/>
          <w:bCs/>
          <w:color w:val="000000"/>
        </w:rPr>
        <w:t>主控项目</w:t>
      </w:r>
    </w:p>
    <w:p>
      <w:pPr>
        <w:snapToGrid w:val="0"/>
        <w:spacing w:line="240" w:lineRule="auto"/>
        <w:rPr>
          <w:rFonts w:ascii="宋体" w:hAnsi="宋体"/>
        </w:rPr>
      </w:pPr>
      <w:r>
        <w:rPr>
          <w:rFonts w:ascii="Times New Roman" w:hAnsi="Times New Roman"/>
          <w:bCs/>
          <w:color w:val="000000"/>
        </w:rPr>
        <w:t>8.5.</w:t>
      </w:r>
      <w:r>
        <w:rPr>
          <w:rFonts w:hint="eastAsia" w:ascii="Times New Roman" w:hAnsi="Times New Roman"/>
          <w:bCs/>
          <w:color w:val="000000"/>
        </w:rPr>
        <w:t>2.1</w:t>
      </w:r>
      <w:r>
        <w:rPr>
          <w:rFonts w:ascii="Times New Roman" w:hAnsi="Times New Roman"/>
          <w:b/>
          <w:color w:val="000000"/>
        </w:rPr>
        <w:t xml:space="preserve"> </w:t>
      </w:r>
      <w:r>
        <w:rPr>
          <w:rFonts w:hint="eastAsia" w:ascii="宋体" w:hAnsi="宋体"/>
          <w:color w:val="000000"/>
        </w:rPr>
        <w:t>根据本规程第</w:t>
      </w:r>
      <w:r>
        <w:rPr>
          <w:rFonts w:ascii="Times New Roman" w:hAnsi="Times New Roman"/>
          <w:color w:val="000000"/>
        </w:rPr>
        <w:t xml:space="preserve">7.5.9 </w:t>
      </w:r>
      <w:r>
        <w:rPr>
          <w:rFonts w:hint="eastAsia" w:ascii="宋体" w:hAnsi="宋体"/>
          <w:color w:val="000000"/>
        </w:rPr>
        <w:t xml:space="preserve">条规定，桁架预制板的质量证明文件应包括出厂合格证、钢筋和钢筋桁架检验报告、混凝土强度检验报告、合同要求的其他质量证明文件。根据现行国家标准《装配式混凝土建筑技术标准》 </w:t>
      </w:r>
      <w:r>
        <w:rPr>
          <w:rFonts w:ascii="Times New Roman" w:hAnsi="Times New Roman"/>
          <w:color w:val="000000"/>
        </w:rPr>
        <w:t xml:space="preserve">GB/T 51231 </w:t>
      </w:r>
      <w:r>
        <w:rPr>
          <w:rFonts w:hint="eastAsia" w:ascii="宋体" w:hAnsi="宋体"/>
          <w:color w:val="000000"/>
        </w:rPr>
        <w:t>的有关规定，桁架预制板进场时可不做结构性能检验。</w:t>
      </w:r>
      <w:r>
        <w:rPr>
          <w:rFonts w:hint="eastAsia" w:ascii="宋体" w:hAnsi="宋体"/>
        </w:rPr>
        <w:t xml:space="preserve"> </w:t>
      </w: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adjustRightInd/>
        <w:spacing w:before="312" w:beforeLines="100" w:after="312" w:afterLines="100" w:line="240" w:lineRule="auto"/>
        <w:jc w:val="center"/>
        <w:outlineLvl w:val="0"/>
        <w:rPr>
          <w:rFonts w:ascii="Times New Roman" w:hAnsi="Times New Roman" w:eastAsia="黑体"/>
          <w:color w:val="000000"/>
        </w:rPr>
      </w:pPr>
      <w:bookmarkStart w:id="159" w:name="_Toc19976"/>
      <w:r>
        <w:rPr>
          <w:rFonts w:ascii="黑体" w:hAnsi="黑体" w:eastAsia="黑体"/>
          <w:color w:val="000000"/>
        </w:rPr>
        <w:t>附录</w:t>
      </w:r>
      <w:r>
        <w:rPr>
          <w:rFonts w:ascii="Times New Roman" w:hAnsi="Times New Roman" w:eastAsia="黑体"/>
          <w:color w:val="000000"/>
        </w:rPr>
        <w:t xml:space="preserve">A  </w:t>
      </w:r>
      <w:r>
        <w:rPr>
          <w:rFonts w:ascii="黑体" w:hAnsi="黑体" w:eastAsia="黑体"/>
          <w:color w:val="000000"/>
        </w:rPr>
        <w:t>钢筋桁架质量检验方法</w:t>
      </w:r>
      <w:bookmarkEnd w:id="159"/>
    </w:p>
    <w:p>
      <w:pPr>
        <w:snapToGrid w:val="0"/>
        <w:spacing w:line="240" w:lineRule="auto"/>
        <w:rPr>
          <w:rFonts w:ascii="Times New Roman" w:hAnsi="Times New Roman"/>
        </w:rPr>
      </w:pPr>
      <w:r>
        <w:rPr>
          <w:rFonts w:ascii="Times New Roman" w:hAnsi="Times New Roman"/>
          <w:b/>
          <w:bCs/>
          <w:color w:val="000000"/>
        </w:rPr>
        <w:t>A.0.1</w:t>
      </w:r>
      <w:r>
        <w:rPr>
          <w:rFonts w:ascii="宋体" w:hAnsi="宋体"/>
          <w:color w:val="000000"/>
        </w:rPr>
        <w:t>钢筋</w:t>
      </w:r>
      <w:r>
        <w:rPr>
          <w:rFonts w:ascii="宋体" w:hAnsi="宋体"/>
        </w:rPr>
        <w:t>桁架对桁架预制板和桁架叠合板的性能非常重要，对其原材钢筋质量</w:t>
      </w:r>
      <w:r>
        <w:rPr>
          <w:rFonts w:ascii="Times New Roman" w:hAnsi="Times New Roman"/>
        </w:rPr>
        <w:t xml:space="preserve"> </w:t>
      </w:r>
      <w:r>
        <w:rPr>
          <w:rFonts w:ascii="宋体" w:hAnsi="宋体"/>
        </w:rPr>
        <w:t>需严格要求。本条依据国家现行标准《混凝土结构工程施工质量验收规范》</w:t>
      </w:r>
      <w:r>
        <w:rPr>
          <w:rFonts w:ascii="Times New Roman" w:hAnsi="Times New Roman"/>
        </w:rPr>
        <w:t xml:space="preserve">GB 50204 </w:t>
      </w:r>
      <w:r>
        <w:rPr>
          <w:rFonts w:ascii="宋体" w:hAnsi="宋体"/>
        </w:rPr>
        <w:t>和《混凝土结构成型钢筋应用技术规程》</w:t>
      </w:r>
      <w:r>
        <w:rPr>
          <w:rFonts w:ascii="Times New Roman" w:hAnsi="Times New Roman"/>
        </w:rPr>
        <w:t xml:space="preserve">JGJ 366 </w:t>
      </w:r>
      <w:r>
        <w:rPr>
          <w:rFonts w:ascii="宋体" w:hAnsi="宋体"/>
        </w:rPr>
        <w:t>的有关规定制定。质量 证明文件包括产品合格证和出厂检验报告，有时两者可以合并。钢筋桁架原材钢 筋进场检验可扩大检验批容量的条件，可根据国家现行标准《混凝土结构工程施 工质量验收规范》</w:t>
      </w:r>
      <w:r>
        <w:rPr>
          <w:rFonts w:ascii="Times New Roman" w:hAnsi="Times New Roman"/>
        </w:rPr>
        <w:t xml:space="preserve">GB 50204 </w:t>
      </w:r>
      <w:r>
        <w:rPr>
          <w:rFonts w:ascii="宋体" w:hAnsi="宋体"/>
        </w:rPr>
        <w:t>和《混凝土结构成型钢筋应用技术规程》</w:t>
      </w:r>
      <w:r>
        <w:rPr>
          <w:rFonts w:ascii="Times New Roman" w:hAnsi="Times New Roman"/>
        </w:rPr>
        <w:t xml:space="preserve">JGJ 366 </w:t>
      </w:r>
      <w:r>
        <w:rPr>
          <w:rFonts w:ascii="宋体" w:hAnsi="宋体"/>
        </w:rPr>
        <w:t>的 有关规定执行。</w:t>
      </w:r>
    </w:p>
    <w:p>
      <w:pPr>
        <w:snapToGrid w:val="0"/>
        <w:spacing w:line="240" w:lineRule="auto"/>
        <w:rPr>
          <w:rFonts w:ascii="宋体" w:hAnsi="宋体"/>
        </w:rPr>
      </w:pPr>
      <w:r>
        <w:rPr>
          <w:rFonts w:ascii="Times New Roman" w:hAnsi="Times New Roman"/>
          <w:b/>
          <w:bCs/>
        </w:rPr>
        <w:t>A.0.2~A.0.4</w:t>
      </w:r>
      <w:r>
        <w:rPr>
          <w:rFonts w:ascii="Times New Roman" w:hAnsi="Times New Roman"/>
        </w:rPr>
        <w:t xml:space="preserve"> </w:t>
      </w:r>
      <w:r>
        <w:rPr>
          <w:rFonts w:ascii="宋体" w:hAnsi="宋体"/>
        </w:rPr>
        <w:t>参考国家现行标准《混凝土结构用成型钢筋制品》</w:t>
      </w:r>
      <w:r>
        <w:rPr>
          <w:rFonts w:ascii="Times New Roman" w:hAnsi="Times New Roman"/>
        </w:rPr>
        <w:t>GB/T 29733</w:t>
      </w:r>
      <w:r>
        <w:rPr>
          <w:rFonts w:ascii="宋体" w:hAnsi="宋体"/>
        </w:rPr>
        <w:t>、《混 凝土结构成型钢筋应用技术规程》</w:t>
      </w:r>
      <w:r>
        <w:rPr>
          <w:rFonts w:ascii="Times New Roman" w:hAnsi="Times New Roman"/>
        </w:rPr>
        <w:t>JGJ 366</w:t>
      </w:r>
      <w:r>
        <w:rPr>
          <w:rFonts w:ascii="宋体" w:hAnsi="宋体"/>
        </w:rPr>
        <w:t>、《钢筋混凝土用钢筋桁架》</w:t>
      </w:r>
      <w:r>
        <w:rPr>
          <w:rFonts w:ascii="Times New Roman" w:hAnsi="Times New Roman"/>
        </w:rPr>
        <w:t>YB/T 4262</w:t>
      </w:r>
      <w:r>
        <w:rPr>
          <w:rFonts w:ascii="宋体" w:hAnsi="宋体"/>
        </w:rPr>
        <w:t>有关规定，制定钢筋桁架的加工质量检验项目及要求。结合目前技术和应用上较为成熟的容栅传感测距技术，增加了数显卷尺用于钢筋桁架尺寸检测。使用容栅类数字检测仪器进行检测时，如数显卷尺、数显卡尺和数显塞尺，操作方式与传统设备相同，可以提升检测效率和检测结果的准确性。</w:t>
      </w: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snapToGrid w:val="0"/>
        <w:spacing w:line="240" w:lineRule="auto"/>
        <w:rPr>
          <w:rFonts w:ascii="宋体" w:hAnsi="宋体"/>
        </w:rPr>
      </w:pPr>
    </w:p>
    <w:p>
      <w:pPr>
        <w:adjustRightInd/>
        <w:spacing w:before="312" w:beforeLines="100" w:after="312" w:afterLines="100" w:line="240" w:lineRule="auto"/>
        <w:jc w:val="center"/>
        <w:outlineLvl w:val="0"/>
        <w:rPr>
          <w:rFonts w:ascii="Times New Roman" w:hAnsi="Times New Roman" w:eastAsia="黑体"/>
          <w:color w:val="000000"/>
        </w:rPr>
      </w:pPr>
      <w:bookmarkStart w:id="160" w:name="_Toc8066928"/>
      <w:bookmarkEnd w:id="160"/>
      <w:bookmarkStart w:id="161" w:name="_Toc11230"/>
      <w:r>
        <w:rPr>
          <w:rFonts w:ascii="黑体" w:hAnsi="黑体" w:eastAsia="黑体"/>
          <w:color w:val="000000"/>
        </w:rPr>
        <w:t>附录</w:t>
      </w:r>
      <w:r>
        <w:rPr>
          <w:rFonts w:ascii="Times New Roman" w:hAnsi="Times New Roman" w:eastAsia="黑体"/>
          <w:color w:val="000000"/>
        </w:rPr>
        <w:t xml:space="preserve">B  </w:t>
      </w:r>
      <w:r>
        <w:rPr>
          <w:rFonts w:ascii="黑体" w:hAnsi="黑体" w:eastAsia="黑体"/>
          <w:color w:val="000000"/>
        </w:rPr>
        <w:t>钢筋桁架力学性能试件及测试方法</w:t>
      </w:r>
      <w:bookmarkEnd w:id="161"/>
    </w:p>
    <w:p>
      <w:pPr>
        <w:snapToGrid w:val="0"/>
        <w:spacing w:line="240" w:lineRule="auto"/>
        <w:rPr>
          <w:rFonts w:ascii="Times New Roman" w:hAnsi="Times New Roman"/>
          <w:color w:val="000000"/>
        </w:rPr>
      </w:pPr>
      <w:r>
        <w:rPr>
          <w:rFonts w:hint="eastAsia" w:ascii="Times New Roman" w:hAnsi="Times New Roman"/>
          <w:b/>
          <w:bCs/>
          <w:color w:val="000000"/>
        </w:rPr>
        <w:t>B</w:t>
      </w:r>
      <w:r>
        <w:rPr>
          <w:rFonts w:ascii="Times New Roman" w:hAnsi="Times New Roman"/>
          <w:b/>
          <w:bCs/>
          <w:color w:val="000000"/>
        </w:rPr>
        <w:t>.0.</w:t>
      </w:r>
      <w:r>
        <w:rPr>
          <w:rFonts w:hint="eastAsia" w:ascii="Times New Roman" w:hAnsi="Times New Roman"/>
          <w:b/>
          <w:bCs/>
          <w:color w:val="000000"/>
        </w:rPr>
        <w:t>1</w:t>
      </w:r>
      <w:r>
        <w:rPr>
          <w:rFonts w:ascii="Times New Roman" w:hAnsi="Times New Roman"/>
          <w:b/>
          <w:bCs/>
          <w:color w:val="000000"/>
        </w:rPr>
        <w:t>~</w:t>
      </w:r>
      <w:r>
        <w:rPr>
          <w:rFonts w:hint="eastAsia" w:ascii="Times New Roman" w:hAnsi="Times New Roman"/>
          <w:b/>
          <w:bCs/>
          <w:color w:val="000000"/>
        </w:rPr>
        <w:t>B</w:t>
      </w:r>
      <w:r>
        <w:rPr>
          <w:rFonts w:ascii="Times New Roman" w:hAnsi="Times New Roman"/>
          <w:b/>
          <w:bCs/>
          <w:color w:val="000000"/>
        </w:rPr>
        <w:t>.0.</w:t>
      </w:r>
      <w:r>
        <w:rPr>
          <w:rFonts w:hint="eastAsia" w:ascii="Times New Roman" w:hAnsi="Times New Roman"/>
          <w:b/>
          <w:bCs/>
          <w:color w:val="000000"/>
        </w:rPr>
        <w:t>4</w:t>
      </w:r>
      <w:r>
        <w:rPr>
          <w:rFonts w:ascii="宋体" w:hAnsi="宋体"/>
          <w:color w:val="000000"/>
        </w:rPr>
        <w:t>钢筋桁架用钢筋的力学与工艺性能是保障钢筋桁架充分发挥其作用的重要因素，应分别符合相应标准。钢筋桁架上、下弦钢筋试样，焊接抗剪试验应从成品钢筋桁架上截取。</w:t>
      </w:r>
    </w:p>
    <w:p>
      <w:pPr>
        <w:snapToGrid w:val="0"/>
        <w:spacing w:line="240" w:lineRule="auto"/>
        <w:ind w:firstLine="420" w:firstLineChars="200"/>
        <w:rPr>
          <w:rFonts w:ascii="宋体" w:hAnsi="宋体"/>
        </w:rPr>
      </w:pPr>
      <w:r>
        <w:rPr>
          <w:rFonts w:hint="eastAsia" w:ascii="宋体" w:hAnsi="宋体"/>
          <w:color w:val="000000"/>
        </w:rPr>
        <w:t xml:space="preserve">本规程参考行业标准《钢筋混凝土用钢筋桁架》 </w:t>
      </w:r>
      <w:r>
        <w:rPr>
          <w:rFonts w:ascii="Times New Roman" w:hAnsi="Times New Roman"/>
          <w:color w:val="000000"/>
        </w:rPr>
        <w:t>YB/T 4262–2011</w:t>
      </w:r>
      <w:r>
        <w:rPr>
          <w:rFonts w:hint="eastAsia" w:ascii="宋体" w:hAnsi="宋体"/>
          <w:color w:val="000000"/>
        </w:rPr>
        <w:t>， 制定了钢筋桁架力学性能试件及测试方法要求。焊点的受剪承载力试验中，固定上（下）弦钢筋时，其支点间距离应尽可能小，防止试验时产生过大的弯曲变形或发生转动。</w:t>
      </w:r>
      <w:r>
        <w:rPr>
          <w:rFonts w:hint="eastAsia" w:ascii="宋体" w:hAnsi="宋体"/>
        </w:rPr>
        <w:t xml:space="preserve"> </w:t>
      </w: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snapToGrid w:val="0"/>
        <w:spacing w:line="240" w:lineRule="auto"/>
        <w:ind w:firstLine="420" w:firstLineChars="200"/>
        <w:rPr>
          <w:rFonts w:ascii="宋体" w:hAnsi="宋体"/>
        </w:rPr>
      </w:pPr>
    </w:p>
    <w:p>
      <w:pPr>
        <w:adjustRightInd/>
        <w:spacing w:before="312" w:beforeLines="100" w:after="312" w:afterLines="100" w:line="240" w:lineRule="auto"/>
        <w:jc w:val="center"/>
        <w:outlineLvl w:val="0"/>
        <w:rPr>
          <w:rFonts w:ascii="Times New Roman" w:hAnsi="Times New Roman" w:eastAsia="黑体"/>
          <w:bCs/>
          <w:color w:val="000000"/>
        </w:rPr>
      </w:pPr>
      <w:bookmarkStart w:id="162" w:name="_Toc2542"/>
      <w:r>
        <w:rPr>
          <w:rFonts w:ascii="黑体" w:hAnsi="黑体" w:eastAsia="黑体"/>
          <w:color w:val="000000"/>
        </w:rPr>
        <w:t>附录</w:t>
      </w:r>
      <w:r>
        <w:rPr>
          <w:rFonts w:ascii="Times New Roman" w:hAnsi="Times New Roman" w:eastAsia="黑体"/>
          <w:color w:val="000000"/>
        </w:rPr>
        <w:t xml:space="preserve">C  </w:t>
      </w:r>
      <w:r>
        <w:rPr>
          <w:rFonts w:ascii="黑体" w:hAnsi="黑体" w:eastAsia="黑体"/>
          <w:color w:val="000000"/>
        </w:rPr>
        <w:t>桁架预制板短暂工况验算</w:t>
      </w:r>
      <w:bookmarkEnd w:id="162"/>
    </w:p>
    <w:p>
      <w:pPr>
        <w:snapToGrid w:val="0"/>
        <w:spacing w:line="240" w:lineRule="auto"/>
        <w:rPr>
          <w:rFonts w:ascii="宋体" w:hAnsi="宋体"/>
          <w:color w:val="000000"/>
        </w:rPr>
      </w:pPr>
      <w:r>
        <w:rPr>
          <w:rFonts w:hint="eastAsia" w:ascii="Times New Roman" w:hAnsi="Times New Roman"/>
          <w:b/>
          <w:color w:val="000000"/>
        </w:rPr>
        <w:t>C</w:t>
      </w:r>
      <w:r>
        <w:rPr>
          <w:rFonts w:ascii="Times New Roman" w:hAnsi="Times New Roman"/>
          <w:b/>
          <w:color w:val="000000"/>
        </w:rPr>
        <w:t xml:space="preserve">.0.1 </w:t>
      </w:r>
      <w:r>
        <w:rPr>
          <w:rFonts w:hint="eastAsia" w:ascii="宋体" w:hAnsi="宋体"/>
          <w:color w:val="000000"/>
        </w:rPr>
        <w:t>本条明确了桁架预制板短暂设计状况包含的工况。</w:t>
      </w:r>
    </w:p>
    <w:p>
      <w:pPr>
        <w:snapToGrid w:val="0"/>
        <w:spacing w:line="240" w:lineRule="auto"/>
        <w:rPr>
          <w:rFonts w:ascii="宋体" w:hAnsi="宋体"/>
          <w:color w:val="000000"/>
        </w:rPr>
      </w:pPr>
      <w:r>
        <w:rPr>
          <w:rFonts w:hint="eastAsia" w:ascii="Times New Roman" w:hAnsi="Times New Roman"/>
          <w:b/>
          <w:color w:val="000000"/>
        </w:rPr>
        <w:t>C</w:t>
      </w:r>
      <w:r>
        <w:rPr>
          <w:rFonts w:ascii="Times New Roman" w:hAnsi="Times New Roman"/>
          <w:b/>
          <w:color w:val="000000"/>
        </w:rPr>
        <w:t xml:space="preserve">.0.2 </w:t>
      </w:r>
      <w:r>
        <w:rPr>
          <w:rFonts w:hint="eastAsia" w:ascii="宋体" w:hAnsi="宋体"/>
          <w:color w:val="000000"/>
        </w:rPr>
        <w:t>桁架预制板在后浇叠合层混凝土施工阶段存在活荷载不均匀分布的情况，因此在桁架预制板施工阶段验算时，应考虑荷载效应的最不利组合。</w:t>
      </w:r>
    </w:p>
    <w:p>
      <w:pPr>
        <w:snapToGrid w:val="0"/>
        <w:spacing w:line="240" w:lineRule="auto"/>
        <w:rPr>
          <w:rFonts w:ascii="宋体" w:hAnsi="宋体"/>
          <w:color w:val="000000"/>
        </w:rPr>
      </w:pPr>
      <w:r>
        <w:rPr>
          <w:rFonts w:hint="eastAsia" w:ascii="Times New Roman" w:hAnsi="Times New Roman"/>
          <w:b/>
          <w:color w:val="000000"/>
        </w:rPr>
        <w:t>C</w:t>
      </w:r>
      <w:r>
        <w:rPr>
          <w:rFonts w:ascii="Times New Roman" w:hAnsi="Times New Roman"/>
          <w:b/>
          <w:color w:val="000000"/>
        </w:rPr>
        <w:t xml:space="preserve">.0.3 </w:t>
      </w:r>
      <w:r>
        <w:rPr>
          <w:rFonts w:hint="eastAsia" w:ascii="宋体" w:hAnsi="宋体"/>
          <w:color w:val="000000"/>
        </w:rPr>
        <w:t>本条规定与现行行业标准《装配式混凝土结构技术规程》</w:t>
      </w:r>
      <w:r>
        <w:rPr>
          <w:rFonts w:ascii="Times New Roman" w:hAnsi="Times New Roman"/>
          <w:color w:val="000000"/>
        </w:rPr>
        <w:t>JGJ 1</w:t>
      </w:r>
      <w:r>
        <w:rPr>
          <w:rFonts w:hint="eastAsia" w:ascii="宋体" w:hAnsi="宋体"/>
          <w:color w:val="000000"/>
        </w:rPr>
        <w:t>相同。</w:t>
      </w:r>
    </w:p>
    <w:p>
      <w:pPr>
        <w:snapToGrid w:val="0"/>
        <w:spacing w:line="240" w:lineRule="auto"/>
        <w:rPr>
          <w:rFonts w:ascii="宋体" w:hAnsi="宋体"/>
          <w:color w:val="000000"/>
        </w:rPr>
      </w:pPr>
      <w:r>
        <w:rPr>
          <w:rFonts w:hint="eastAsia" w:ascii="Times New Roman" w:hAnsi="Times New Roman"/>
          <w:b/>
          <w:color w:val="000000"/>
        </w:rPr>
        <w:t>C</w:t>
      </w:r>
      <w:r>
        <w:rPr>
          <w:rFonts w:ascii="Times New Roman" w:hAnsi="Times New Roman"/>
          <w:b/>
          <w:color w:val="000000"/>
        </w:rPr>
        <w:t xml:space="preserve">.0.4 </w:t>
      </w:r>
      <w:r>
        <w:rPr>
          <w:rFonts w:hint="eastAsia" w:ascii="宋体" w:hAnsi="宋体"/>
          <w:color w:val="000000"/>
        </w:rPr>
        <w:t>本条规定与现行国家标准《混凝土结构工程施工规范》</w:t>
      </w:r>
      <w:r>
        <w:rPr>
          <w:rFonts w:ascii="Times New Roman" w:hAnsi="Times New Roman"/>
          <w:color w:val="000000"/>
        </w:rPr>
        <w:t xml:space="preserve">GB 50666 </w:t>
      </w:r>
      <w:r>
        <w:rPr>
          <w:rFonts w:hint="eastAsia" w:ascii="宋体" w:hAnsi="宋体"/>
          <w:color w:val="000000"/>
        </w:rPr>
        <w:t>相同。</w:t>
      </w:r>
    </w:p>
    <w:p>
      <w:pPr>
        <w:snapToGrid w:val="0"/>
        <w:spacing w:line="240" w:lineRule="auto"/>
        <w:rPr>
          <w:rFonts w:ascii="宋体" w:hAnsi="宋体"/>
          <w:color w:val="000000"/>
        </w:rPr>
      </w:pPr>
      <w:r>
        <w:rPr>
          <w:rFonts w:hint="eastAsia" w:ascii="Times New Roman" w:hAnsi="Times New Roman"/>
          <w:b/>
          <w:color w:val="000000"/>
        </w:rPr>
        <w:t>C</w:t>
      </w:r>
      <w:r>
        <w:rPr>
          <w:rFonts w:ascii="Times New Roman" w:hAnsi="Times New Roman"/>
          <w:b/>
          <w:color w:val="000000"/>
        </w:rPr>
        <w:t xml:space="preserve">.0.5 </w:t>
      </w:r>
      <w:r>
        <w:rPr>
          <w:rFonts w:hint="eastAsia" w:ascii="宋体" w:hAnsi="宋体"/>
          <w:color w:val="000000"/>
        </w:rPr>
        <w:t xml:space="preserve">当 </w:t>
      </w:r>
      <w:r>
        <w:rPr>
          <w:rFonts w:ascii="Times New Roman" w:hAnsi="Times New Roman"/>
          <w:color w:val="000000"/>
        </w:rPr>
        <w:t xml:space="preserve">6 </w:t>
      </w:r>
      <w:r>
        <w:rPr>
          <w:rFonts w:hint="eastAsia" w:ascii="宋体" w:hAnsi="宋体"/>
          <w:color w:val="000000"/>
        </w:rPr>
        <w:t>点起吊时，垂直桁架方向板带宽度为吊点所在中心线到板边缘的距离与相邻中心线距离一半之和，或者吊点所在中心线与两侧相邻中心线距离一半之和。</w:t>
      </w:r>
    </w:p>
    <w:p>
      <w:pPr>
        <w:snapToGrid w:val="0"/>
        <w:spacing w:line="240" w:lineRule="auto"/>
        <w:rPr>
          <w:rFonts w:ascii="宋体" w:hAnsi="宋体"/>
          <w:color w:val="000000"/>
        </w:rPr>
      </w:pPr>
      <w:r>
        <w:rPr>
          <w:rFonts w:hint="eastAsia" w:ascii="Times New Roman" w:hAnsi="Times New Roman"/>
          <w:b/>
          <w:color w:val="000000"/>
        </w:rPr>
        <w:t>C</w:t>
      </w:r>
      <w:r>
        <w:rPr>
          <w:rFonts w:ascii="Times New Roman" w:hAnsi="Times New Roman"/>
          <w:b/>
          <w:color w:val="000000"/>
        </w:rPr>
        <w:t xml:space="preserve">.0.6 </w:t>
      </w:r>
      <w:r>
        <w:rPr>
          <w:rFonts w:hint="eastAsia" w:ascii="宋体" w:hAnsi="宋体"/>
          <w:color w:val="000000"/>
        </w:rPr>
        <w:t xml:space="preserve">参考现行国家标准《混凝土结构工程施工规范》 </w:t>
      </w:r>
      <w:r>
        <w:rPr>
          <w:rFonts w:ascii="Times New Roman" w:hAnsi="Times New Roman"/>
          <w:color w:val="000000"/>
        </w:rPr>
        <w:t xml:space="preserve">GB 50666 </w:t>
      </w:r>
      <w:r>
        <w:rPr>
          <w:rFonts w:hint="eastAsia" w:ascii="宋体" w:hAnsi="宋体"/>
          <w:color w:val="000000"/>
        </w:rPr>
        <w:t>对结构表面外露的模板的变形要求限值，规定桁架预制板的挠度限值。</w:t>
      </w:r>
    </w:p>
    <w:p>
      <w:pPr>
        <w:snapToGrid w:val="0"/>
        <w:spacing w:line="240" w:lineRule="auto"/>
        <w:rPr>
          <w:rFonts w:ascii="宋体" w:hAnsi="宋体"/>
          <w:color w:val="000000"/>
        </w:rPr>
      </w:pPr>
      <w:r>
        <w:rPr>
          <w:rFonts w:hint="eastAsia" w:ascii="Times New Roman" w:hAnsi="Times New Roman"/>
          <w:b/>
          <w:color w:val="000000"/>
        </w:rPr>
        <w:t>C</w:t>
      </w:r>
      <w:r>
        <w:rPr>
          <w:rFonts w:ascii="Times New Roman" w:hAnsi="Times New Roman"/>
          <w:b/>
          <w:color w:val="000000"/>
        </w:rPr>
        <w:t xml:space="preserve">.0.7 </w:t>
      </w:r>
      <w:r>
        <w:rPr>
          <w:rFonts w:hint="eastAsia" w:ascii="宋体" w:hAnsi="宋体"/>
          <w:color w:val="000000"/>
        </w:rPr>
        <w:t>桁架预制板在短暂设计状况下的内力和变形，可采用有限元分析法并采用弹性假定计算；本规程也提供了简化计算方法，计算模型中包含钢筋桁架，直接计算钢筋桁架及混凝土板表面的应力，并按照本附录第</w:t>
      </w:r>
      <w:r>
        <w:rPr>
          <w:rFonts w:ascii="Times New Roman" w:hAnsi="Times New Roman"/>
          <w:color w:val="000000"/>
        </w:rPr>
        <w:t>C.0.8~C.0.11</w:t>
      </w:r>
      <w:r>
        <w:rPr>
          <w:rFonts w:hint="eastAsia" w:ascii="宋体" w:hAnsi="宋体"/>
          <w:color w:val="000000"/>
        </w:rPr>
        <w:t>条的要求验算应力是否满足要求；或者忽略钢筋桁架，按照弹性板计算桁架预制板的内力和变形，并按本附录中的要求验算是否满足要求。</w:t>
      </w:r>
    </w:p>
    <w:p>
      <w:pPr>
        <w:snapToGrid w:val="0"/>
        <w:spacing w:line="240" w:lineRule="auto"/>
        <w:rPr>
          <w:rFonts w:ascii="宋体" w:hAnsi="宋体"/>
        </w:rPr>
      </w:pPr>
      <w:r>
        <w:rPr>
          <w:rFonts w:hint="eastAsia" w:ascii="宋体" w:hAnsi="宋体"/>
          <w:color w:val="000000"/>
        </w:rPr>
        <w:t xml:space="preserve">    当采用图</w:t>
      </w:r>
      <w:r>
        <w:rPr>
          <w:rFonts w:hint="eastAsia" w:ascii="Times New Roman" w:hAnsi="Times New Roman"/>
          <w:color w:val="000000"/>
        </w:rPr>
        <w:t>22</w:t>
      </w:r>
      <w:r>
        <w:rPr>
          <w:rFonts w:ascii="Times New Roman" w:hAnsi="Times New Roman"/>
          <w:color w:val="000000"/>
        </w:rPr>
        <w:t>a</w:t>
      </w:r>
      <w:r>
        <w:rPr>
          <w:rFonts w:hint="eastAsia" w:ascii="宋体" w:hAnsi="宋体"/>
          <w:color w:val="000000"/>
        </w:rPr>
        <w:t>中所示</w:t>
      </w:r>
      <w:r>
        <w:rPr>
          <w:rFonts w:ascii="Times New Roman" w:hAnsi="Times New Roman"/>
          <w:color w:val="000000"/>
        </w:rPr>
        <w:t>4</w:t>
      </w:r>
      <w:r>
        <w:rPr>
          <w:rFonts w:hint="eastAsia" w:ascii="宋体" w:hAnsi="宋体"/>
          <w:color w:val="000000"/>
        </w:rPr>
        <w:t>点起吊时，平行桁架方向板带受力简图及内力计算简图见图</w:t>
      </w:r>
      <w:r>
        <w:rPr>
          <w:rFonts w:hint="eastAsia" w:ascii="Times New Roman" w:hAnsi="Times New Roman"/>
          <w:color w:val="000000"/>
        </w:rPr>
        <w:t>22</w:t>
      </w:r>
      <w:r>
        <w:rPr>
          <w:rFonts w:ascii="Times New Roman" w:hAnsi="Times New Roman"/>
          <w:color w:val="000000"/>
        </w:rPr>
        <w:t>b~</w:t>
      </w:r>
      <w:r>
        <w:rPr>
          <w:rFonts w:hint="eastAsia" w:ascii="宋体" w:hAnsi="宋体"/>
          <w:color w:val="000000"/>
        </w:rPr>
        <w:t>图</w:t>
      </w:r>
      <w:r>
        <w:rPr>
          <w:rFonts w:hint="eastAsia" w:ascii="Times New Roman" w:hAnsi="Times New Roman"/>
          <w:color w:val="000000"/>
        </w:rPr>
        <w:t>29</w:t>
      </w:r>
      <w:r>
        <w:rPr>
          <w:rFonts w:ascii="Times New Roman" w:hAnsi="Times New Roman"/>
          <w:color w:val="000000"/>
        </w:rPr>
        <w:t>d</w:t>
      </w:r>
      <w:r>
        <w:rPr>
          <w:rFonts w:hint="eastAsia" w:ascii="宋体" w:hAnsi="宋体"/>
          <w:color w:val="000000"/>
        </w:rPr>
        <w:t>，计算公式见式</w:t>
      </w:r>
      <w:r>
        <w:rPr>
          <w:rFonts w:ascii="Times New Roman" w:hAnsi="Times New Roman"/>
          <w:color w:val="000000"/>
        </w:rPr>
        <w:t>1~</w:t>
      </w:r>
      <w:r>
        <w:rPr>
          <w:rFonts w:hint="eastAsia" w:ascii="宋体" w:hAnsi="宋体"/>
          <w:color w:val="000000"/>
        </w:rPr>
        <w:t>式</w:t>
      </w:r>
      <w:r>
        <w:rPr>
          <w:rFonts w:ascii="Times New Roman" w:hAnsi="Times New Roman"/>
          <w:color w:val="000000"/>
        </w:rPr>
        <w:t>4</w:t>
      </w:r>
      <w:r>
        <w:rPr>
          <w:rFonts w:hint="eastAsia" w:ascii="宋体" w:hAnsi="宋体"/>
          <w:color w:val="000000"/>
        </w:rPr>
        <w:t>。</w:t>
      </w:r>
      <w:r>
        <w:rPr>
          <w:rFonts w:hint="eastAsia" w:ascii="宋体" w:hAnsi="宋体"/>
        </w:rPr>
        <w:t xml:space="preserve"> </w:t>
      </w:r>
    </w:p>
    <w:p>
      <w:pPr>
        <w:snapToGrid w:val="0"/>
        <w:spacing w:line="240" w:lineRule="auto"/>
        <w:rPr>
          <w:rFonts w:ascii="宋体" w:hAnsi="宋体"/>
          <w:sz w:val="24"/>
          <w:szCs w:val="24"/>
        </w:rPr>
      </w:pPr>
      <w:r>
        <w:rPr>
          <w:rFonts w:hint="eastAsia" w:ascii="宋体" w:hAnsi="宋体"/>
          <w:sz w:val="24"/>
          <w:szCs w:val="24"/>
        </w:rPr>
        <w:t xml:space="preserve"> </w:t>
      </w:r>
    </w:p>
    <w:p>
      <w:pPr>
        <w:snapToGrid w:val="0"/>
        <w:spacing w:line="240" w:lineRule="auto"/>
        <w:jc w:val="center"/>
        <w:rPr>
          <w:rFonts w:ascii="Times New Roman" w:hAnsi="Times New Roman"/>
        </w:rPr>
      </w:pPr>
      <w:r>
        <w:rPr>
          <w:rFonts w:ascii="Times New Roman" w:hAnsi="Times New Roman"/>
        </w:rPr>
        <w:drawing>
          <wp:inline distT="0" distB="0" distL="0" distR="0">
            <wp:extent cx="3329940" cy="1984375"/>
            <wp:effectExtent l="0" t="0" r="3810" b="1587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3329940" cy="1984375"/>
                    </a:xfrm>
                    <a:prstGeom prst="rect">
                      <a:avLst/>
                    </a:prstGeom>
                    <a:noFill/>
                    <a:ln>
                      <a:noFill/>
                    </a:ln>
                  </pic:spPr>
                </pic:pic>
              </a:graphicData>
            </a:graphic>
          </wp:inline>
        </w:drawing>
      </w:r>
      <w:r>
        <w:rPr>
          <w:rFonts w:ascii="Times New Roman" w:hAnsi="Times New Roman"/>
        </w:rPr>
        <w:t xml:space="preserve"> </w:t>
      </w:r>
    </w:p>
    <w:p>
      <w:pPr>
        <w:snapToGrid w:val="0"/>
        <w:spacing w:line="240" w:lineRule="auto"/>
        <w:jc w:val="center"/>
        <w:rPr>
          <w:rFonts w:ascii="Times New Roman" w:hAnsi="Times New Roman"/>
        </w:rPr>
      </w:pPr>
      <w:r>
        <w:rPr>
          <w:rFonts w:ascii="Times New Roman" w:hAnsi="Times New Roman"/>
        </w:rPr>
        <w:t xml:space="preserve"> </w:t>
      </w:r>
    </w:p>
    <w:p>
      <w:pPr>
        <w:snapToGrid w:val="0"/>
        <w:spacing w:line="240" w:lineRule="auto"/>
        <w:jc w:val="center"/>
        <w:rPr>
          <w:rFonts w:ascii="Times New Roman" w:hAnsi="Times New Roman"/>
        </w:rPr>
      </w:pPr>
      <w:r>
        <w:rPr>
          <w:rFonts w:ascii="Times New Roman" w:hAnsi="Times New Roman"/>
        </w:rPr>
        <w:drawing>
          <wp:inline distT="0" distB="0" distL="0" distR="0">
            <wp:extent cx="3295015" cy="4045585"/>
            <wp:effectExtent l="0" t="0" r="635" b="1206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3295015" cy="4045585"/>
                    </a:xfrm>
                    <a:prstGeom prst="rect">
                      <a:avLst/>
                    </a:prstGeom>
                    <a:noFill/>
                    <a:ln>
                      <a:noFill/>
                    </a:ln>
                  </pic:spPr>
                </pic:pic>
              </a:graphicData>
            </a:graphic>
          </wp:inline>
        </w:drawing>
      </w:r>
      <w:r>
        <w:rPr>
          <w:rFonts w:ascii="Times New Roman" w:hAnsi="Times New Roman"/>
        </w:rPr>
        <w:t xml:space="preserve"> </w:t>
      </w:r>
    </w:p>
    <w:p>
      <w:pPr>
        <w:snapToGrid w:val="0"/>
        <w:spacing w:line="240" w:lineRule="auto"/>
        <w:jc w:val="center"/>
        <w:rPr>
          <w:rFonts w:ascii="Times New Roman" w:hAnsi="Times New Roman" w:eastAsia="黑体"/>
          <w:bCs/>
        </w:rPr>
      </w:pPr>
      <w:r>
        <w:rPr>
          <w:rFonts w:ascii="黑体" w:hAnsi="黑体" w:eastAsia="黑体"/>
          <w:bCs/>
        </w:rPr>
        <w:t>图</w:t>
      </w:r>
      <w:r>
        <w:rPr>
          <w:rFonts w:hint="eastAsia" w:ascii="Times New Roman" w:hAnsi="Times New Roman" w:eastAsia="黑体"/>
          <w:bCs/>
        </w:rPr>
        <w:t>22</w:t>
      </w:r>
      <w:r>
        <w:rPr>
          <w:rFonts w:ascii="Times New Roman" w:hAnsi="Times New Roman" w:eastAsia="黑体"/>
          <w:bCs/>
        </w:rPr>
        <w:t xml:space="preserve"> </w:t>
      </w:r>
      <w:r>
        <w:rPr>
          <w:rFonts w:ascii="黑体" w:hAnsi="黑体" w:eastAsia="黑体"/>
          <w:bCs/>
        </w:rPr>
        <w:t>采用</w:t>
      </w:r>
      <w:r>
        <w:rPr>
          <w:rFonts w:ascii="Times New Roman" w:hAnsi="Times New Roman" w:eastAsia="黑体"/>
          <w:bCs/>
        </w:rPr>
        <w:t>4</w:t>
      </w:r>
      <w:r>
        <w:rPr>
          <w:rFonts w:ascii="黑体" w:hAnsi="黑体" w:eastAsia="黑体"/>
          <w:bCs/>
        </w:rPr>
        <w:t>点吊装时桁架预制板板带受力及内力简图（平行桁架方向）</w:t>
      </w:r>
    </w:p>
    <w:p>
      <w:pPr>
        <w:snapToGrid w:val="0"/>
        <w:spacing w:line="240" w:lineRule="auto"/>
        <w:jc w:val="right"/>
        <w:rPr>
          <w:rFonts w:ascii="宋体" w:hAnsi="宋体"/>
          <w:color w:val="000000"/>
          <w:sz w:val="24"/>
          <w:szCs w:val="24"/>
        </w:rPr>
      </w:pPr>
      <w:r>
        <w:rPr>
          <w:rFonts w:hint="eastAsia" w:ascii="宋体" w:hAnsi="宋体"/>
          <w:color w:val="000000"/>
          <w:sz w:val="24"/>
          <w:szCs w:val="24"/>
        </w:rPr>
        <w:t xml:space="preserve">                      </w:t>
      </w:r>
      <w:r>
        <w:rPr>
          <w:rFonts w:ascii="Times New Roman" w:hAnsi="Times New Roman"/>
        </w:rPr>
        <w:drawing>
          <wp:inline distT="0" distB="0" distL="0" distR="0">
            <wp:extent cx="802005" cy="396875"/>
            <wp:effectExtent l="0" t="0" r="17145" b="317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802005" cy="396875"/>
                    </a:xfrm>
                    <a:prstGeom prst="rect">
                      <a:avLst/>
                    </a:prstGeom>
                    <a:noFill/>
                    <a:ln>
                      <a:noFill/>
                    </a:ln>
                  </pic:spPr>
                </pic:pic>
              </a:graphicData>
            </a:graphic>
          </wp:inline>
        </w:drawing>
      </w:r>
      <w:r>
        <w:rPr>
          <w:rFonts w:hint="eastAsia" w:ascii="宋体" w:hAnsi="宋体"/>
          <w:color w:val="000000"/>
          <w:sz w:val="24"/>
          <w:szCs w:val="24"/>
        </w:rPr>
        <w:t xml:space="preserve">                          （1）</w:t>
      </w:r>
    </w:p>
    <w:p>
      <w:pPr>
        <w:snapToGrid w:val="0"/>
        <w:spacing w:line="240" w:lineRule="auto"/>
        <w:jc w:val="right"/>
        <w:rPr>
          <w:rFonts w:ascii="宋体" w:hAnsi="宋体"/>
          <w:color w:val="000000"/>
          <w:sz w:val="24"/>
          <w:szCs w:val="24"/>
        </w:rPr>
      </w:pPr>
      <w:r>
        <w:rPr>
          <w:rFonts w:hint="eastAsia" w:ascii="宋体" w:hAnsi="宋体"/>
          <w:color w:val="000000"/>
          <w:sz w:val="24"/>
          <w:szCs w:val="24"/>
        </w:rPr>
        <w:t xml:space="preserve">              </w:t>
      </w:r>
      <w:r>
        <w:rPr>
          <w:rFonts w:ascii="Times New Roman" w:hAnsi="Times New Roman"/>
        </w:rPr>
        <w:drawing>
          <wp:inline distT="0" distB="0" distL="0" distR="0">
            <wp:extent cx="1768475" cy="396875"/>
            <wp:effectExtent l="0" t="0" r="0" b="3175"/>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1768475" cy="396875"/>
                    </a:xfrm>
                    <a:prstGeom prst="rect">
                      <a:avLst/>
                    </a:prstGeom>
                    <a:noFill/>
                    <a:ln>
                      <a:noFill/>
                    </a:ln>
                  </pic:spPr>
                </pic:pic>
              </a:graphicData>
            </a:graphic>
          </wp:inline>
        </w:drawing>
      </w:r>
      <w:r>
        <w:rPr>
          <w:rFonts w:hint="eastAsia" w:ascii="宋体" w:hAnsi="宋体"/>
          <w:color w:val="000000"/>
          <w:sz w:val="24"/>
          <w:szCs w:val="24"/>
        </w:rPr>
        <w:t xml:space="preserve">                     （2）</w:t>
      </w:r>
    </w:p>
    <w:p>
      <w:pPr>
        <w:snapToGrid w:val="0"/>
        <w:spacing w:line="240" w:lineRule="auto"/>
        <w:jc w:val="right"/>
        <w:rPr>
          <w:rFonts w:ascii="宋体" w:hAnsi="宋体"/>
          <w:color w:val="000000"/>
          <w:sz w:val="24"/>
          <w:szCs w:val="24"/>
        </w:rPr>
      </w:pPr>
      <w:r>
        <w:rPr>
          <w:rFonts w:hint="eastAsia" w:ascii="宋体" w:hAnsi="宋体"/>
          <w:color w:val="000000"/>
          <w:sz w:val="24"/>
          <w:szCs w:val="24"/>
        </w:rPr>
        <w:t xml:space="preserve">                      </w:t>
      </w:r>
      <w:r>
        <w:rPr>
          <w:rFonts w:ascii="Times New Roman" w:hAnsi="Times New Roman"/>
        </w:rPr>
        <w:drawing>
          <wp:inline distT="0" distB="0" distL="0" distR="0">
            <wp:extent cx="551815" cy="224155"/>
            <wp:effectExtent l="0" t="0" r="635" b="381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551815" cy="224155"/>
                    </a:xfrm>
                    <a:prstGeom prst="rect">
                      <a:avLst/>
                    </a:prstGeom>
                    <a:noFill/>
                    <a:ln>
                      <a:noFill/>
                    </a:ln>
                  </pic:spPr>
                </pic:pic>
              </a:graphicData>
            </a:graphic>
          </wp:inline>
        </w:drawing>
      </w:r>
      <w:r>
        <w:rPr>
          <w:rFonts w:hint="eastAsia" w:ascii="宋体" w:hAnsi="宋体"/>
          <w:color w:val="000000"/>
          <w:sz w:val="24"/>
          <w:szCs w:val="24"/>
        </w:rPr>
        <w:t xml:space="preserve">                             （3）</w:t>
      </w:r>
    </w:p>
    <w:p>
      <w:pPr>
        <w:snapToGrid w:val="0"/>
        <w:spacing w:line="240" w:lineRule="auto"/>
        <w:jc w:val="right"/>
        <w:rPr>
          <w:rFonts w:ascii="宋体" w:hAnsi="宋体"/>
          <w:color w:val="000000"/>
          <w:sz w:val="24"/>
          <w:szCs w:val="24"/>
        </w:rPr>
      </w:pPr>
      <w:r>
        <w:rPr>
          <w:rFonts w:hint="eastAsia" w:ascii="宋体" w:hAnsi="宋体"/>
          <w:color w:val="000000"/>
          <w:sz w:val="24"/>
          <w:szCs w:val="24"/>
        </w:rPr>
        <w:t xml:space="preserve">                    </w:t>
      </w:r>
      <w:r>
        <w:rPr>
          <w:rFonts w:ascii="Times New Roman" w:hAnsi="Times New Roman"/>
        </w:rPr>
        <w:drawing>
          <wp:inline distT="0" distB="0" distL="0" distR="0">
            <wp:extent cx="1104265" cy="396875"/>
            <wp:effectExtent l="0" t="0" r="0" b="317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1104265" cy="396875"/>
                    </a:xfrm>
                    <a:prstGeom prst="rect">
                      <a:avLst/>
                    </a:prstGeom>
                    <a:noFill/>
                    <a:ln>
                      <a:noFill/>
                    </a:ln>
                  </pic:spPr>
                </pic:pic>
              </a:graphicData>
            </a:graphic>
          </wp:inline>
        </w:drawing>
      </w:r>
      <w:r>
        <w:rPr>
          <w:rFonts w:hint="eastAsia" w:ascii="宋体" w:hAnsi="宋体"/>
          <w:color w:val="000000"/>
          <w:sz w:val="24"/>
          <w:szCs w:val="24"/>
        </w:rPr>
        <w:t xml:space="preserve">                        （4）</w:t>
      </w:r>
    </w:p>
    <w:p>
      <w:pPr>
        <w:snapToGrid w:val="0"/>
        <w:spacing w:line="240" w:lineRule="auto"/>
        <w:ind w:left="479" w:leftChars="228"/>
        <w:jc w:val="left"/>
        <w:rPr>
          <w:rFonts w:ascii="宋体" w:hAnsi="宋体"/>
          <w:color w:val="000000"/>
        </w:rPr>
      </w:pPr>
      <w:r>
        <w:rPr>
          <w:rFonts w:hint="eastAsia" w:ascii="宋体" w:hAnsi="宋体"/>
          <w:color w:val="000000"/>
        </w:rPr>
        <w:t>式中各符号见图</w:t>
      </w:r>
      <w:r>
        <w:rPr>
          <w:rFonts w:ascii="Times New Roman" w:hAnsi="Times New Roman"/>
          <w:color w:val="000000"/>
        </w:rPr>
        <w:t>22</w:t>
      </w:r>
      <w:r>
        <w:rPr>
          <w:rFonts w:hint="eastAsia" w:ascii="宋体" w:hAnsi="宋体"/>
          <w:color w:val="000000"/>
        </w:rPr>
        <w:t>标示。</w:t>
      </w:r>
    </w:p>
    <w:p>
      <w:pPr>
        <w:snapToGrid w:val="0"/>
        <w:spacing w:line="240" w:lineRule="auto"/>
        <w:ind w:left="479" w:leftChars="228"/>
        <w:jc w:val="left"/>
        <w:rPr>
          <w:rFonts w:ascii="宋体" w:hAnsi="宋体"/>
          <w:color w:val="000000"/>
        </w:rPr>
      </w:pPr>
      <w:r>
        <w:rPr>
          <w:rFonts w:hint="eastAsia" w:ascii="宋体" w:hAnsi="宋体"/>
          <w:color w:val="000000"/>
        </w:rPr>
        <w:t>验算平行桁架方向截面承载力时，截面特性宜按组合截面（图30）计算，</w:t>
      </w:r>
    </w:p>
    <w:p>
      <w:pPr>
        <w:snapToGrid w:val="0"/>
        <w:spacing w:line="240" w:lineRule="auto"/>
        <w:jc w:val="left"/>
        <w:rPr>
          <w:rFonts w:ascii="宋体" w:hAnsi="宋体"/>
          <w:color w:val="000000"/>
        </w:rPr>
      </w:pPr>
      <w:r>
        <w:rPr>
          <w:rFonts w:hint="eastAsia" w:ascii="宋体" w:hAnsi="宋体"/>
          <w:color w:val="000000"/>
        </w:rPr>
        <w:t>图30的截面中和轴、惯性矩计算见式 5、式6。</w:t>
      </w:r>
    </w:p>
    <w:p>
      <w:pPr>
        <w:snapToGrid w:val="0"/>
        <w:spacing w:line="240" w:lineRule="auto"/>
        <w:rPr>
          <w:rFonts w:ascii="Times New Roman" w:hAnsi="Times New Roman"/>
        </w:rPr>
      </w:pPr>
      <w:r>
        <w:rPr>
          <w:rFonts w:hint="eastAsia" w:ascii="Times New Roman" w:hAnsi="Times New Roman"/>
        </w:rPr>
        <w:t xml:space="preserve">     </w:t>
      </w:r>
    </w:p>
    <w:p>
      <w:pPr>
        <w:snapToGrid w:val="0"/>
        <w:spacing w:line="240" w:lineRule="auto"/>
        <w:jc w:val="center"/>
        <w:rPr>
          <w:rFonts w:ascii="Times New Roman" w:hAnsi="Times New Roman"/>
        </w:rPr>
      </w:pPr>
      <w:r>
        <w:rPr>
          <w:rFonts w:ascii="Times New Roman" w:hAnsi="Times New Roman"/>
        </w:rPr>
        <w:drawing>
          <wp:inline distT="0" distB="0" distL="0" distR="0">
            <wp:extent cx="4537710" cy="724535"/>
            <wp:effectExtent l="0" t="0" r="15240" b="1841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4537710" cy="724535"/>
                    </a:xfrm>
                    <a:prstGeom prst="rect">
                      <a:avLst/>
                    </a:prstGeom>
                    <a:noFill/>
                    <a:ln>
                      <a:noFill/>
                    </a:ln>
                  </pic:spPr>
                </pic:pic>
              </a:graphicData>
            </a:graphic>
          </wp:inline>
        </w:drawing>
      </w:r>
      <w:r>
        <w:rPr>
          <w:rFonts w:ascii="Times New Roman" w:hAnsi="Times New Roman"/>
        </w:rPr>
        <w:t xml:space="preserve"> </w:t>
      </w:r>
    </w:p>
    <w:p>
      <w:pPr>
        <w:snapToGrid w:val="0"/>
        <w:spacing w:line="240" w:lineRule="auto"/>
        <w:jc w:val="center"/>
        <w:rPr>
          <w:rFonts w:ascii="Times New Roman" w:hAnsi="Times New Roman" w:eastAsia="黑体"/>
          <w:bCs/>
        </w:rPr>
      </w:pPr>
      <w:r>
        <w:rPr>
          <w:rFonts w:ascii="黑体" w:hAnsi="黑体" w:eastAsia="黑体"/>
          <w:bCs/>
        </w:rPr>
        <w:t>图</w:t>
      </w:r>
      <w:r>
        <w:rPr>
          <w:rFonts w:hint="eastAsia" w:ascii="Times New Roman" w:hAnsi="Times New Roman" w:eastAsia="黑体"/>
          <w:bCs/>
        </w:rPr>
        <w:t>30</w:t>
      </w:r>
      <w:r>
        <w:rPr>
          <w:rFonts w:ascii="Times New Roman" w:hAnsi="Times New Roman" w:eastAsia="黑体"/>
          <w:bCs/>
        </w:rPr>
        <w:t xml:space="preserve"> </w:t>
      </w:r>
      <w:r>
        <w:rPr>
          <w:rFonts w:ascii="黑体" w:hAnsi="黑体" w:eastAsia="黑体"/>
          <w:bCs/>
        </w:rPr>
        <w:t>桁架预制板板带组合截面示意（平行桁架方向）</w:t>
      </w:r>
    </w:p>
    <w:p>
      <w:pPr>
        <w:snapToGrid w:val="0"/>
        <w:spacing w:line="240" w:lineRule="auto"/>
        <w:jc w:val="right"/>
        <w:rPr>
          <w:rFonts w:ascii="宋体" w:hAnsi="宋体"/>
          <w:color w:val="000000"/>
          <w:sz w:val="24"/>
          <w:szCs w:val="24"/>
        </w:rPr>
      </w:pPr>
      <w:r>
        <w:rPr>
          <w:rFonts w:hint="eastAsia" w:ascii="宋体" w:hAnsi="宋体"/>
          <w:color w:val="000000"/>
          <w:sz w:val="24"/>
          <w:szCs w:val="24"/>
        </w:rPr>
        <w:t xml:space="preserve">        </w:t>
      </w:r>
      <w:r>
        <w:rPr>
          <w:rFonts w:ascii="Times New Roman" w:hAnsi="Times New Roman"/>
        </w:rPr>
        <w:drawing>
          <wp:inline distT="0" distB="0" distL="0" distR="0">
            <wp:extent cx="2803525" cy="647065"/>
            <wp:effectExtent l="0" t="0" r="15875" b="63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803525" cy="647065"/>
                    </a:xfrm>
                    <a:prstGeom prst="rect">
                      <a:avLst/>
                    </a:prstGeom>
                    <a:noFill/>
                    <a:ln>
                      <a:noFill/>
                    </a:ln>
                  </pic:spPr>
                </pic:pic>
              </a:graphicData>
            </a:graphic>
          </wp:inline>
        </w:drawing>
      </w:r>
      <w:r>
        <w:rPr>
          <w:rFonts w:hint="eastAsia" w:ascii="宋体" w:hAnsi="宋体"/>
          <w:color w:val="000000"/>
          <w:sz w:val="24"/>
          <w:szCs w:val="24"/>
        </w:rPr>
        <w:t xml:space="preserve"> </w:t>
      </w:r>
      <w:r>
        <w:rPr>
          <w:rFonts w:ascii="宋体" w:hAnsi="宋体"/>
          <w:color w:val="000000"/>
          <w:sz w:val="24"/>
          <w:szCs w:val="24"/>
        </w:rPr>
        <w:t xml:space="preserve">  </w:t>
      </w:r>
      <w:r>
        <w:rPr>
          <w:rFonts w:hint="eastAsia" w:ascii="宋体" w:hAnsi="宋体"/>
          <w:color w:val="000000"/>
          <w:sz w:val="24"/>
          <w:szCs w:val="24"/>
        </w:rPr>
        <w:t xml:space="preserve"> </w:t>
      </w:r>
      <w:r>
        <w:rPr>
          <w:rFonts w:ascii="宋体" w:hAnsi="宋体"/>
          <w:color w:val="000000"/>
          <w:sz w:val="24"/>
          <w:szCs w:val="24"/>
        </w:rPr>
        <w:t xml:space="preserve">   </w:t>
      </w:r>
      <w:r>
        <w:rPr>
          <w:rFonts w:hint="eastAsia" w:ascii="宋体" w:hAnsi="宋体"/>
          <w:color w:val="000000"/>
          <w:sz w:val="24"/>
          <w:szCs w:val="24"/>
        </w:rPr>
        <w:t xml:space="preserve">         </w:t>
      </w:r>
      <w:r>
        <w:rPr>
          <w:rFonts w:hint="eastAsia" w:ascii="华文仿宋" w:hAnsi="华文仿宋" w:eastAsia="华文仿宋"/>
          <w:color w:val="000000"/>
          <w:sz w:val="24"/>
          <w:szCs w:val="24"/>
        </w:rPr>
        <w:t>（</w:t>
      </w:r>
      <w:r>
        <w:rPr>
          <w:rFonts w:ascii="Times New Roman" w:hAnsi="Times New Roman"/>
          <w:color w:val="000000"/>
          <w:sz w:val="24"/>
          <w:szCs w:val="24"/>
        </w:rPr>
        <w:t>5</w:t>
      </w:r>
      <w:r>
        <w:rPr>
          <w:rFonts w:hint="eastAsia" w:ascii="华文仿宋" w:hAnsi="华文仿宋" w:eastAsia="华文仿宋"/>
          <w:color w:val="000000"/>
          <w:sz w:val="24"/>
          <w:szCs w:val="24"/>
        </w:rPr>
        <w:t>）</w:t>
      </w:r>
      <w:r>
        <w:rPr>
          <w:rFonts w:hint="eastAsia" w:ascii="宋体" w:hAnsi="宋体"/>
          <w:sz w:val="24"/>
          <w:szCs w:val="24"/>
        </w:rPr>
        <w:t xml:space="preserve"> </w:t>
      </w:r>
    </w:p>
    <w:p>
      <w:pPr>
        <w:snapToGrid w:val="0"/>
        <w:spacing w:line="240" w:lineRule="auto"/>
        <w:ind w:firstLine="840" w:firstLineChars="400"/>
        <w:jc w:val="right"/>
        <w:rPr>
          <w:rFonts w:ascii="宋体" w:hAnsi="宋体"/>
          <w:sz w:val="24"/>
          <w:szCs w:val="24"/>
        </w:rPr>
      </w:pPr>
      <w:r>
        <w:rPr>
          <w:rFonts w:ascii="Times New Roman" w:hAnsi="Times New Roman"/>
        </w:rPr>
        <w:drawing>
          <wp:inline distT="0" distB="0" distL="0" distR="0">
            <wp:extent cx="3295015" cy="758825"/>
            <wp:effectExtent l="0" t="0" r="635" b="317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3295015" cy="758825"/>
                    </a:xfrm>
                    <a:prstGeom prst="rect">
                      <a:avLst/>
                    </a:prstGeom>
                    <a:noFill/>
                    <a:ln>
                      <a:noFill/>
                    </a:ln>
                  </pic:spPr>
                </pic:pic>
              </a:graphicData>
            </a:graphic>
          </wp:inline>
        </w:drawing>
      </w:r>
      <w:r>
        <w:rPr>
          <w:rFonts w:hint="eastAsia" w:ascii="宋体" w:hAnsi="宋体"/>
          <w:color w:val="000000"/>
          <w:sz w:val="24"/>
          <w:szCs w:val="24"/>
        </w:rPr>
        <w:t xml:space="preserve">      </w:t>
      </w:r>
      <w:r>
        <w:rPr>
          <w:rFonts w:ascii="宋体" w:hAnsi="宋体"/>
          <w:color w:val="000000"/>
          <w:sz w:val="24"/>
          <w:szCs w:val="24"/>
        </w:rPr>
        <w:t xml:space="preserve">      </w:t>
      </w:r>
      <w:r>
        <w:rPr>
          <w:rFonts w:hint="eastAsia" w:ascii="宋体" w:hAnsi="宋体"/>
          <w:color w:val="000000"/>
          <w:sz w:val="24"/>
          <w:szCs w:val="24"/>
        </w:rPr>
        <w:t xml:space="preserve"> </w:t>
      </w:r>
      <w:r>
        <w:rPr>
          <w:rFonts w:hint="eastAsia" w:ascii="华文仿宋" w:hAnsi="华文仿宋" w:eastAsia="华文仿宋"/>
          <w:color w:val="000000"/>
          <w:sz w:val="24"/>
          <w:szCs w:val="24"/>
        </w:rPr>
        <w:t>（</w:t>
      </w:r>
      <w:r>
        <w:rPr>
          <w:rFonts w:ascii="Times New Roman" w:hAnsi="Times New Roman"/>
          <w:color w:val="000000"/>
          <w:sz w:val="24"/>
          <w:szCs w:val="24"/>
        </w:rPr>
        <w:t>6</w:t>
      </w:r>
      <w:r>
        <w:rPr>
          <w:rFonts w:hint="eastAsia" w:ascii="华文仿宋" w:hAnsi="华文仿宋" w:eastAsia="华文仿宋"/>
          <w:color w:val="000000"/>
          <w:sz w:val="24"/>
          <w:szCs w:val="24"/>
        </w:rPr>
        <w:t>）</w:t>
      </w:r>
      <w:r>
        <w:rPr>
          <w:rFonts w:hint="eastAsia" w:ascii="宋体" w:hAnsi="宋体"/>
          <w:sz w:val="24"/>
          <w:szCs w:val="24"/>
        </w:rPr>
        <w:t xml:space="preserve"> </w:t>
      </w:r>
    </w:p>
    <w:p>
      <w:pPr>
        <w:snapToGrid w:val="0"/>
        <w:spacing w:line="240" w:lineRule="auto"/>
        <w:jc w:val="left"/>
        <w:rPr>
          <w:rFonts w:ascii="宋体" w:hAnsi="宋体"/>
          <w:color w:val="000000"/>
        </w:rPr>
      </w:pPr>
      <w:r>
        <w:rPr>
          <w:rFonts w:hint="eastAsia" w:ascii="宋体" w:hAnsi="宋体"/>
          <w:color w:val="000000"/>
        </w:rPr>
        <w:t xml:space="preserve">式中： </w:t>
      </w:r>
    </w:p>
    <w:p>
      <w:pPr>
        <w:snapToGrid w:val="0"/>
        <w:spacing w:line="240" w:lineRule="auto"/>
        <w:jc w:val="left"/>
        <w:rPr>
          <w:rFonts w:ascii="宋体" w:hAnsi="宋体"/>
          <w:color w:val="000000"/>
        </w:rPr>
      </w:pPr>
      <w:r>
        <w:rPr>
          <w:rFonts w:ascii="Times New Roman" w:hAnsi="Times New Roman"/>
          <w:i/>
          <w:color w:val="000000"/>
        </w:rPr>
        <w:t>A</w:t>
      </w:r>
      <w:r>
        <w:rPr>
          <w:rFonts w:ascii="Times New Roman" w:hAnsi="Times New Roman"/>
          <w:color w:val="000000"/>
          <w:vertAlign w:val="subscript"/>
        </w:rPr>
        <w:t>1</w:t>
      </w:r>
      <w:r>
        <w:rPr>
          <w:rFonts w:ascii="Times New Roman" w:hAnsi="Times New Roman"/>
          <w:color w:val="000000"/>
        </w:rPr>
        <w:t>——</w:t>
      </w:r>
      <w:r>
        <w:rPr>
          <w:rFonts w:hint="eastAsia" w:ascii="宋体" w:hAnsi="宋体"/>
          <w:color w:val="000000"/>
        </w:rPr>
        <w:t>钢筋桁架下弦钢筋截面积之和；</w:t>
      </w:r>
    </w:p>
    <w:p>
      <w:pPr>
        <w:snapToGrid w:val="0"/>
        <w:spacing w:line="240" w:lineRule="auto"/>
        <w:jc w:val="left"/>
        <w:rPr>
          <w:rFonts w:ascii="宋体" w:hAnsi="宋体"/>
          <w:color w:val="000000"/>
        </w:rPr>
      </w:pPr>
      <w:r>
        <w:rPr>
          <w:rFonts w:ascii="Times New Roman" w:hAnsi="Times New Roman"/>
          <w:i/>
          <w:color w:val="000000"/>
        </w:rPr>
        <w:t>A</w:t>
      </w:r>
      <w:r>
        <w:rPr>
          <w:rFonts w:ascii="Times New Roman" w:hAnsi="Times New Roman"/>
          <w:color w:val="000000"/>
          <w:vertAlign w:val="subscript"/>
        </w:rPr>
        <w:t>2</w:t>
      </w:r>
      <w:r>
        <w:rPr>
          <w:rFonts w:ascii="Times New Roman" w:hAnsi="Times New Roman"/>
          <w:color w:val="000000"/>
        </w:rPr>
        <w:t>——</w:t>
      </w:r>
      <w:r>
        <w:rPr>
          <w:rFonts w:hint="eastAsia" w:ascii="宋体" w:hAnsi="宋体"/>
          <w:color w:val="000000"/>
        </w:rPr>
        <w:t>钢筋桁架上弦钢筋截面积之和；</w:t>
      </w:r>
    </w:p>
    <w:p>
      <w:pPr>
        <w:snapToGrid w:val="0"/>
        <w:spacing w:line="240" w:lineRule="auto"/>
        <w:jc w:val="left"/>
        <w:rPr>
          <w:rFonts w:ascii="宋体" w:hAnsi="宋体"/>
          <w:color w:val="000000"/>
        </w:rPr>
      </w:pPr>
      <w:r>
        <w:rPr>
          <w:rFonts w:ascii="Times New Roman" w:hAnsi="Times New Roman"/>
          <w:i/>
          <w:color w:val="000000"/>
        </w:rPr>
        <w:t>A</w:t>
      </w:r>
      <w:r>
        <w:rPr>
          <w:rFonts w:ascii="Times New Roman" w:hAnsi="Times New Roman"/>
          <w:color w:val="000000"/>
          <w:vertAlign w:val="subscript"/>
        </w:rPr>
        <w:t>s</w:t>
      </w:r>
      <w:r>
        <w:rPr>
          <w:rFonts w:ascii="Times New Roman" w:hAnsi="Times New Roman"/>
          <w:color w:val="000000"/>
        </w:rPr>
        <w:t>——</w:t>
      </w:r>
      <w:r>
        <w:rPr>
          <w:rFonts w:hint="eastAsia" w:ascii="宋体" w:hAnsi="宋体"/>
          <w:color w:val="000000"/>
        </w:rPr>
        <w:t>桁架预制板纵向钢筋截面积之和（不含钢筋桁架下弦钢筋截面积）；</w:t>
      </w:r>
    </w:p>
    <w:p>
      <w:pPr>
        <w:snapToGrid w:val="0"/>
        <w:spacing w:line="240" w:lineRule="auto"/>
        <w:jc w:val="left"/>
        <w:rPr>
          <w:rFonts w:ascii="宋体" w:hAnsi="宋体"/>
          <w:color w:val="000000"/>
        </w:rPr>
      </w:pPr>
      <w:r>
        <w:rPr>
          <w:rFonts w:ascii="Times New Roman" w:hAnsi="Times New Roman"/>
          <w:i/>
          <w:color w:val="000000"/>
        </w:rPr>
        <w:t>L</w:t>
      </w:r>
      <w:r>
        <w:rPr>
          <w:rFonts w:ascii="Times New Roman" w:hAnsi="Times New Roman"/>
          <w:color w:val="000000"/>
          <w:vertAlign w:val="subscript"/>
        </w:rPr>
        <w:t>2</w:t>
      </w:r>
      <w:r>
        <w:rPr>
          <w:rFonts w:ascii="Times New Roman" w:hAnsi="Times New Roman"/>
          <w:color w:val="000000"/>
        </w:rPr>
        <w:t>——</w:t>
      </w:r>
      <w:r>
        <w:rPr>
          <w:rFonts w:hint="eastAsia" w:ascii="宋体" w:hAnsi="宋体"/>
          <w:color w:val="000000"/>
        </w:rPr>
        <w:t>桁架预制板板宽；</w:t>
      </w:r>
    </w:p>
    <w:p>
      <w:pPr>
        <w:snapToGrid w:val="0"/>
        <w:spacing w:line="240" w:lineRule="auto"/>
        <w:jc w:val="left"/>
        <w:rPr>
          <w:rFonts w:ascii="宋体" w:hAnsi="宋体"/>
          <w:color w:val="000000"/>
        </w:rPr>
      </w:pPr>
      <w:r>
        <w:rPr>
          <w:rFonts w:ascii="Times New Roman" w:hAnsi="Times New Roman"/>
          <w:i/>
          <w:color w:val="000000"/>
        </w:rPr>
        <w:t>h</w:t>
      </w:r>
      <w:r>
        <w:rPr>
          <w:rFonts w:ascii="Times New Roman" w:hAnsi="Times New Roman"/>
          <w:color w:val="000000"/>
          <w:vertAlign w:val="subscript"/>
        </w:rPr>
        <w:t>1</w:t>
      </w:r>
      <w:r>
        <w:rPr>
          <w:rFonts w:ascii="Times New Roman" w:hAnsi="Times New Roman"/>
          <w:color w:val="000000"/>
        </w:rPr>
        <w:t>——</w:t>
      </w:r>
      <w:r>
        <w:rPr>
          <w:rFonts w:hint="eastAsia" w:ascii="宋体" w:hAnsi="宋体"/>
          <w:color w:val="000000"/>
        </w:rPr>
        <w:t>桁架预制板厚度；</w:t>
      </w:r>
    </w:p>
    <w:p>
      <w:pPr>
        <w:snapToGrid w:val="0"/>
        <w:spacing w:line="240" w:lineRule="auto"/>
        <w:jc w:val="left"/>
        <w:rPr>
          <w:rFonts w:ascii="宋体" w:hAnsi="宋体"/>
          <w:color w:val="000000"/>
        </w:rPr>
      </w:pPr>
      <w:r>
        <w:rPr>
          <w:rFonts w:ascii="Times New Roman" w:hAnsi="Times New Roman"/>
          <w:i/>
          <w:color w:val="000000"/>
        </w:rPr>
        <w:t>h</w:t>
      </w:r>
      <w:r>
        <w:rPr>
          <w:rFonts w:ascii="Times New Roman" w:hAnsi="Times New Roman"/>
          <w:color w:val="000000"/>
          <w:vertAlign w:val="subscript"/>
        </w:rPr>
        <w:t>a</w:t>
      </w:r>
      <w:r>
        <w:rPr>
          <w:rFonts w:ascii="Times New Roman" w:hAnsi="Times New Roman"/>
          <w:color w:val="000000"/>
        </w:rPr>
        <w:t>——</w:t>
      </w:r>
      <w:r>
        <w:rPr>
          <w:rFonts w:hint="eastAsia" w:ascii="宋体" w:hAnsi="宋体"/>
          <w:color w:val="000000"/>
        </w:rPr>
        <w:t>桁架预制板底至桁架上弦钢筋中心线垂直高度；</w:t>
      </w:r>
    </w:p>
    <w:p>
      <w:pPr>
        <w:snapToGrid w:val="0"/>
        <w:spacing w:line="240" w:lineRule="auto"/>
        <w:jc w:val="left"/>
        <w:rPr>
          <w:rFonts w:ascii="宋体" w:hAnsi="宋体"/>
          <w:color w:val="000000"/>
        </w:rPr>
      </w:pPr>
      <w:r>
        <w:rPr>
          <w:rFonts w:ascii="Times New Roman" w:hAnsi="Times New Roman"/>
          <w:i/>
          <w:color w:val="000000"/>
        </w:rPr>
        <w:t>h</w:t>
      </w:r>
      <w:r>
        <w:rPr>
          <w:rFonts w:ascii="Times New Roman" w:hAnsi="Times New Roman"/>
          <w:color w:val="000000"/>
          <w:vertAlign w:val="subscript"/>
        </w:rPr>
        <w:t>s</w:t>
      </w:r>
      <w:r>
        <w:rPr>
          <w:rFonts w:ascii="Times New Roman" w:hAnsi="Times New Roman"/>
          <w:color w:val="000000"/>
        </w:rPr>
        <w:t>——</w:t>
      </w:r>
      <w:r>
        <w:rPr>
          <w:rFonts w:hint="eastAsia" w:ascii="宋体" w:hAnsi="宋体"/>
          <w:color w:val="000000"/>
        </w:rPr>
        <w:t>桁架预制板纵筋至桁架上弦钢筋中心线垂直高度；</w:t>
      </w:r>
    </w:p>
    <w:p>
      <w:pPr>
        <w:snapToGrid w:val="0"/>
        <w:spacing w:line="240" w:lineRule="auto"/>
        <w:jc w:val="left"/>
        <w:rPr>
          <w:rFonts w:ascii="宋体" w:hAnsi="宋体"/>
          <w:color w:val="000000"/>
        </w:rPr>
      </w:pPr>
      <w:r>
        <w:rPr>
          <w:rFonts w:ascii="Times New Roman" w:hAnsi="Times New Roman"/>
          <w:i/>
          <w:color w:val="000000"/>
        </w:rPr>
        <w:t>h</w:t>
      </w:r>
      <w:r>
        <w:rPr>
          <w:rFonts w:ascii="Times New Roman" w:hAnsi="Times New Roman"/>
          <w:i/>
          <w:color w:val="000000"/>
          <w:vertAlign w:val="subscript"/>
        </w:rPr>
        <w:t>lg</w:t>
      </w:r>
      <w:r>
        <w:rPr>
          <w:rFonts w:ascii="Times New Roman" w:hAnsi="Times New Roman"/>
          <w:color w:val="000000"/>
        </w:rPr>
        <w:t>——</w:t>
      </w:r>
      <w:r>
        <w:rPr>
          <w:rFonts w:hint="eastAsia" w:ascii="宋体" w:hAnsi="宋体"/>
          <w:color w:val="000000"/>
        </w:rPr>
        <w:t>桁架上、 下弦钢筋中心线垂直高度；</w:t>
      </w:r>
    </w:p>
    <w:p>
      <w:pPr>
        <w:snapToGrid w:val="0"/>
        <w:spacing w:line="240" w:lineRule="auto"/>
        <w:jc w:val="left"/>
        <w:rPr>
          <w:rFonts w:ascii="宋体" w:hAnsi="宋体"/>
          <w:color w:val="000000"/>
        </w:rPr>
      </w:pPr>
      <w:r>
        <w:rPr>
          <w:rFonts w:ascii="Times New Roman" w:hAnsi="Times New Roman"/>
          <w:i/>
          <w:color w:val="000000"/>
        </w:rPr>
        <w:t>y</w:t>
      </w:r>
      <w:r>
        <w:rPr>
          <w:rFonts w:ascii="Times New Roman" w:hAnsi="Times New Roman"/>
          <w:color w:val="000000"/>
          <w:vertAlign w:val="subscript"/>
        </w:rPr>
        <w:t>0</w:t>
      </w:r>
      <w:r>
        <w:rPr>
          <w:rFonts w:ascii="Times New Roman" w:hAnsi="Times New Roman"/>
          <w:color w:val="000000"/>
        </w:rPr>
        <w:t>——</w:t>
      </w:r>
      <w:r>
        <w:rPr>
          <w:rFonts w:hint="eastAsia" w:ascii="宋体" w:hAnsi="宋体"/>
          <w:color w:val="000000"/>
        </w:rPr>
        <w:t>桁架预制板组合截面中性轴距板底高度；</w:t>
      </w:r>
    </w:p>
    <w:p>
      <w:pPr>
        <w:snapToGrid w:val="0"/>
        <w:spacing w:line="240" w:lineRule="auto"/>
        <w:jc w:val="left"/>
        <w:rPr>
          <w:rFonts w:ascii="宋体" w:hAnsi="宋体"/>
          <w:color w:val="000000"/>
        </w:rPr>
      </w:pPr>
      <w:r>
        <w:rPr>
          <w:rFonts w:ascii="Times New Roman" w:hAnsi="Times New Roman"/>
          <w:i/>
          <w:color w:val="000000"/>
        </w:rPr>
        <w:t>α</w:t>
      </w:r>
      <w:r>
        <w:rPr>
          <w:rFonts w:ascii="Times New Roman" w:hAnsi="Times New Roman"/>
          <w:color w:val="000000"/>
          <w:vertAlign w:val="subscript"/>
        </w:rPr>
        <w:t>E</w:t>
      </w:r>
      <w:r>
        <w:rPr>
          <w:rFonts w:ascii="Times New Roman" w:hAnsi="Times New Roman"/>
          <w:color w:val="000000"/>
        </w:rPr>
        <w:t>——</w:t>
      </w:r>
      <w:r>
        <w:rPr>
          <w:rFonts w:hint="eastAsia" w:ascii="宋体" w:hAnsi="宋体"/>
          <w:color w:val="000000"/>
        </w:rPr>
        <w:t>桁架预制板内钢筋与桁架预制板混凝土的弹性模量之比。</w:t>
      </w:r>
    </w:p>
    <w:p>
      <w:pPr>
        <w:snapToGrid w:val="0"/>
        <w:spacing w:line="240" w:lineRule="auto"/>
        <w:jc w:val="left"/>
        <w:rPr>
          <w:rFonts w:ascii="宋体" w:hAnsi="宋体"/>
        </w:rPr>
      </w:pPr>
      <w:r>
        <w:rPr>
          <w:rFonts w:hint="eastAsia" w:ascii="Times New Roman" w:hAnsi="Times New Roman"/>
          <w:b/>
          <w:color w:val="000000"/>
        </w:rPr>
        <w:t>C</w:t>
      </w:r>
      <w:r>
        <w:rPr>
          <w:rFonts w:ascii="Times New Roman" w:hAnsi="Times New Roman"/>
          <w:b/>
          <w:color w:val="000000"/>
        </w:rPr>
        <w:t>.0.8~</w:t>
      </w:r>
      <w:r>
        <w:rPr>
          <w:rFonts w:hint="eastAsia" w:ascii="Times New Roman" w:hAnsi="Times New Roman"/>
          <w:b/>
          <w:color w:val="000000"/>
        </w:rPr>
        <w:t>C</w:t>
      </w:r>
      <w:r>
        <w:rPr>
          <w:rFonts w:ascii="Times New Roman" w:hAnsi="Times New Roman"/>
          <w:b/>
          <w:color w:val="000000"/>
        </w:rPr>
        <w:t xml:space="preserve">.0.11 </w:t>
      </w:r>
      <w:r>
        <w:rPr>
          <w:rFonts w:hint="eastAsia" w:ascii="宋体" w:hAnsi="宋体"/>
          <w:color w:val="000000"/>
        </w:rPr>
        <w:t>参考现行国家标准《混凝土结构工程施工规范》</w:t>
      </w:r>
      <w:r>
        <w:rPr>
          <w:rFonts w:ascii="Times New Roman" w:hAnsi="Times New Roman"/>
          <w:color w:val="000000"/>
        </w:rPr>
        <w:t>GB 50666</w:t>
      </w:r>
      <w:r>
        <w:rPr>
          <w:rFonts w:hint="eastAsia" w:ascii="宋体" w:hAnsi="宋体"/>
          <w:color w:val="000000"/>
        </w:rPr>
        <w:t>，规定了桁架预制板的短暂设计状况的验算控制指标，包括桁架预制板的混凝土应力和开裂，钢筋桁架受拉屈服和受压屈曲、腹杆钢筋受压屈曲。</w:t>
      </w:r>
      <w:r>
        <w:rPr>
          <w:rFonts w:hint="eastAsia" w:ascii="宋体" w:hAnsi="宋体"/>
        </w:rPr>
        <w:t xml:space="preserve"> </w:t>
      </w:r>
    </w:p>
    <w:p/>
    <w:p>
      <w:pPr>
        <w:snapToGrid w:val="0"/>
        <w:spacing w:line="360" w:lineRule="auto"/>
        <w:ind w:firstLine="480" w:firstLineChars="200"/>
        <w:rPr>
          <w:rFonts w:ascii="Times New Roman" w:hAnsi="Times New Roman"/>
          <w:color w:val="000000"/>
          <w:sz w:val="24"/>
          <w:szCs w:val="24"/>
        </w:rPr>
      </w:pPr>
    </w:p>
    <w:sectPr>
      <w:pgSz w:w="11906" w:h="16838"/>
      <w:pgMar w:top="567"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31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 42/T XXXX—2022</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42/T XXXX—2022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467C87"/>
    <w:multiLevelType w:val="multilevel"/>
    <w:tmpl w:val="01467C87"/>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2">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4">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6">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8">
    <w:nsid w:val="17665E59"/>
    <w:multiLevelType w:val="multilevel"/>
    <w:tmpl w:val="17665E5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1">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2">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3">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4">
    <w:nsid w:val="3E00585C"/>
    <w:multiLevelType w:val="multilevel"/>
    <w:tmpl w:val="3E00585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4C50F90"/>
    <w:multiLevelType w:val="multilevel"/>
    <w:tmpl w:val="44C50F90"/>
    <w:lvl w:ilvl="0" w:tentative="0">
      <w:start w:val="1"/>
      <w:numFmt w:val="lowerLetter"/>
      <w:pStyle w:val="174"/>
      <w:lvlText w:val="%1)"/>
      <w:lvlJc w:val="left"/>
      <w:pPr>
        <w:tabs>
          <w:tab w:val="left" w:pos="851"/>
        </w:tabs>
        <w:ind w:left="851" w:hanging="426"/>
      </w:pPr>
      <w:rPr>
        <w:rFonts w:hint="default" w:ascii="Times New Roman" w:hAnsi="Times New Roman" w:eastAsia="宋体" w:cs="Times New Roman"/>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6">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2977"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7">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8">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4E722DE3"/>
    <w:multiLevelType w:val="multilevel"/>
    <w:tmpl w:val="4E722DE3"/>
    <w:lvl w:ilvl="0" w:tentative="0">
      <w:start w:val="1"/>
      <w:numFmt w:val="decimal"/>
      <w:lvlText w:val="%1—"/>
      <w:lvlJc w:val="left"/>
      <w:pPr>
        <w:ind w:left="360" w:hanging="360"/>
      </w:pPr>
      <w:rPr>
        <w:rFonts w:hint="default" w:ascii="Times New Roman" w:hAnsi="Times New Roman" w:cs="Times New Roman"/>
      </w:rPr>
    </w:lvl>
    <w:lvl w:ilvl="1" w:tentative="0">
      <w:start w:val="1"/>
      <w:numFmt w:val="decimal"/>
      <w:lvlText w:val="%2）"/>
      <w:lvlJc w:val="left"/>
      <w:pPr>
        <w:ind w:left="780" w:hanging="36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20">
    <w:nsid w:val="53B1692A"/>
    <w:multiLevelType w:val="multilevel"/>
    <w:tmpl w:val="53B1692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2">
    <w:nsid w:val="557C2AF5"/>
    <w:multiLevelType w:val="multilevel"/>
    <w:tmpl w:val="557C2AF5"/>
    <w:lvl w:ilvl="0" w:tentative="0">
      <w:start w:val="1"/>
      <w:numFmt w:val="decimal"/>
      <w:pStyle w:val="114"/>
      <w:suff w:val="nothing"/>
      <w:lvlText w:val="图%1　"/>
      <w:lvlJc w:val="left"/>
      <w:pPr>
        <w:ind w:left="1701"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3">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4">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5C7E1A89"/>
    <w:multiLevelType w:val="multilevel"/>
    <w:tmpl w:val="5C7E1A8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7">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8">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9">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宋体" w:hAnsi="宋体" w:eastAsia="宋体" w:cs="Times New Roman"/>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0">
    <w:nsid w:val="67B67AAF"/>
    <w:multiLevelType w:val="multilevel"/>
    <w:tmpl w:val="67B67AA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2">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425"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5">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6">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7">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34"/>
  </w:num>
  <w:num w:numId="3">
    <w:abstractNumId w:val="6"/>
  </w:num>
  <w:num w:numId="4">
    <w:abstractNumId w:val="29"/>
  </w:num>
  <w:num w:numId="5">
    <w:abstractNumId w:val="23"/>
  </w:num>
  <w:num w:numId="6">
    <w:abstractNumId w:val="16"/>
  </w:num>
  <w:num w:numId="7">
    <w:abstractNumId w:val="10"/>
  </w:num>
  <w:num w:numId="8">
    <w:abstractNumId w:val="4"/>
  </w:num>
  <w:num w:numId="9">
    <w:abstractNumId w:val="11"/>
  </w:num>
  <w:num w:numId="10">
    <w:abstractNumId w:val="21"/>
  </w:num>
  <w:num w:numId="11">
    <w:abstractNumId w:val="32"/>
  </w:num>
  <w:num w:numId="12">
    <w:abstractNumId w:val="13"/>
  </w:num>
  <w:num w:numId="13">
    <w:abstractNumId w:val="15"/>
  </w:num>
  <w:num w:numId="14">
    <w:abstractNumId w:val="9"/>
  </w:num>
  <w:num w:numId="15">
    <w:abstractNumId w:val="24"/>
  </w:num>
  <w:num w:numId="16">
    <w:abstractNumId w:val="27"/>
  </w:num>
  <w:num w:numId="17">
    <w:abstractNumId w:val="22"/>
  </w:num>
  <w:num w:numId="18">
    <w:abstractNumId w:val="36"/>
  </w:num>
  <w:num w:numId="19">
    <w:abstractNumId w:val="18"/>
  </w:num>
  <w:num w:numId="20">
    <w:abstractNumId w:val="2"/>
  </w:num>
  <w:num w:numId="21">
    <w:abstractNumId w:val="12"/>
  </w:num>
  <w:num w:numId="22">
    <w:abstractNumId w:val="37"/>
  </w:num>
  <w:num w:numId="23">
    <w:abstractNumId w:val="26"/>
  </w:num>
  <w:num w:numId="24">
    <w:abstractNumId w:val="7"/>
  </w:num>
  <w:num w:numId="25">
    <w:abstractNumId w:val="33"/>
  </w:num>
  <w:num w:numId="26">
    <w:abstractNumId w:val="35"/>
  </w:num>
  <w:num w:numId="27">
    <w:abstractNumId w:val="3"/>
  </w:num>
  <w:num w:numId="28">
    <w:abstractNumId w:val="5"/>
  </w:num>
  <w:num w:numId="29">
    <w:abstractNumId w:val="17"/>
  </w:num>
  <w:num w:numId="30">
    <w:abstractNumId w:val="31"/>
  </w:num>
  <w:num w:numId="31">
    <w:abstractNumId w:val="28"/>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0"/>
  </w:num>
  <w:num w:numId="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5"/>
  </w:num>
  <w:num w:numId="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0"/>
  </w:num>
  <w:num w:numId="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attachedTemplate r:id="rId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037"/>
    <w:rsid w:val="0000040A"/>
    <w:rsid w:val="00000A94"/>
    <w:rsid w:val="00001972"/>
    <w:rsid w:val="00001D9A"/>
    <w:rsid w:val="00007B3A"/>
    <w:rsid w:val="000107E0"/>
    <w:rsid w:val="00011FDE"/>
    <w:rsid w:val="00012FFD"/>
    <w:rsid w:val="00014162"/>
    <w:rsid w:val="00014340"/>
    <w:rsid w:val="00014692"/>
    <w:rsid w:val="00016A9C"/>
    <w:rsid w:val="00022184"/>
    <w:rsid w:val="00022762"/>
    <w:rsid w:val="000238E0"/>
    <w:rsid w:val="000249DB"/>
    <w:rsid w:val="0002595E"/>
    <w:rsid w:val="000303C3"/>
    <w:rsid w:val="000327E2"/>
    <w:rsid w:val="000331D3"/>
    <w:rsid w:val="000346A5"/>
    <w:rsid w:val="000359C3"/>
    <w:rsid w:val="00035A7D"/>
    <w:rsid w:val="000365ED"/>
    <w:rsid w:val="0004249A"/>
    <w:rsid w:val="00043282"/>
    <w:rsid w:val="00043CED"/>
    <w:rsid w:val="00044286"/>
    <w:rsid w:val="00047F28"/>
    <w:rsid w:val="000503AA"/>
    <w:rsid w:val="000506A1"/>
    <w:rsid w:val="000515DD"/>
    <w:rsid w:val="0005265A"/>
    <w:rsid w:val="000539DD"/>
    <w:rsid w:val="00053BD3"/>
    <w:rsid w:val="000556ED"/>
    <w:rsid w:val="0005581D"/>
    <w:rsid w:val="00055FE2"/>
    <w:rsid w:val="0005616F"/>
    <w:rsid w:val="00060C2E"/>
    <w:rsid w:val="00061033"/>
    <w:rsid w:val="000619E9"/>
    <w:rsid w:val="000622D4"/>
    <w:rsid w:val="00062AA3"/>
    <w:rsid w:val="0006357D"/>
    <w:rsid w:val="0006671A"/>
    <w:rsid w:val="00067442"/>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15A3"/>
    <w:rsid w:val="000E4C9E"/>
    <w:rsid w:val="000E6FD7"/>
    <w:rsid w:val="000F06E1"/>
    <w:rsid w:val="000F0E3C"/>
    <w:rsid w:val="000F19D5"/>
    <w:rsid w:val="000F20C8"/>
    <w:rsid w:val="000F4AEA"/>
    <w:rsid w:val="000F5BDF"/>
    <w:rsid w:val="000F633F"/>
    <w:rsid w:val="000F67E9"/>
    <w:rsid w:val="00104926"/>
    <w:rsid w:val="00113B1E"/>
    <w:rsid w:val="0011711C"/>
    <w:rsid w:val="0012059C"/>
    <w:rsid w:val="001247D0"/>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12BE"/>
    <w:rsid w:val="001633CD"/>
    <w:rsid w:val="001642FA"/>
    <w:rsid w:val="001649EB"/>
    <w:rsid w:val="00164BAF"/>
    <w:rsid w:val="00164FA8"/>
    <w:rsid w:val="00165065"/>
    <w:rsid w:val="00165434"/>
    <w:rsid w:val="0016580B"/>
    <w:rsid w:val="00165F49"/>
    <w:rsid w:val="00166B88"/>
    <w:rsid w:val="0016770A"/>
    <w:rsid w:val="00170804"/>
    <w:rsid w:val="001708E9"/>
    <w:rsid w:val="0017340B"/>
    <w:rsid w:val="00173EBC"/>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B7865"/>
    <w:rsid w:val="001C04A8"/>
    <w:rsid w:val="001C2C03"/>
    <w:rsid w:val="001C42F7"/>
    <w:rsid w:val="001C49E5"/>
    <w:rsid w:val="001C680C"/>
    <w:rsid w:val="001C7FEA"/>
    <w:rsid w:val="001D0499"/>
    <w:rsid w:val="001D0BBE"/>
    <w:rsid w:val="001D0ED4"/>
    <w:rsid w:val="001D1F98"/>
    <w:rsid w:val="001D212F"/>
    <w:rsid w:val="001D29D7"/>
    <w:rsid w:val="001D2DE7"/>
    <w:rsid w:val="001D3228"/>
    <w:rsid w:val="001D411C"/>
    <w:rsid w:val="001E1B6A"/>
    <w:rsid w:val="001E2484"/>
    <w:rsid w:val="001E3CC4"/>
    <w:rsid w:val="001E4882"/>
    <w:rsid w:val="001E73AB"/>
    <w:rsid w:val="001F092D"/>
    <w:rsid w:val="001F143A"/>
    <w:rsid w:val="001F1605"/>
    <w:rsid w:val="001F2508"/>
    <w:rsid w:val="001F4816"/>
    <w:rsid w:val="001F4EE9"/>
    <w:rsid w:val="001F6970"/>
    <w:rsid w:val="001F69B4"/>
    <w:rsid w:val="001F77C7"/>
    <w:rsid w:val="00200183"/>
    <w:rsid w:val="00200333"/>
    <w:rsid w:val="0020107D"/>
    <w:rsid w:val="00202AA4"/>
    <w:rsid w:val="002031F7"/>
    <w:rsid w:val="002040E6"/>
    <w:rsid w:val="00204771"/>
    <w:rsid w:val="0020527B"/>
    <w:rsid w:val="00205F2C"/>
    <w:rsid w:val="00205F58"/>
    <w:rsid w:val="00210B15"/>
    <w:rsid w:val="002142EA"/>
    <w:rsid w:val="002204BB"/>
    <w:rsid w:val="00221B79"/>
    <w:rsid w:val="00221C6B"/>
    <w:rsid w:val="00224586"/>
    <w:rsid w:val="002253A1"/>
    <w:rsid w:val="00225CF8"/>
    <w:rsid w:val="002273CD"/>
    <w:rsid w:val="0022794E"/>
    <w:rsid w:val="00232FD2"/>
    <w:rsid w:val="00233D64"/>
    <w:rsid w:val="00234485"/>
    <w:rsid w:val="0023482A"/>
    <w:rsid w:val="002359CB"/>
    <w:rsid w:val="00243540"/>
    <w:rsid w:val="0024497B"/>
    <w:rsid w:val="0024515B"/>
    <w:rsid w:val="00246021"/>
    <w:rsid w:val="0024666E"/>
    <w:rsid w:val="00247F52"/>
    <w:rsid w:val="00250B25"/>
    <w:rsid w:val="00250BBE"/>
    <w:rsid w:val="002515C2"/>
    <w:rsid w:val="0025194F"/>
    <w:rsid w:val="002551D9"/>
    <w:rsid w:val="0026148A"/>
    <w:rsid w:val="00262696"/>
    <w:rsid w:val="00263B0F"/>
    <w:rsid w:val="00263D25"/>
    <w:rsid w:val="002643C3"/>
    <w:rsid w:val="00264A0C"/>
    <w:rsid w:val="00266EEB"/>
    <w:rsid w:val="00267EF4"/>
    <w:rsid w:val="00270CB8"/>
    <w:rsid w:val="00272B08"/>
    <w:rsid w:val="00277672"/>
    <w:rsid w:val="00281BB8"/>
    <w:rsid w:val="00281E9E"/>
    <w:rsid w:val="00282405"/>
    <w:rsid w:val="002842AE"/>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1F09"/>
    <w:rsid w:val="002B4508"/>
    <w:rsid w:val="002B48C5"/>
    <w:rsid w:val="002B5779"/>
    <w:rsid w:val="002B7332"/>
    <w:rsid w:val="002B7F51"/>
    <w:rsid w:val="002C09E7"/>
    <w:rsid w:val="002C1E06"/>
    <w:rsid w:val="002C1E1C"/>
    <w:rsid w:val="002C2A7C"/>
    <w:rsid w:val="002C3F07"/>
    <w:rsid w:val="002C5278"/>
    <w:rsid w:val="002C7EBB"/>
    <w:rsid w:val="002D06C1"/>
    <w:rsid w:val="002D1937"/>
    <w:rsid w:val="002D42B5"/>
    <w:rsid w:val="002D4F1A"/>
    <w:rsid w:val="002D6EC6"/>
    <w:rsid w:val="002D79AC"/>
    <w:rsid w:val="002E039D"/>
    <w:rsid w:val="002E4D5A"/>
    <w:rsid w:val="002E54DD"/>
    <w:rsid w:val="002E6326"/>
    <w:rsid w:val="002F30E0"/>
    <w:rsid w:val="002F35E4"/>
    <w:rsid w:val="002F3730"/>
    <w:rsid w:val="002F38DE"/>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3CC9"/>
    <w:rsid w:val="00336C64"/>
    <w:rsid w:val="00337162"/>
    <w:rsid w:val="0034194F"/>
    <w:rsid w:val="00342256"/>
    <w:rsid w:val="00344605"/>
    <w:rsid w:val="0034542E"/>
    <w:rsid w:val="003474AA"/>
    <w:rsid w:val="00350D1D"/>
    <w:rsid w:val="00351881"/>
    <w:rsid w:val="00352C83"/>
    <w:rsid w:val="003615D2"/>
    <w:rsid w:val="0036429C"/>
    <w:rsid w:val="00364781"/>
    <w:rsid w:val="00364A53"/>
    <w:rsid w:val="003654CB"/>
    <w:rsid w:val="00365AA9"/>
    <w:rsid w:val="00365F86"/>
    <w:rsid w:val="00365F87"/>
    <w:rsid w:val="00366E89"/>
    <w:rsid w:val="003705F4"/>
    <w:rsid w:val="00370D58"/>
    <w:rsid w:val="00371316"/>
    <w:rsid w:val="00376713"/>
    <w:rsid w:val="00381815"/>
    <w:rsid w:val="003819AF"/>
    <w:rsid w:val="003820E9"/>
    <w:rsid w:val="0038236D"/>
    <w:rsid w:val="00382DE7"/>
    <w:rsid w:val="00384FFC"/>
    <w:rsid w:val="00385A5B"/>
    <w:rsid w:val="003872FC"/>
    <w:rsid w:val="00387ADC"/>
    <w:rsid w:val="00390020"/>
    <w:rsid w:val="003903D6"/>
    <w:rsid w:val="00390EE6"/>
    <w:rsid w:val="0039118F"/>
    <w:rsid w:val="00392AD7"/>
    <w:rsid w:val="003938D9"/>
    <w:rsid w:val="00394376"/>
    <w:rsid w:val="003943FF"/>
    <w:rsid w:val="003946BC"/>
    <w:rsid w:val="00395700"/>
    <w:rsid w:val="003974EB"/>
    <w:rsid w:val="00397CC5"/>
    <w:rsid w:val="003A1582"/>
    <w:rsid w:val="003A4077"/>
    <w:rsid w:val="003B09AD"/>
    <w:rsid w:val="003B1F18"/>
    <w:rsid w:val="003B20E4"/>
    <w:rsid w:val="003B5BF0"/>
    <w:rsid w:val="003B60BF"/>
    <w:rsid w:val="003B6BE3"/>
    <w:rsid w:val="003C010C"/>
    <w:rsid w:val="003C0471"/>
    <w:rsid w:val="003C051D"/>
    <w:rsid w:val="003C0A6C"/>
    <w:rsid w:val="003C14F8"/>
    <w:rsid w:val="003C5A43"/>
    <w:rsid w:val="003D0519"/>
    <w:rsid w:val="003D0FF6"/>
    <w:rsid w:val="003D262C"/>
    <w:rsid w:val="003D6D61"/>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2465"/>
    <w:rsid w:val="0040301A"/>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4BD1"/>
    <w:rsid w:val="004659BD"/>
    <w:rsid w:val="00470775"/>
    <w:rsid w:val="00470852"/>
    <w:rsid w:val="00471037"/>
    <w:rsid w:val="004746B1"/>
    <w:rsid w:val="0047583F"/>
    <w:rsid w:val="00475DE8"/>
    <w:rsid w:val="00481C44"/>
    <w:rsid w:val="00484936"/>
    <w:rsid w:val="00485C89"/>
    <w:rsid w:val="00486BE3"/>
    <w:rsid w:val="004905E4"/>
    <w:rsid w:val="00490A89"/>
    <w:rsid w:val="00490AB4"/>
    <w:rsid w:val="004913AC"/>
    <w:rsid w:val="00491927"/>
    <w:rsid w:val="0049192F"/>
    <w:rsid w:val="00492F02"/>
    <w:rsid w:val="0049364C"/>
    <w:rsid w:val="004939AE"/>
    <w:rsid w:val="00494048"/>
    <w:rsid w:val="004A12DF"/>
    <w:rsid w:val="004A17E6"/>
    <w:rsid w:val="004A1BA8"/>
    <w:rsid w:val="004A4B57"/>
    <w:rsid w:val="004A63FA"/>
    <w:rsid w:val="004B0272"/>
    <w:rsid w:val="004B2701"/>
    <w:rsid w:val="004B2E1B"/>
    <w:rsid w:val="004B3AA8"/>
    <w:rsid w:val="004B3E93"/>
    <w:rsid w:val="004B665E"/>
    <w:rsid w:val="004C1FBC"/>
    <w:rsid w:val="004C3F1D"/>
    <w:rsid w:val="004C458D"/>
    <w:rsid w:val="004C4EAF"/>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4F8A"/>
    <w:rsid w:val="004E59E3"/>
    <w:rsid w:val="004E67C0"/>
    <w:rsid w:val="004F391A"/>
    <w:rsid w:val="004F3CFB"/>
    <w:rsid w:val="004F6456"/>
    <w:rsid w:val="004F696E"/>
    <w:rsid w:val="004F6C71"/>
    <w:rsid w:val="004F7EB6"/>
    <w:rsid w:val="00501139"/>
    <w:rsid w:val="00502E27"/>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47CFA"/>
    <w:rsid w:val="0055013B"/>
    <w:rsid w:val="00551F6F"/>
    <w:rsid w:val="0055207F"/>
    <w:rsid w:val="00554D69"/>
    <w:rsid w:val="00555044"/>
    <w:rsid w:val="00561475"/>
    <w:rsid w:val="005621DD"/>
    <w:rsid w:val="0056257C"/>
    <w:rsid w:val="0056487B"/>
    <w:rsid w:val="00564FB9"/>
    <w:rsid w:val="00573D9E"/>
    <w:rsid w:val="00575B4C"/>
    <w:rsid w:val="005801E3"/>
    <w:rsid w:val="00581802"/>
    <w:rsid w:val="005836A8"/>
    <w:rsid w:val="0058409C"/>
    <w:rsid w:val="00584262"/>
    <w:rsid w:val="00586630"/>
    <w:rsid w:val="00587ADD"/>
    <w:rsid w:val="00596160"/>
    <w:rsid w:val="005966E2"/>
    <w:rsid w:val="00597007"/>
    <w:rsid w:val="005A0211"/>
    <w:rsid w:val="005A067B"/>
    <w:rsid w:val="005A0966"/>
    <w:rsid w:val="005A11B7"/>
    <w:rsid w:val="005A260B"/>
    <w:rsid w:val="005A2DC3"/>
    <w:rsid w:val="005A4A1B"/>
    <w:rsid w:val="005A7830"/>
    <w:rsid w:val="005A7FCE"/>
    <w:rsid w:val="005B0F3F"/>
    <w:rsid w:val="005B2A59"/>
    <w:rsid w:val="005B4903"/>
    <w:rsid w:val="005B51CE"/>
    <w:rsid w:val="005B5885"/>
    <w:rsid w:val="005B5CD7"/>
    <w:rsid w:val="005B6CF6"/>
    <w:rsid w:val="005B7422"/>
    <w:rsid w:val="005C29B8"/>
    <w:rsid w:val="005C35FC"/>
    <w:rsid w:val="005C5F21"/>
    <w:rsid w:val="005C6400"/>
    <w:rsid w:val="005C7156"/>
    <w:rsid w:val="005D0C75"/>
    <w:rsid w:val="005D4171"/>
    <w:rsid w:val="005D6A95"/>
    <w:rsid w:val="005D6B2C"/>
    <w:rsid w:val="005D6D9C"/>
    <w:rsid w:val="005E2335"/>
    <w:rsid w:val="005E34CA"/>
    <w:rsid w:val="005E3C18"/>
    <w:rsid w:val="005E6812"/>
    <w:rsid w:val="005E7881"/>
    <w:rsid w:val="005E78E0"/>
    <w:rsid w:val="005F0D9C"/>
    <w:rsid w:val="005F24E3"/>
    <w:rsid w:val="005F284E"/>
    <w:rsid w:val="005F4712"/>
    <w:rsid w:val="006015CE"/>
    <w:rsid w:val="006045EB"/>
    <w:rsid w:val="00604784"/>
    <w:rsid w:val="00606419"/>
    <w:rsid w:val="006073AD"/>
    <w:rsid w:val="00607D29"/>
    <w:rsid w:val="00612952"/>
    <w:rsid w:val="00614CC1"/>
    <w:rsid w:val="00615A9D"/>
    <w:rsid w:val="00617387"/>
    <w:rsid w:val="006205D6"/>
    <w:rsid w:val="00621ED2"/>
    <w:rsid w:val="006252D8"/>
    <w:rsid w:val="006259BC"/>
    <w:rsid w:val="0062636B"/>
    <w:rsid w:val="00627E6A"/>
    <w:rsid w:val="00631A2E"/>
    <w:rsid w:val="00632182"/>
    <w:rsid w:val="00632AE0"/>
    <w:rsid w:val="00633C17"/>
    <w:rsid w:val="00634D9E"/>
    <w:rsid w:val="00636E3E"/>
    <w:rsid w:val="006379F7"/>
    <w:rsid w:val="00637E4D"/>
    <w:rsid w:val="00640620"/>
    <w:rsid w:val="00641A1F"/>
    <w:rsid w:val="00645904"/>
    <w:rsid w:val="00650D46"/>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858"/>
    <w:rsid w:val="00677A84"/>
    <w:rsid w:val="00677F0D"/>
    <w:rsid w:val="0068026D"/>
    <w:rsid w:val="00680A27"/>
    <w:rsid w:val="006816A4"/>
    <w:rsid w:val="006819B8"/>
    <w:rsid w:val="006840A6"/>
    <w:rsid w:val="006850CD"/>
    <w:rsid w:val="00685AAB"/>
    <w:rsid w:val="006A07AA"/>
    <w:rsid w:val="006A25E5"/>
    <w:rsid w:val="006A2B46"/>
    <w:rsid w:val="006A336D"/>
    <w:rsid w:val="006A37B9"/>
    <w:rsid w:val="006B1EBD"/>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3EA"/>
    <w:rsid w:val="006F03A8"/>
    <w:rsid w:val="006F11F9"/>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57CF"/>
    <w:rsid w:val="0073720F"/>
    <w:rsid w:val="00737796"/>
    <w:rsid w:val="0074165C"/>
    <w:rsid w:val="007420A5"/>
    <w:rsid w:val="00742C35"/>
    <w:rsid w:val="007432CA"/>
    <w:rsid w:val="007439EB"/>
    <w:rsid w:val="00743CB4"/>
    <w:rsid w:val="00743F0A"/>
    <w:rsid w:val="007444E8"/>
    <w:rsid w:val="0074548E"/>
    <w:rsid w:val="00745773"/>
    <w:rsid w:val="00746800"/>
    <w:rsid w:val="007470E9"/>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96352"/>
    <w:rsid w:val="007A0521"/>
    <w:rsid w:val="007A0684"/>
    <w:rsid w:val="007A2E12"/>
    <w:rsid w:val="007A3475"/>
    <w:rsid w:val="007A41C8"/>
    <w:rsid w:val="007A54CE"/>
    <w:rsid w:val="007A6FD9"/>
    <w:rsid w:val="007A7FFA"/>
    <w:rsid w:val="007B04EB"/>
    <w:rsid w:val="007B0D4F"/>
    <w:rsid w:val="007B5A3D"/>
    <w:rsid w:val="007B5B95"/>
    <w:rsid w:val="007B660B"/>
    <w:rsid w:val="007B68EA"/>
    <w:rsid w:val="007B7453"/>
    <w:rsid w:val="007C1E8B"/>
    <w:rsid w:val="007C2D89"/>
    <w:rsid w:val="007C39CD"/>
    <w:rsid w:val="007C4593"/>
    <w:rsid w:val="007C5309"/>
    <w:rsid w:val="007C6069"/>
    <w:rsid w:val="007C7CFF"/>
    <w:rsid w:val="007D06C4"/>
    <w:rsid w:val="007D1352"/>
    <w:rsid w:val="007D2508"/>
    <w:rsid w:val="007D346A"/>
    <w:rsid w:val="007D51F2"/>
    <w:rsid w:val="007D6518"/>
    <w:rsid w:val="007D76BD"/>
    <w:rsid w:val="007E0BF1"/>
    <w:rsid w:val="007E0C57"/>
    <w:rsid w:val="007E2FE1"/>
    <w:rsid w:val="007F0ED8"/>
    <w:rsid w:val="007F0F63"/>
    <w:rsid w:val="007F5DCE"/>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17421"/>
    <w:rsid w:val="008209E6"/>
    <w:rsid w:val="0082150D"/>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3373"/>
    <w:rsid w:val="00856316"/>
    <w:rsid w:val="008603CE"/>
    <w:rsid w:val="008620FC"/>
    <w:rsid w:val="008627A5"/>
    <w:rsid w:val="00863E05"/>
    <w:rsid w:val="00865ACA"/>
    <w:rsid w:val="00865D28"/>
    <w:rsid w:val="00865F85"/>
    <w:rsid w:val="00867C10"/>
    <w:rsid w:val="00870439"/>
    <w:rsid w:val="00870DA1"/>
    <w:rsid w:val="00873C4A"/>
    <w:rsid w:val="0088399C"/>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6AE"/>
    <w:rsid w:val="008A6F81"/>
    <w:rsid w:val="008A769A"/>
    <w:rsid w:val="008B0C9C"/>
    <w:rsid w:val="008B166D"/>
    <w:rsid w:val="008B17F4"/>
    <w:rsid w:val="008B2F2F"/>
    <w:rsid w:val="008B3615"/>
    <w:rsid w:val="008B4AC4"/>
    <w:rsid w:val="008B50C8"/>
    <w:rsid w:val="008B5281"/>
    <w:rsid w:val="008B7E05"/>
    <w:rsid w:val="008C1797"/>
    <w:rsid w:val="008C219C"/>
    <w:rsid w:val="008C38E2"/>
    <w:rsid w:val="008C475E"/>
    <w:rsid w:val="008C51E9"/>
    <w:rsid w:val="008C619A"/>
    <w:rsid w:val="008D0CE8"/>
    <w:rsid w:val="008D2D1D"/>
    <w:rsid w:val="008D453D"/>
    <w:rsid w:val="008D50BA"/>
    <w:rsid w:val="008D53AD"/>
    <w:rsid w:val="008D562B"/>
    <w:rsid w:val="008D5733"/>
    <w:rsid w:val="008D622B"/>
    <w:rsid w:val="008D666C"/>
    <w:rsid w:val="008D7B54"/>
    <w:rsid w:val="008E0C9D"/>
    <w:rsid w:val="008E1648"/>
    <w:rsid w:val="008E1B3E"/>
    <w:rsid w:val="008E2319"/>
    <w:rsid w:val="008E2BD4"/>
    <w:rsid w:val="008E4BB6"/>
    <w:rsid w:val="008E5518"/>
    <w:rsid w:val="008E6A84"/>
    <w:rsid w:val="008F0CDC"/>
    <w:rsid w:val="008F17A3"/>
    <w:rsid w:val="008F1ED3"/>
    <w:rsid w:val="008F23A5"/>
    <w:rsid w:val="008F4C29"/>
    <w:rsid w:val="008F70BD"/>
    <w:rsid w:val="008F788F"/>
    <w:rsid w:val="008F7EA2"/>
    <w:rsid w:val="0090125D"/>
    <w:rsid w:val="00902722"/>
    <w:rsid w:val="009027BC"/>
    <w:rsid w:val="009062E6"/>
    <w:rsid w:val="00911BE5"/>
    <w:rsid w:val="00913CA9"/>
    <w:rsid w:val="009145AE"/>
    <w:rsid w:val="009146CE"/>
    <w:rsid w:val="00914CA7"/>
    <w:rsid w:val="00915A46"/>
    <w:rsid w:val="00915C3E"/>
    <w:rsid w:val="009161A8"/>
    <w:rsid w:val="00922727"/>
    <w:rsid w:val="009241D1"/>
    <w:rsid w:val="009245F5"/>
    <w:rsid w:val="009249EC"/>
    <w:rsid w:val="00926EB7"/>
    <w:rsid w:val="00927313"/>
    <w:rsid w:val="009273B3"/>
    <w:rsid w:val="009305B5"/>
    <w:rsid w:val="00940C59"/>
    <w:rsid w:val="009419EA"/>
    <w:rsid w:val="009429D5"/>
    <w:rsid w:val="00942BF1"/>
    <w:rsid w:val="00945180"/>
    <w:rsid w:val="00945428"/>
    <w:rsid w:val="0094607B"/>
    <w:rsid w:val="00953604"/>
    <w:rsid w:val="0095496B"/>
    <w:rsid w:val="009553B0"/>
    <w:rsid w:val="00955F22"/>
    <w:rsid w:val="00960D1D"/>
    <w:rsid w:val="009610DC"/>
    <w:rsid w:val="00961490"/>
    <w:rsid w:val="00962A56"/>
    <w:rsid w:val="0096381A"/>
    <w:rsid w:val="00965E04"/>
    <w:rsid w:val="009674AD"/>
    <w:rsid w:val="00970CDC"/>
    <w:rsid w:val="00977010"/>
    <w:rsid w:val="00977D02"/>
    <w:rsid w:val="009809BB"/>
    <w:rsid w:val="0098364B"/>
    <w:rsid w:val="0099002E"/>
    <w:rsid w:val="009911AF"/>
    <w:rsid w:val="00991875"/>
    <w:rsid w:val="00991F92"/>
    <w:rsid w:val="00992985"/>
    <w:rsid w:val="00993889"/>
    <w:rsid w:val="0099551B"/>
    <w:rsid w:val="00997BF1"/>
    <w:rsid w:val="009A089C"/>
    <w:rsid w:val="009A118E"/>
    <w:rsid w:val="009A21CD"/>
    <w:rsid w:val="009A278C"/>
    <w:rsid w:val="009A2BC2"/>
    <w:rsid w:val="009A42C1"/>
    <w:rsid w:val="009A4D02"/>
    <w:rsid w:val="009A5429"/>
    <w:rsid w:val="009A72AD"/>
    <w:rsid w:val="009B09E0"/>
    <w:rsid w:val="009B0BC5"/>
    <w:rsid w:val="009B1247"/>
    <w:rsid w:val="009B6029"/>
    <w:rsid w:val="009B6971"/>
    <w:rsid w:val="009C0E4F"/>
    <w:rsid w:val="009C27F1"/>
    <w:rsid w:val="009C3152"/>
    <w:rsid w:val="009C4CFA"/>
    <w:rsid w:val="009C5070"/>
    <w:rsid w:val="009C7D82"/>
    <w:rsid w:val="009D112C"/>
    <w:rsid w:val="009D47FA"/>
    <w:rsid w:val="009D4C5B"/>
    <w:rsid w:val="009D50D2"/>
    <w:rsid w:val="009D6BCA"/>
    <w:rsid w:val="009E0F62"/>
    <w:rsid w:val="009E4A58"/>
    <w:rsid w:val="009E5566"/>
    <w:rsid w:val="009E5A2D"/>
    <w:rsid w:val="009E5AB2"/>
    <w:rsid w:val="009E6219"/>
    <w:rsid w:val="009F03B3"/>
    <w:rsid w:val="009F769A"/>
    <w:rsid w:val="00A0096C"/>
    <w:rsid w:val="00A00E23"/>
    <w:rsid w:val="00A01757"/>
    <w:rsid w:val="00A028C0"/>
    <w:rsid w:val="00A02BAE"/>
    <w:rsid w:val="00A03070"/>
    <w:rsid w:val="00A06A6B"/>
    <w:rsid w:val="00A07E47"/>
    <w:rsid w:val="00A129D0"/>
    <w:rsid w:val="00A12C33"/>
    <w:rsid w:val="00A138BA"/>
    <w:rsid w:val="00A14C8E"/>
    <w:rsid w:val="00A153D9"/>
    <w:rsid w:val="00A15F09"/>
    <w:rsid w:val="00A169B6"/>
    <w:rsid w:val="00A2271D"/>
    <w:rsid w:val="00A237D5"/>
    <w:rsid w:val="00A30EFC"/>
    <w:rsid w:val="00A30F9D"/>
    <w:rsid w:val="00A31984"/>
    <w:rsid w:val="00A32D73"/>
    <w:rsid w:val="00A3367B"/>
    <w:rsid w:val="00A3597D"/>
    <w:rsid w:val="00A36DD1"/>
    <w:rsid w:val="00A4006C"/>
    <w:rsid w:val="00A40091"/>
    <w:rsid w:val="00A4030F"/>
    <w:rsid w:val="00A41C79"/>
    <w:rsid w:val="00A41CB5"/>
    <w:rsid w:val="00A42830"/>
    <w:rsid w:val="00A42CDF"/>
    <w:rsid w:val="00A444BD"/>
    <w:rsid w:val="00A4452E"/>
    <w:rsid w:val="00A4472C"/>
    <w:rsid w:val="00A44E69"/>
    <w:rsid w:val="00A463F2"/>
    <w:rsid w:val="00A4661E"/>
    <w:rsid w:val="00A50FF7"/>
    <w:rsid w:val="00A55BD6"/>
    <w:rsid w:val="00A55D50"/>
    <w:rsid w:val="00A57142"/>
    <w:rsid w:val="00A636DC"/>
    <w:rsid w:val="00A648CD"/>
    <w:rsid w:val="00A6537A"/>
    <w:rsid w:val="00A67866"/>
    <w:rsid w:val="00A70B07"/>
    <w:rsid w:val="00A723F8"/>
    <w:rsid w:val="00A77CCB"/>
    <w:rsid w:val="00A8141E"/>
    <w:rsid w:val="00A83D8D"/>
    <w:rsid w:val="00A8446B"/>
    <w:rsid w:val="00A8473F"/>
    <w:rsid w:val="00A862D6"/>
    <w:rsid w:val="00A8715E"/>
    <w:rsid w:val="00A928D2"/>
    <w:rsid w:val="00A9295B"/>
    <w:rsid w:val="00A93B09"/>
    <w:rsid w:val="00A94247"/>
    <w:rsid w:val="00A952D7"/>
    <w:rsid w:val="00A963F7"/>
    <w:rsid w:val="00A96AD8"/>
    <w:rsid w:val="00A976B2"/>
    <w:rsid w:val="00AA052C"/>
    <w:rsid w:val="00AA1E45"/>
    <w:rsid w:val="00AA4286"/>
    <w:rsid w:val="00AA456B"/>
    <w:rsid w:val="00AA57F5"/>
    <w:rsid w:val="00AA672E"/>
    <w:rsid w:val="00AA6EC9"/>
    <w:rsid w:val="00AA7811"/>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D7FA0"/>
    <w:rsid w:val="00AE070A"/>
    <w:rsid w:val="00AE101C"/>
    <w:rsid w:val="00AE37E5"/>
    <w:rsid w:val="00AE5EB4"/>
    <w:rsid w:val="00AF0C18"/>
    <w:rsid w:val="00AF34FD"/>
    <w:rsid w:val="00AF47C5"/>
    <w:rsid w:val="00AF4D87"/>
    <w:rsid w:val="00AF5398"/>
    <w:rsid w:val="00B049AF"/>
    <w:rsid w:val="00B04A2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9DC"/>
    <w:rsid w:val="00B34DC2"/>
    <w:rsid w:val="00B378E5"/>
    <w:rsid w:val="00B41075"/>
    <w:rsid w:val="00B4346D"/>
    <w:rsid w:val="00B440F4"/>
    <w:rsid w:val="00B4422F"/>
    <w:rsid w:val="00B447A5"/>
    <w:rsid w:val="00B4654C"/>
    <w:rsid w:val="00B47293"/>
    <w:rsid w:val="00B50C6A"/>
    <w:rsid w:val="00B50E50"/>
    <w:rsid w:val="00B52120"/>
    <w:rsid w:val="00B54ABC"/>
    <w:rsid w:val="00B54DDE"/>
    <w:rsid w:val="00B56FBE"/>
    <w:rsid w:val="00B60ACF"/>
    <w:rsid w:val="00B6103F"/>
    <w:rsid w:val="00B62B58"/>
    <w:rsid w:val="00B65149"/>
    <w:rsid w:val="00B66567"/>
    <w:rsid w:val="00B66F52"/>
    <w:rsid w:val="00B66FE5"/>
    <w:rsid w:val="00B72880"/>
    <w:rsid w:val="00B758BF"/>
    <w:rsid w:val="00B77EC8"/>
    <w:rsid w:val="00B827A6"/>
    <w:rsid w:val="00B831CE"/>
    <w:rsid w:val="00B8619D"/>
    <w:rsid w:val="00B86677"/>
    <w:rsid w:val="00B87131"/>
    <w:rsid w:val="00B91108"/>
    <w:rsid w:val="00B939B1"/>
    <w:rsid w:val="00B94BBF"/>
    <w:rsid w:val="00B96D40"/>
    <w:rsid w:val="00B97386"/>
    <w:rsid w:val="00BA1893"/>
    <w:rsid w:val="00BA263B"/>
    <w:rsid w:val="00BA42B2"/>
    <w:rsid w:val="00BA58D4"/>
    <w:rsid w:val="00BA5B9E"/>
    <w:rsid w:val="00BA7C9A"/>
    <w:rsid w:val="00BB5F8F"/>
    <w:rsid w:val="00BB657A"/>
    <w:rsid w:val="00BC1A4E"/>
    <w:rsid w:val="00BC50F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205B"/>
    <w:rsid w:val="00C04904"/>
    <w:rsid w:val="00C056B3"/>
    <w:rsid w:val="00C103E5"/>
    <w:rsid w:val="00C13319"/>
    <w:rsid w:val="00C13EE9"/>
    <w:rsid w:val="00C21540"/>
    <w:rsid w:val="00C21906"/>
    <w:rsid w:val="00C21BFA"/>
    <w:rsid w:val="00C22148"/>
    <w:rsid w:val="00C24C8D"/>
    <w:rsid w:val="00C25FE2"/>
    <w:rsid w:val="00C26B53"/>
    <w:rsid w:val="00C279B2"/>
    <w:rsid w:val="00C331B3"/>
    <w:rsid w:val="00C33E50"/>
    <w:rsid w:val="00C34C20"/>
    <w:rsid w:val="00C35A3E"/>
    <w:rsid w:val="00C42130"/>
    <w:rsid w:val="00C423A4"/>
    <w:rsid w:val="00C44BF5"/>
    <w:rsid w:val="00C50ADE"/>
    <w:rsid w:val="00C521D6"/>
    <w:rsid w:val="00C55232"/>
    <w:rsid w:val="00C553A4"/>
    <w:rsid w:val="00C55A06"/>
    <w:rsid w:val="00C55D03"/>
    <w:rsid w:val="00C5742D"/>
    <w:rsid w:val="00C601BC"/>
    <w:rsid w:val="00C60E53"/>
    <w:rsid w:val="00C6329F"/>
    <w:rsid w:val="00C63340"/>
    <w:rsid w:val="00C643F9"/>
    <w:rsid w:val="00C64E95"/>
    <w:rsid w:val="00C71372"/>
    <w:rsid w:val="00C72410"/>
    <w:rsid w:val="00C7287F"/>
    <w:rsid w:val="00C80CB8"/>
    <w:rsid w:val="00C819F8"/>
    <w:rsid w:val="00C8248C"/>
    <w:rsid w:val="00C84E33"/>
    <w:rsid w:val="00C8605F"/>
    <w:rsid w:val="00C86D6F"/>
    <w:rsid w:val="00C87CFB"/>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025B"/>
    <w:rsid w:val="00CD2808"/>
    <w:rsid w:val="00CD28BF"/>
    <w:rsid w:val="00CD4092"/>
    <w:rsid w:val="00CD4A20"/>
    <w:rsid w:val="00CD50A1"/>
    <w:rsid w:val="00CD519E"/>
    <w:rsid w:val="00CE0C4F"/>
    <w:rsid w:val="00CE30EA"/>
    <w:rsid w:val="00CF048A"/>
    <w:rsid w:val="00CF155A"/>
    <w:rsid w:val="00CF16D7"/>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5DF"/>
    <w:rsid w:val="00D1489E"/>
    <w:rsid w:val="00D20737"/>
    <w:rsid w:val="00D21E81"/>
    <w:rsid w:val="00D223DE"/>
    <w:rsid w:val="00D25E37"/>
    <w:rsid w:val="00D2661A"/>
    <w:rsid w:val="00D27582"/>
    <w:rsid w:val="00D27EC4"/>
    <w:rsid w:val="00D30CDD"/>
    <w:rsid w:val="00D32719"/>
    <w:rsid w:val="00D33333"/>
    <w:rsid w:val="00D33457"/>
    <w:rsid w:val="00D352A2"/>
    <w:rsid w:val="00D4162B"/>
    <w:rsid w:val="00D41E88"/>
    <w:rsid w:val="00D4514F"/>
    <w:rsid w:val="00D451E2"/>
    <w:rsid w:val="00D45E89"/>
    <w:rsid w:val="00D45E8D"/>
    <w:rsid w:val="00D466AE"/>
    <w:rsid w:val="00D4734F"/>
    <w:rsid w:val="00D50F1B"/>
    <w:rsid w:val="00D51BF3"/>
    <w:rsid w:val="00D5339E"/>
    <w:rsid w:val="00D6345F"/>
    <w:rsid w:val="00D65712"/>
    <w:rsid w:val="00D66846"/>
    <w:rsid w:val="00D675FB"/>
    <w:rsid w:val="00D71F25"/>
    <w:rsid w:val="00D72A9C"/>
    <w:rsid w:val="00D77031"/>
    <w:rsid w:val="00D77218"/>
    <w:rsid w:val="00D84941"/>
    <w:rsid w:val="00D84FA1"/>
    <w:rsid w:val="00D851F0"/>
    <w:rsid w:val="00D85D25"/>
    <w:rsid w:val="00D86DB7"/>
    <w:rsid w:val="00D926D0"/>
    <w:rsid w:val="00D93030"/>
    <w:rsid w:val="00D93179"/>
    <w:rsid w:val="00D94555"/>
    <w:rsid w:val="00D950E1"/>
    <w:rsid w:val="00D952A6"/>
    <w:rsid w:val="00D97F99"/>
    <w:rsid w:val="00DA0F68"/>
    <w:rsid w:val="00DA1E08"/>
    <w:rsid w:val="00DA24F8"/>
    <w:rsid w:val="00DA28E8"/>
    <w:rsid w:val="00DA38D3"/>
    <w:rsid w:val="00DA3932"/>
    <w:rsid w:val="00DA3AFC"/>
    <w:rsid w:val="00DA64F8"/>
    <w:rsid w:val="00DA6C15"/>
    <w:rsid w:val="00DB0258"/>
    <w:rsid w:val="00DB06EA"/>
    <w:rsid w:val="00DB0B04"/>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3258"/>
    <w:rsid w:val="00DE6E81"/>
    <w:rsid w:val="00DE703F"/>
    <w:rsid w:val="00DE7595"/>
    <w:rsid w:val="00DF1961"/>
    <w:rsid w:val="00DF2794"/>
    <w:rsid w:val="00DF44DE"/>
    <w:rsid w:val="00DF5F11"/>
    <w:rsid w:val="00DF654F"/>
    <w:rsid w:val="00DF769F"/>
    <w:rsid w:val="00E01138"/>
    <w:rsid w:val="00E02DFB"/>
    <w:rsid w:val="00E030F9"/>
    <w:rsid w:val="00E0311A"/>
    <w:rsid w:val="00E03138"/>
    <w:rsid w:val="00E06404"/>
    <w:rsid w:val="00E11A85"/>
    <w:rsid w:val="00E12495"/>
    <w:rsid w:val="00E15CCD"/>
    <w:rsid w:val="00E17EB7"/>
    <w:rsid w:val="00E202EF"/>
    <w:rsid w:val="00E210B5"/>
    <w:rsid w:val="00E23D99"/>
    <w:rsid w:val="00E2552F"/>
    <w:rsid w:val="00E30E51"/>
    <w:rsid w:val="00E3137A"/>
    <w:rsid w:val="00E32CCF"/>
    <w:rsid w:val="00E337C9"/>
    <w:rsid w:val="00E34A98"/>
    <w:rsid w:val="00E35D1E"/>
    <w:rsid w:val="00E364F9"/>
    <w:rsid w:val="00E365FA"/>
    <w:rsid w:val="00E36789"/>
    <w:rsid w:val="00E43B4E"/>
    <w:rsid w:val="00E44A83"/>
    <w:rsid w:val="00E502C1"/>
    <w:rsid w:val="00E502DD"/>
    <w:rsid w:val="00E50D3A"/>
    <w:rsid w:val="00E51387"/>
    <w:rsid w:val="00E51E68"/>
    <w:rsid w:val="00E52EFD"/>
    <w:rsid w:val="00E5396D"/>
    <w:rsid w:val="00E5408A"/>
    <w:rsid w:val="00E54E1C"/>
    <w:rsid w:val="00E56800"/>
    <w:rsid w:val="00E60AD8"/>
    <w:rsid w:val="00E60C63"/>
    <w:rsid w:val="00E62FF9"/>
    <w:rsid w:val="00E635D6"/>
    <w:rsid w:val="00E639BC"/>
    <w:rsid w:val="00E664CC"/>
    <w:rsid w:val="00E70388"/>
    <w:rsid w:val="00E70F92"/>
    <w:rsid w:val="00E712D5"/>
    <w:rsid w:val="00E74C54"/>
    <w:rsid w:val="00E77A03"/>
    <w:rsid w:val="00E822E8"/>
    <w:rsid w:val="00E82554"/>
    <w:rsid w:val="00E82606"/>
    <w:rsid w:val="00E846C8"/>
    <w:rsid w:val="00E84957"/>
    <w:rsid w:val="00E84A55"/>
    <w:rsid w:val="00E85BFF"/>
    <w:rsid w:val="00E8685C"/>
    <w:rsid w:val="00E90391"/>
    <w:rsid w:val="00E906C2"/>
    <w:rsid w:val="00E9311F"/>
    <w:rsid w:val="00E934D1"/>
    <w:rsid w:val="00E94AF0"/>
    <w:rsid w:val="00E95D13"/>
    <w:rsid w:val="00E95DD3"/>
    <w:rsid w:val="00E969D5"/>
    <w:rsid w:val="00EA58D1"/>
    <w:rsid w:val="00EA61BC"/>
    <w:rsid w:val="00EA681A"/>
    <w:rsid w:val="00EA735B"/>
    <w:rsid w:val="00EB10BA"/>
    <w:rsid w:val="00EB17DE"/>
    <w:rsid w:val="00EB1E69"/>
    <w:rsid w:val="00EB2086"/>
    <w:rsid w:val="00EB5EDF"/>
    <w:rsid w:val="00EB60FE"/>
    <w:rsid w:val="00EB74DB"/>
    <w:rsid w:val="00EC4653"/>
    <w:rsid w:val="00EC5359"/>
    <w:rsid w:val="00EC562A"/>
    <w:rsid w:val="00ED067A"/>
    <w:rsid w:val="00ED2B50"/>
    <w:rsid w:val="00ED5CA0"/>
    <w:rsid w:val="00ED649F"/>
    <w:rsid w:val="00EE0350"/>
    <w:rsid w:val="00EE0719"/>
    <w:rsid w:val="00EE0E80"/>
    <w:rsid w:val="00EE1198"/>
    <w:rsid w:val="00EE49F5"/>
    <w:rsid w:val="00EE54A6"/>
    <w:rsid w:val="00EE613F"/>
    <w:rsid w:val="00EE7295"/>
    <w:rsid w:val="00EE7869"/>
    <w:rsid w:val="00EF054A"/>
    <w:rsid w:val="00EF3235"/>
    <w:rsid w:val="00EF560D"/>
    <w:rsid w:val="00EF7E72"/>
    <w:rsid w:val="00F033BD"/>
    <w:rsid w:val="00F05859"/>
    <w:rsid w:val="00F06D37"/>
    <w:rsid w:val="00F07B9D"/>
    <w:rsid w:val="00F11586"/>
    <w:rsid w:val="00F1183B"/>
    <w:rsid w:val="00F11C9F"/>
    <w:rsid w:val="00F12263"/>
    <w:rsid w:val="00F1409D"/>
    <w:rsid w:val="00F14214"/>
    <w:rsid w:val="00F157A9"/>
    <w:rsid w:val="00F25BB6"/>
    <w:rsid w:val="00F26B7E"/>
    <w:rsid w:val="00F26D1D"/>
    <w:rsid w:val="00F27A3B"/>
    <w:rsid w:val="00F33817"/>
    <w:rsid w:val="00F352E1"/>
    <w:rsid w:val="00F420D5"/>
    <w:rsid w:val="00F451EA"/>
    <w:rsid w:val="00F45447"/>
    <w:rsid w:val="00F456C6"/>
    <w:rsid w:val="00F4577B"/>
    <w:rsid w:val="00F46496"/>
    <w:rsid w:val="00F474D0"/>
    <w:rsid w:val="00F50179"/>
    <w:rsid w:val="00F515EE"/>
    <w:rsid w:val="00F56511"/>
    <w:rsid w:val="00F57E5C"/>
    <w:rsid w:val="00F6194E"/>
    <w:rsid w:val="00F623AC"/>
    <w:rsid w:val="00F6412A"/>
    <w:rsid w:val="00F65893"/>
    <w:rsid w:val="00F66A4A"/>
    <w:rsid w:val="00F71E22"/>
    <w:rsid w:val="00F72142"/>
    <w:rsid w:val="00F724CC"/>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22F"/>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06CC"/>
    <w:rsid w:val="00FE1FBE"/>
    <w:rsid w:val="00FE3901"/>
    <w:rsid w:val="00FE39D3"/>
    <w:rsid w:val="00FE4BCE"/>
    <w:rsid w:val="00FE54AE"/>
    <w:rsid w:val="00FE576A"/>
    <w:rsid w:val="00FE7E79"/>
    <w:rsid w:val="00FF3E7D"/>
    <w:rsid w:val="00FF5B99"/>
    <w:rsid w:val="00FF730C"/>
    <w:rsid w:val="00FF73F4"/>
    <w:rsid w:val="00FF7CE4"/>
    <w:rsid w:val="00FF7E39"/>
    <w:rsid w:val="04850D4A"/>
    <w:rsid w:val="07425B67"/>
    <w:rsid w:val="0C5452BA"/>
    <w:rsid w:val="0DDC0AA0"/>
    <w:rsid w:val="0EB06F9C"/>
    <w:rsid w:val="125B0434"/>
    <w:rsid w:val="1C405CB0"/>
    <w:rsid w:val="1D43046F"/>
    <w:rsid w:val="1D4E496C"/>
    <w:rsid w:val="1F0E2889"/>
    <w:rsid w:val="20261D50"/>
    <w:rsid w:val="20A53BC5"/>
    <w:rsid w:val="23BB36F5"/>
    <w:rsid w:val="272E36E6"/>
    <w:rsid w:val="352D5877"/>
    <w:rsid w:val="35461830"/>
    <w:rsid w:val="36212EC4"/>
    <w:rsid w:val="4086762E"/>
    <w:rsid w:val="4891630D"/>
    <w:rsid w:val="4915517C"/>
    <w:rsid w:val="4C53777E"/>
    <w:rsid w:val="4F382CCF"/>
    <w:rsid w:val="58C9128B"/>
    <w:rsid w:val="5E51404C"/>
    <w:rsid w:val="6C29563C"/>
    <w:rsid w:val="6D827A42"/>
    <w:rsid w:val="6E6B0FBA"/>
    <w:rsid w:val="707D01E8"/>
    <w:rsid w:val="71823031"/>
    <w:rsid w:val="77490ACA"/>
    <w:rsid w:val="776A10BA"/>
    <w:rsid w:val="7A40688D"/>
    <w:rsid w:val="7DAD42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unhideWhenUsed/>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rFonts w:ascii="Times New Roman" w:hAnsi="Times New Roman" w:eastAsia="宋体" w:cs="Times New Roman"/>
      <w:b/>
      <w:bCs/>
      <w:kern w:val="44"/>
      <w:sz w:val="44"/>
      <w:szCs w:val="44"/>
    </w:rPr>
  </w:style>
  <w:style w:type="character" w:customStyle="1" w:styleId="35">
    <w:name w:val="标题 2 字符"/>
    <w:link w:val="3"/>
    <w:qFormat/>
    <w:uiPriority w:val="0"/>
    <w:rPr>
      <w:rFonts w:ascii="Arial" w:hAnsi="Arial" w:eastAsia="黑体" w:cs="Times New Roman"/>
      <w:b/>
      <w:bCs/>
      <w:sz w:val="32"/>
      <w:szCs w:val="32"/>
    </w:rPr>
  </w:style>
  <w:style w:type="character" w:customStyle="1" w:styleId="36">
    <w:name w:val="标题 3 字符"/>
    <w:link w:val="4"/>
    <w:qFormat/>
    <w:uiPriority w:val="0"/>
    <w:rPr>
      <w:rFonts w:ascii="Times New Roman" w:hAnsi="Times New Roman" w:eastAsia="宋体" w:cs="Times New Roman"/>
      <w:b/>
      <w:bCs/>
      <w:sz w:val="32"/>
      <w:szCs w:val="32"/>
    </w:rPr>
  </w:style>
  <w:style w:type="character" w:customStyle="1" w:styleId="37">
    <w:name w:val="标题 4 字符"/>
    <w:link w:val="5"/>
    <w:qFormat/>
    <w:uiPriority w:val="0"/>
    <w:rPr>
      <w:rFonts w:ascii="Arial" w:hAnsi="Arial" w:eastAsia="黑体" w:cs="Times New Roman"/>
      <w:b/>
      <w:bCs/>
      <w:sz w:val="28"/>
      <w:szCs w:val="28"/>
    </w:rPr>
  </w:style>
  <w:style w:type="character" w:customStyle="1" w:styleId="38">
    <w:name w:val="标题 5 字符"/>
    <w:link w:val="6"/>
    <w:qFormat/>
    <w:uiPriority w:val="0"/>
    <w:rPr>
      <w:rFonts w:ascii="Times New Roman" w:hAnsi="Times New Roman" w:eastAsia="宋体" w:cs="Times New Roman"/>
      <w:b/>
      <w:bCs/>
      <w:sz w:val="28"/>
      <w:szCs w:val="28"/>
    </w:rPr>
  </w:style>
  <w:style w:type="character" w:customStyle="1" w:styleId="39">
    <w:name w:val="标题 6 字符"/>
    <w:link w:val="7"/>
    <w:qFormat/>
    <w:uiPriority w:val="0"/>
    <w:rPr>
      <w:rFonts w:ascii="Arial" w:hAnsi="Arial" w:eastAsia="黑体" w:cs="Times New Roman"/>
      <w:b/>
      <w:bCs/>
      <w:sz w:val="24"/>
      <w:szCs w:val="24"/>
    </w:rPr>
  </w:style>
  <w:style w:type="character" w:customStyle="1" w:styleId="40">
    <w:name w:val="标题 7 字符"/>
    <w:link w:val="8"/>
    <w:qFormat/>
    <w:uiPriority w:val="0"/>
    <w:rPr>
      <w:rFonts w:ascii="Times New Roman" w:hAnsi="Times New Roman" w:eastAsia="宋体" w:cs="Times New Roman"/>
      <w:b/>
      <w:bCs/>
      <w:sz w:val="24"/>
      <w:szCs w:val="24"/>
    </w:rPr>
  </w:style>
  <w:style w:type="character" w:customStyle="1" w:styleId="41">
    <w:name w:val="标题 8 字符"/>
    <w:link w:val="9"/>
    <w:qFormat/>
    <w:uiPriority w:val="0"/>
    <w:rPr>
      <w:rFonts w:ascii="Arial" w:hAnsi="Arial" w:eastAsia="黑体" w:cs="Times New Roman"/>
      <w:sz w:val="24"/>
      <w:szCs w:val="24"/>
    </w:rPr>
  </w:style>
  <w:style w:type="character" w:customStyle="1" w:styleId="42">
    <w:name w:val="标题 9 字符"/>
    <w:link w:val="10"/>
    <w:qFormat/>
    <w:uiPriority w:val="0"/>
    <w:rPr>
      <w:rFonts w:ascii="Arial" w:hAnsi="Arial" w:eastAsia="黑体" w:cs="Times New Roman"/>
      <w:szCs w:val="21"/>
    </w:rPr>
  </w:style>
  <w:style w:type="character" w:customStyle="1" w:styleId="43">
    <w:name w:val="页眉 字符"/>
    <w:link w:val="18"/>
    <w:qFormat/>
    <w:uiPriority w:val="99"/>
    <w:rPr>
      <w:rFonts w:ascii="Times New Roman" w:hAnsi="Times New Roman" w:eastAsia="宋体" w:cs="Times New Roman"/>
      <w:sz w:val="18"/>
      <w:szCs w:val="18"/>
    </w:rPr>
  </w:style>
  <w:style w:type="character" w:customStyle="1" w:styleId="44">
    <w:name w:val="页脚 字符"/>
    <w:link w:val="17"/>
    <w:qFormat/>
    <w:uiPriority w:val="99"/>
    <w:rPr>
      <w:rFonts w:ascii="宋体" w:hAnsi="Times New Roman" w:eastAsia="宋体" w:cs="Times New Roman"/>
      <w:sz w:val="18"/>
      <w:szCs w:val="18"/>
    </w:rPr>
  </w:style>
  <w:style w:type="character" w:customStyle="1" w:styleId="45">
    <w:name w:val="批注框文本 字符"/>
    <w:link w:val="16"/>
    <w:semiHidden/>
    <w:qFormat/>
    <w:uiPriority w:val="99"/>
    <w:rPr>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rPr>
  </w:style>
  <w:style w:type="character" w:customStyle="1" w:styleId="48">
    <w:name w:val="标题 字符"/>
    <w:link w:val="25"/>
    <w:qFormat/>
    <w:uiPriority w:val="0"/>
    <w:rPr>
      <w:rFonts w:ascii="Arial" w:hAnsi="Arial" w:eastAsia="宋体" w:cs="Arial"/>
      <w:b/>
      <w:bCs/>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40" w:beforeLines="4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ind w:left="0" w:firstLine="42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rFonts w:ascii="Times New Roman" w:hAnsi="Times New Roman" w:eastAsia="宋体" w:cs="Times New Roman"/>
      <w:szCs w:val="20"/>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after="150" w:afterLines="150"/>
      <w:ind w:left="0" w:firstLine="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pPr>
  </w:style>
  <w:style w:type="paragraph" w:customStyle="1" w:styleId="91">
    <w:name w:val="标准文件_目录标题"/>
    <w:basedOn w:val="1"/>
    <w:qFormat/>
    <w:uiPriority w:val="0"/>
    <w:pPr>
      <w:spacing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ind w:left="0" w:firstLine="200"/>
    </w:pPr>
  </w:style>
  <w:style w:type="paragraph" w:customStyle="1" w:styleId="94">
    <w:name w:val="标准文件_三级条标题"/>
    <w:basedOn w:val="65"/>
    <w:next w:val="56"/>
    <w:qFormat/>
    <w:uiPriority w:val="0"/>
    <w:pPr>
      <w:widowControl/>
      <w:numPr>
        <w:ilvl w:val="4"/>
      </w:numPr>
      <w:ind w:left="709"/>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hAnsi="Times New Roman" w:eastAsia="宋体" w:cs="Times New Roman"/>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ind w:left="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qFormat/>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qFormat/>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qFormat/>
    <w:uiPriority w:val="0"/>
    <w:pPr>
      <w:adjustRightInd/>
      <w:spacing w:line="240" w:lineRule="auto"/>
      <w:jc w:val="left"/>
    </w:pPr>
  </w:style>
  <w:style w:type="paragraph" w:customStyle="1" w:styleId="147">
    <w:name w:val="目录 71"/>
    <w:basedOn w:val="146"/>
    <w:semiHidden/>
    <w:qFormat/>
    <w:uiPriority w:val="0"/>
    <w:pPr>
      <w:ind w:left="1260"/>
    </w:pPr>
  </w:style>
  <w:style w:type="paragraph" w:customStyle="1" w:styleId="148">
    <w:name w:val="目录 81"/>
    <w:basedOn w:val="147"/>
    <w:semiHidden/>
    <w:qFormat/>
    <w:uiPriority w:val="0"/>
    <w:pPr>
      <w:ind w:left="1470"/>
    </w:pPr>
  </w:style>
  <w:style w:type="paragraph" w:customStyle="1" w:styleId="149">
    <w:name w:val="目录 91"/>
    <w:basedOn w:val="148"/>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ind w:left="783"/>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20" w:beforeLines="2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left="1271" w:hanging="420" w:firstLineChars="0"/>
    </w:pPr>
  </w:style>
  <w:style w:type="paragraph" w:customStyle="1" w:styleId="188">
    <w:name w:val="标准文件_三级项2"/>
    <w:basedOn w:val="56"/>
    <w:qFormat/>
    <w:uiPriority w:val="0"/>
    <w:pPr>
      <w:numPr>
        <w:ilvl w:val="0"/>
        <w:numId w:val="30"/>
      </w:numPr>
      <w:spacing w:line="300" w:lineRule="exact"/>
      <w:ind w:left="1276" w:hanging="425" w:firstLineChars="0"/>
    </w:pPr>
    <w:rPr>
      <w:rFonts w:ascii="Times New Roman"/>
    </w:rPr>
  </w:style>
  <w:style w:type="paragraph" w:customStyle="1" w:styleId="189">
    <w:name w:val="标准文件_一级项2"/>
    <w:basedOn w:val="56"/>
    <w:qFormat/>
    <w:uiPriority w:val="0"/>
    <w:pPr>
      <w:numPr>
        <w:ilvl w:val="0"/>
        <w:numId w:val="31"/>
      </w:numPr>
      <w:spacing w:line="300" w:lineRule="exact"/>
      <w:ind w:left="1271" w:hanging="420"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frame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next w:val="56"/>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 w:type="paragraph" w:styleId="230">
    <w:name w:val="List Paragraph"/>
    <w:basedOn w:val="1"/>
    <w:qFormat/>
    <w:uiPriority w:val="34"/>
    <w:pPr>
      <w:ind w:firstLine="420" w:firstLineChars="200"/>
    </w:pPr>
  </w:style>
  <w:style w:type="paragraph" w:customStyle="1" w:styleId="231">
    <w:name w:val="WPSOffice手动目录 1"/>
    <w:qFormat/>
    <w:uiPriority w:val="0"/>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9" Type="http://schemas.openxmlformats.org/officeDocument/2006/relationships/glossaryDocument" Target="glossary/document.xml"/><Relationship Id="rId58" Type="http://schemas.openxmlformats.org/officeDocument/2006/relationships/fontTable" Target="fontTable.xml"/><Relationship Id="rId57" Type="http://schemas.openxmlformats.org/officeDocument/2006/relationships/customXml" Target="../customXml/item2.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39.png"/><Relationship Id="rId53" Type="http://schemas.openxmlformats.org/officeDocument/2006/relationships/image" Target="media/image38.png"/><Relationship Id="rId52" Type="http://schemas.openxmlformats.org/officeDocument/2006/relationships/image" Target="media/image37.jpeg"/><Relationship Id="rId51" Type="http://schemas.openxmlformats.org/officeDocument/2006/relationships/image" Target="media/image36.png"/><Relationship Id="rId50" Type="http://schemas.openxmlformats.org/officeDocument/2006/relationships/image" Target="media/image35.png"/><Relationship Id="rId5" Type="http://schemas.openxmlformats.org/officeDocument/2006/relationships/header" Target="header1.xml"/><Relationship Id="rId49" Type="http://schemas.openxmlformats.org/officeDocument/2006/relationships/image" Target="media/image34.png"/><Relationship Id="rId48" Type="http://schemas.openxmlformats.org/officeDocument/2006/relationships/image" Target="media/image33.png"/><Relationship Id="rId47" Type="http://schemas.openxmlformats.org/officeDocument/2006/relationships/image" Target="media/image32.jpeg"/><Relationship Id="rId46" Type="http://schemas.openxmlformats.org/officeDocument/2006/relationships/image" Target="media/image31.jpeg"/><Relationship Id="rId45" Type="http://schemas.openxmlformats.org/officeDocument/2006/relationships/image" Target="media/image30.jpeg"/><Relationship Id="rId44" Type="http://schemas.openxmlformats.org/officeDocument/2006/relationships/image" Target="media/image29.jpeg"/><Relationship Id="rId43" Type="http://schemas.openxmlformats.org/officeDocument/2006/relationships/image" Target="media/image28.jpeg"/><Relationship Id="rId42" Type="http://schemas.openxmlformats.org/officeDocument/2006/relationships/image" Target="media/image27.jpeg"/><Relationship Id="rId41" Type="http://schemas.openxmlformats.org/officeDocument/2006/relationships/image" Target="media/image26.jpeg"/><Relationship Id="rId40" Type="http://schemas.openxmlformats.org/officeDocument/2006/relationships/image" Target="media/image25.jpeg"/><Relationship Id="rId4" Type="http://schemas.openxmlformats.org/officeDocument/2006/relationships/endnotes" Target="endnotes.xml"/><Relationship Id="rId39" Type="http://schemas.openxmlformats.org/officeDocument/2006/relationships/image" Target="media/image24.jpeg"/><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jpe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footnotes" Target="footnotes.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204FE3FB5FB14D9D88614C89C9F2A0F3"/>
        <w:style w:val=""/>
        <w:category>
          <w:name w:val="常规"/>
          <w:gallery w:val="placeholder"/>
        </w:category>
        <w:types>
          <w:type w:val="bbPlcHdr"/>
        </w:types>
        <w:behaviors>
          <w:behavior w:val="content"/>
        </w:behaviors>
        <w:description w:val=""/>
        <w:guid w:val="{FAC2F5CA-4D1D-4D9C-9CAA-52C289018D71}"/>
      </w:docPartPr>
      <w:docPartBody>
        <w:p>
          <w:pPr>
            <w:pStyle w:val="5"/>
          </w:pPr>
          <w:r>
            <w:rPr>
              <w:rStyle w:val="4"/>
              <w:rFonts w:hint="eastAsia"/>
            </w:rPr>
            <w:t>单击或点击此处输入文字。</w:t>
          </w:r>
        </w:p>
      </w:docPartBody>
    </w:docPart>
    <w:docPart>
      <w:docPartPr>
        <w:name w:val="744DBF12F2944CCAB28E913116D30785"/>
        <w:style w:val=""/>
        <w:category>
          <w:name w:val="常规"/>
          <w:gallery w:val="placeholder"/>
        </w:category>
        <w:types>
          <w:type w:val="bbPlcHdr"/>
        </w:types>
        <w:behaviors>
          <w:behavior w:val="content"/>
        </w:behaviors>
        <w:description w:val=""/>
        <w:guid w:val="{5625CA0D-E3D7-4686-BDB4-4D6C110B9AD7}"/>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5F3"/>
    <w:rsid w:val="000E5B3C"/>
    <w:rsid w:val="00633573"/>
    <w:rsid w:val="00724224"/>
    <w:rsid w:val="0082489B"/>
    <w:rsid w:val="00964B5C"/>
    <w:rsid w:val="009915D6"/>
    <w:rsid w:val="00AA2B0E"/>
    <w:rsid w:val="00E145F1"/>
    <w:rsid w:val="00F665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204FE3FB5FB14D9D88614C89C9F2A0F3"/>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95CDC18132FA4D83A2282D0FEFF80CFD"/>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744DBF12F2944CCAB28E913116D30785"/>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DA79D9-6D6C-42BC-BC49-E41BC1A1EA3B}">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51</Pages>
  <Words>5706</Words>
  <Characters>32525</Characters>
  <Lines>271</Lines>
  <Paragraphs>76</Paragraphs>
  <TotalTime>6</TotalTime>
  <ScaleCrop>false</ScaleCrop>
  <LinksUpToDate>false</LinksUpToDate>
  <CharactersWithSpaces>38155</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2021-05-25T03:14:00Z</dcterms:created>
  <dc:creator>Lenovo</dc:creator>
  <dc:description>&lt;config cover="true" show_menu="true" version="1.0.0" doctype="SDKXY"&gt;_x000d_
&lt;/config&gt;</dc:description>
  <cp:lastModifiedBy>Lenovo</cp:lastModifiedBy>
  <cp:lastPrinted>2020-08-30T10:00:00Z</cp:lastPrinted>
  <dcterms:modified xsi:type="dcterms:W3CDTF">2021-06-03T02:17:22Z</dcterms:modified>
  <dc:title>地方标准</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2052-11.1.0.10495</vt:lpwstr>
  </property>
  <property fmtid="{D5CDD505-2E9C-101B-9397-08002B2CF9AE}" pid="15" name="ICV">
    <vt:lpwstr>7105E072770E4ABB86BF372DF12FD0FD</vt:lpwstr>
  </property>
</Properties>
</file>