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8"/>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pPr>
              <w:pStyle w:val="18"/>
              <w:framePr w:wrap="notBeside" w:vAnchor="page" w:hAnchor="page" w:x="1372" w:y="568"/>
              <w:tabs>
                <w:tab w:val="clear" w:pos="4153"/>
                <w:tab w:val="clear" w:pos="8306"/>
              </w:tabs>
              <w:spacing w:line="240" w:lineRule="auto"/>
              <w:jc w:val="left"/>
              <w:rPr>
                <w:rFonts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tcPr>
          <w:p>
            <w:pPr>
              <w:pStyle w:val="18"/>
              <w:framePr w:wrap="notBeside" w:vAnchor="page" w:hAnchor="page" w:x="1372" w:y="568"/>
              <w:tabs>
                <w:tab w:val="clear" w:pos="4153"/>
                <w:tab w:val="clear" w:pos="8306"/>
              </w:tabs>
              <w:spacing w:line="240" w:lineRule="auto"/>
              <w:jc w:val="both"/>
              <w:rPr>
                <w:rFonts w:ascii="黑体" w:hAnsi="黑体" w:eastAsia="黑体"/>
                <w:sz w:val="21"/>
                <w:szCs w:val="21"/>
              </w:rPr>
            </w:pPr>
            <w:bookmarkStart w:id="0" w:name="ICS"/>
            <w:r>
              <w:rPr>
                <w:rFonts w:ascii="黑体" w:hAnsi="黑体" w:eastAsia="黑体" w:cs="Times New Roman"/>
                <w:kern w:val="2"/>
                <w:sz w:val="21"/>
                <w:szCs w:val="21"/>
                <w:lang w:val="en-US" w:eastAsia="zh-CN" w:bidi="ar-SA"/>
              </w:rPr>
              <w:fldChar w:fldCharType="begin">
                <w:ffData>
                  <w:name w:val="ICS"/>
                  <w:enabled/>
                  <w:calcOnExit w:val="0"/>
                  <w:textInput>
                    <w:default w:val="91.200"/>
                  </w:textInput>
                </w:ffData>
              </w:fldChar>
            </w:r>
            <w:r>
              <w:rPr>
                <w:rFonts w:ascii="黑体" w:hAnsi="黑体" w:eastAsia="黑体" w:cs="Times New Roman"/>
                <w:kern w:val="2"/>
                <w:sz w:val="21"/>
                <w:szCs w:val="21"/>
                <w:lang w:val="en-US" w:eastAsia="zh-CN" w:bidi="ar-SA"/>
              </w:rPr>
              <w:instrText xml:space="preserve">FORMTEXT</w:instrText>
            </w:r>
            <w:r>
              <w:rPr>
                <w:rFonts w:ascii="黑体" w:hAnsi="黑体" w:eastAsia="黑体" w:cs="Times New Roman"/>
                <w:kern w:val="2"/>
                <w:sz w:val="21"/>
                <w:szCs w:val="21"/>
                <w:lang w:val="en-US" w:eastAsia="zh-CN" w:bidi="ar-SA"/>
              </w:rPr>
              <w:fldChar w:fldCharType="separate"/>
            </w:r>
            <w:r>
              <w:rPr>
                <w:rFonts w:ascii="黑体" w:hAnsi="黑体" w:eastAsia="黑体" w:cs="Times New Roman"/>
                <w:kern w:val="2"/>
                <w:sz w:val="21"/>
                <w:szCs w:val="21"/>
                <w:lang w:val="en-US" w:eastAsia="zh-CN" w:bidi="ar-SA"/>
              </w:rPr>
              <w:t>91.200</w:t>
            </w:r>
            <w:r>
              <w:rPr>
                <w:rFonts w:ascii="黑体" w:hAnsi="黑体" w:eastAsia="黑体" w:cs="Times New Roman"/>
                <w:kern w:val="2"/>
                <w:sz w:val="21"/>
                <w:szCs w:val="21"/>
                <w:lang w:val="en-US" w:eastAsia="zh-CN" w:bidi="ar-SA"/>
              </w:rPr>
              <w:fldChar w:fldCharType="end"/>
            </w:r>
            <w:bookmarkEnd w:id="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pPr>
              <w:pStyle w:val="18"/>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p>
            <w:pPr>
              <w:pStyle w:val="18"/>
              <w:framePr w:wrap="notBeside" w:vAnchor="page" w:hAnchor="page" w:x="1372" w:y="568"/>
              <w:tabs>
                <w:tab w:val="clear" w:pos="4153"/>
                <w:tab w:val="clear" w:pos="8306"/>
              </w:tabs>
              <w:spacing w:before="40" w:line="240" w:lineRule="auto"/>
              <w:jc w:val="left"/>
              <w:rPr>
                <w:rFonts w:ascii="黑体" w:hAnsi="黑体" w:eastAsia="黑体"/>
                <w:sz w:val="21"/>
                <w:szCs w:val="21"/>
              </w:rPr>
            </w:pPr>
            <w:bookmarkStart w:id="1" w:name="CSDN"/>
            <w:r>
              <w:rPr>
                <w:rFonts w:ascii="黑体" w:hAnsi="黑体" w:eastAsia="黑体" w:cs="Times New Roman"/>
                <w:kern w:val="2"/>
                <w:sz w:val="21"/>
                <w:szCs w:val="21"/>
                <w:lang w:val="en-US" w:eastAsia="zh-CN" w:bidi="ar-SA"/>
              </w:rPr>
              <w:fldChar w:fldCharType="begin">
                <w:ffData>
                  <w:name w:val="CSDN"/>
                  <w:enabled/>
                  <w:calcOnExit w:val="0"/>
                  <w:textInput>
                    <w:default w:val="P25"/>
                  </w:textInput>
                </w:ffData>
              </w:fldChar>
            </w:r>
            <w:r>
              <w:rPr>
                <w:rFonts w:ascii="黑体" w:hAnsi="黑体" w:eastAsia="黑体" w:cs="Times New Roman"/>
                <w:kern w:val="2"/>
                <w:sz w:val="21"/>
                <w:szCs w:val="21"/>
                <w:lang w:val="en-US" w:eastAsia="zh-CN" w:bidi="ar-SA"/>
              </w:rPr>
              <w:instrText xml:space="preserve">FORMTEXT</w:instrText>
            </w:r>
            <w:r>
              <w:rPr>
                <w:rFonts w:ascii="黑体" w:hAnsi="黑体" w:eastAsia="黑体" w:cs="Times New Roman"/>
                <w:kern w:val="2"/>
                <w:sz w:val="21"/>
                <w:szCs w:val="21"/>
                <w:lang w:val="en-US" w:eastAsia="zh-CN" w:bidi="ar-SA"/>
              </w:rPr>
              <w:fldChar w:fldCharType="separate"/>
            </w:r>
            <w:r>
              <w:rPr>
                <w:rFonts w:ascii="黑体" w:hAnsi="黑体" w:eastAsia="黑体" w:cs="Times New Roman"/>
                <w:kern w:val="2"/>
                <w:sz w:val="21"/>
                <w:szCs w:val="21"/>
                <w:lang w:val="en-US" w:eastAsia="zh-CN" w:bidi="ar-SA"/>
              </w:rPr>
              <w:t>P</w:t>
            </w:r>
            <w:r>
              <w:rPr>
                <w:rFonts w:hint="eastAsia" w:ascii="黑体" w:hAnsi="黑体" w:eastAsia="黑体" w:cs="Times New Roman"/>
                <w:kern w:val="2"/>
                <w:sz w:val="21"/>
                <w:szCs w:val="21"/>
                <w:lang w:val="en-US" w:eastAsia="zh-CN" w:bidi="ar-SA"/>
              </w:rPr>
              <w:t xml:space="preserve"> </w:t>
            </w:r>
            <w:r>
              <w:rPr>
                <w:rFonts w:ascii="黑体" w:hAnsi="黑体" w:eastAsia="黑体" w:cs="Times New Roman"/>
                <w:kern w:val="2"/>
                <w:sz w:val="21"/>
                <w:szCs w:val="21"/>
                <w:lang w:val="en-US" w:eastAsia="zh-CN" w:bidi="ar-SA"/>
              </w:rPr>
              <w:t>25</w:t>
            </w:r>
            <w:r>
              <w:rPr>
                <w:rFonts w:ascii="黑体" w:hAnsi="黑体" w:eastAsia="黑体" w:cs="Times New Roman"/>
                <w:kern w:val="2"/>
                <w:sz w:val="21"/>
                <w:szCs w:val="21"/>
                <w:lang w:val="en-US" w:eastAsia="zh-CN" w:bidi="ar-SA"/>
              </w:rPr>
              <w:fldChar w:fldCharType="end"/>
            </w:r>
            <w:bookmarkEnd w:id="1"/>
          </w:p>
        </w:tc>
      </w:tr>
    </w:tbl>
    <w:tbl>
      <w:tblPr>
        <w:tblStyle w:val="28"/>
        <w:tblpPr w:leftFromText="180" w:rightFromText="180" w:vertAnchor="text" w:horzAnchor="margin" w:tblpX="2683" w:tblpY="57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221" w:type="dxa"/>
        </w:tblCellMar>
      </w:tblPr>
      <w:tblGrid>
        <w:gridCol w:w="6407"/>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221" w:type="dxa"/>
          </w:tblCellMar>
        </w:tblPrEx>
        <w:tc>
          <w:tcPr>
            <w:tcW w:w="6407" w:type="dxa"/>
          </w:tcPr>
          <w:p>
            <w:pPr>
              <w:pStyle w:val="50"/>
              <w:framePr w:w="0" w:hRule="auto" w:wrap="auto" w:vAnchor="margin" w:hAnchor="text" w:xAlign="left" w:yAlign="inline"/>
              <w:rPr>
                <w:rFonts w:ascii="宋体" w:hAnsi="宋体"/>
                <w:sz w:val="28"/>
                <w:szCs w:val="28"/>
              </w:rPr>
            </w:pPr>
            <w:bookmarkStart w:id="2" w:name="_Hlk26473981"/>
            <w:r>
              <w:drawing>
                <wp:inline distT="0" distB="0" distL="0" distR="0">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sz w:val="21"/>
                <w:szCs w:val="21"/>
              </w:rPr>
              <w:t xml:space="preserve"> </w:t>
            </w:r>
            <w:r>
              <w:rPr>
                <w:rFonts w:hint="eastAsia"/>
              </w:rPr>
              <w:t>42</w:t>
            </w:r>
          </w:p>
        </w:tc>
      </w:tr>
    </w:tbl>
    <w:p>
      <w:pPr>
        <w:pStyle w:val="51"/>
        <w:framePr w:w="9639" w:h="624" w:hRule="exact" w:hSpace="181" w:vSpace="181" w:wrap="around" w:hAnchor="page" w:x="1305" w:y="2269"/>
        <w:rPr>
          <w:rFonts w:ascii="黑体" w:hAnsi="黑体" w:eastAsia="黑体"/>
          <w:b w:val="0"/>
          <w:bCs w:val="0"/>
          <w:w w:val="100"/>
          <w:sz w:val="48"/>
          <w:szCs w:val="48"/>
        </w:rPr>
      </w:pPr>
      <w:r>
        <w:rPr>
          <w:rFonts w:hint="eastAsia" w:ascii="黑体" w:eastAsia="黑体"/>
          <w:b w:val="0"/>
          <w:w w:val="100"/>
          <w:sz w:val="48"/>
        </w:rPr>
        <w:t>湖北省</w:t>
      </w:r>
      <w:r>
        <w:rPr>
          <w:rFonts w:hint="eastAsia" w:ascii="黑体" w:hAnsi="黑体" w:eastAsia="黑体"/>
          <w:b w:val="0"/>
          <w:bCs w:val="0"/>
          <w:w w:val="100"/>
          <w:sz w:val="48"/>
          <w:szCs w:val="48"/>
        </w:rPr>
        <w:t>地方标准</w:t>
      </w:r>
    </w:p>
    <w:bookmarkEnd w:id="2"/>
    <w:p>
      <w:pPr>
        <w:pStyle w:val="196"/>
        <w:framePr w:wrap="around"/>
        <w:rPr>
          <w:lang w:val="fr-FR"/>
        </w:rPr>
      </w:pPr>
      <w:r>
        <w:rPr>
          <w:lang w:val="fr-FR"/>
        </w:rPr>
        <w:t>DB</w:t>
      </w:r>
      <w:r>
        <w:rPr>
          <w:sz w:val="15"/>
          <w:szCs w:val="15"/>
          <w:lang w:val="fr-FR"/>
        </w:rPr>
        <w:t xml:space="preserve"> </w:t>
      </w:r>
      <w:r>
        <w:t>42</w:t>
      </w:r>
      <w:r>
        <w:rPr>
          <w:rFonts w:hint="eastAsia"/>
        </w:rPr>
        <w:t>/</w:t>
      </w:r>
      <w:r>
        <w:t>T</w:t>
      </w:r>
      <w:r>
        <w:rPr>
          <w:lang w:val="fr-FR"/>
        </w:rPr>
        <w:t xml:space="preserve"> </w:t>
      </w:r>
      <w:r>
        <w:fldChar w:fldCharType="begin">
          <w:ffData>
            <w:name w:val="NSTD_CODE_F"/>
            <w:enabled/>
            <w:calcOnExit w:val="0"/>
            <w:textInput>
              <w:default w:val="XXXX"/>
            </w:textInput>
          </w:ffData>
        </w:fldChar>
      </w:r>
      <w:bookmarkStart w:id="3" w:name="NSTD_CODE_F"/>
      <w:r>
        <w:rPr>
          <w:lang w:val="fr-FR"/>
        </w:rPr>
        <w:instrText xml:space="preserve"> FORMTEXT </w:instrText>
      </w:r>
      <w:r>
        <w:fldChar w:fldCharType="separate"/>
      </w:r>
      <w:r>
        <w:rPr>
          <w:lang w:val="fr-FR"/>
        </w:rPr>
        <w:t>XXXX</w:t>
      </w:r>
      <w:r>
        <w:fldChar w:fldCharType="end"/>
      </w:r>
      <w:bookmarkEnd w:id="3"/>
      <w:r>
        <w:rPr>
          <w:rFonts w:hAnsi="黑体"/>
          <w:lang w:val="fr-FR"/>
        </w:rPr>
        <w:t>—</w:t>
      </w:r>
      <w:r>
        <w:t>2021</w:t>
      </w:r>
    </w:p>
    <w:p>
      <w:pPr>
        <w:pStyle w:val="197"/>
        <w:framePr w:wrap="around"/>
        <w:rPr>
          <w:rFonts w:hAnsi="黑体"/>
        </w:rPr>
      </w:pPr>
      <w:r>
        <w:rPr>
          <w:rFonts w:hAnsi="黑体"/>
        </w:rPr>
        <w:fldChar w:fldCharType="begin">
          <w:ffData>
            <w:name w:val="OSTD_CODE"/>
            <w:enabled/>
            <w:calcOnExit w:val="0"/>
            <w:textInput/>
          </w:ffData>
        </w:fldChar>
      </w:r>
      <w:bookmarkStart w:id="4"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4"/>
    </w:p>
    <w:p>
      <w:pPr>
        <w:spacing w:line="240" w:lineRule="auto"/>
        <w:rPr>
          <w:rFonts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pPr>
        <w:pStyle w:val="51"/>
        <w:framePr w:w="9639" w:h="6976" w:hRule="exact" w:hSpace="0" w:vSpace="0" w:wrap="around" w:hAnchor="page" w:y="6408"/>
        <w:jc w:val="center"/>
        <w:rPr>
          <w:rFonts w:ascii="黑体" w:hAnsi="黑体" w:eastAsia="黑体"/>
          <w:b w:val="0"/>
          <w:bCs w:val="0"/>
          <w:w w:val="100"/>
        </w:rPr>
      </w:pPr>
    </w:p>
    <w:p>
      <w:pPr>
        <w:pStyle w:val="198"/>
        <w:framePr w:h="6974" w:hRule="exact" w:wrap="around" w:x="1419" w:anchorLock="1"/>
      </w:pPr>
      <w:r>
        <w:fldChar w:fldCharType="begin">
          <w:ffData>
            <w:name w:val="CSTD_NAME"/>
            <w:enabled/>
            <w:calcOnExit w:val="0"/>
            <w:textInput>
              <w:default w:val="点击此处添加标准名称"/>
            </w:textInput>
          </w:ffData>
        </w:fldChar>
      </w:r>
      <w:bookmarkStart w:id="5" w:name="CSTD_NAME"/>
      <w:r>
        <w:instrText xml:space="preserve"> FORMTEXT </w:instrText>
      </w:r>
      <w:r>
        <w:fldChar w:fldCharType="separate"/>
      </w:r>
      <w:r>
        <w:t>装配式混凝土结构工程施工工艺技术规程</w:t>
      </w:r>
      <w:r>
        <w:fldChar w:fldCharType="end"/>
      </w:r>
      <w:bookmarkEnd w:id="5"/>
    </w:p>
    <w:p>
      <w:pPr>
        <w:framePr w:w="9639" w:h="6974" w:hRule="exact" w:wrap="around" w:vAnchor="page" w:hAnchor="page" w:x="1419" w:y="6408" w:anchorLock="1"/>
        <w:ind w:left="-1418"/>
      </w:pPr>
    </w:p>
    <w:p>
      <w:pPr>
        <w:pStyle w:val="126"/>
        <w:framePr w:w="9639" w:h="6974" w:hRule="exact" w:wrap="around" w:vAnchor="page" w:hAnchor="page" w:x="1419" w:y="6408" w:anchorLock="1"/>
        <w:textAlignment w:val="bottom"/>
        <w:rPr>
          <w:rFonts w:eastAsia="黑体"/>
          <w:szCs w:val="28"/>
        </w:rPr>
      </w:pPr>
      <w:bookmarkStart w:id="6" w:name="ESTD_NAME"/>
      <w:r>
        <w:rPr>
          <w:rFonts w:hint="eastAsia" w:eastAsia="黑体"/>
          <w:szCs w:val="28"/>
        </w:rPr>
        <w:fldChar w:fldCharType="begin">
          <w:ffData>
            <w:name w:val="ESTD_NAME"/>
            <w:enabled/>
            <w:calcOnExit w:val="0"/>
            <w:textInput>
              <w:default w:val="Technical specification for construction technology of prefabricated concrete structure engineering"/>
            </w:textInput>
          </w:ffData>
        </w:fldChar>
      </w:r>
      <w:r>
        <w:rPr>
          <w:rFonts w:hint="eastAsia" w:eastAsia="黑体"/>
          <w:szCs w:val="28"/>
        </w:rPr>
        <w:instrText xml:space="preserve">FORMTEXT</w:instrText>
      </w:r>
      <w:r>
        <w:rPr>
          <w:rFonts w:hint="eastAsia" w:eastAsia="黑体"/>
          <w:szCs w:val="28"/>
        </w:rPr>
        <w:fldChar w:fldCharType="separate"/>
      </w:r>
      <w:r>
        <w:rPr>
          <w:rFonts w:hint="eastAsia" w:eastAsia="黑体"/>
          <w:szCs w:val="28"/>
        </w:rPr>
        <w:t>Technical specification for construction technology of prefabricated concrete structure engineering</w:t>
      </w:r>
      <w:r>
        <w:rPr>
          <w:rFonts w:hint="eastAsia" w:eastAsia="黑体"/>
          <w:szCs w:val="28"/>
        </w:rPr>
        <w:fldChar w:fldCharType="end"/>
      </w:r>
      <w:bookmarkEnd w:id="6"/>
    </w:p>
    <w:p>
      <w:pPr>
        <w:framePr w:w="9639" w:h="6974" w:hRule="exact" w:wrap="around" w:vAnchor="page" w:hAnchor="page" w:x="1419" w:y="6408" w:anchorLock="1"/>
        <w:spacing w:line="760" w:lineRule="exact"/>
        <w:ind w:left="-1418"/>
      </w:pPr>
    </w:p>
    <w:p>
      <w:pPr>
        <w:pStyle w:val="126"/>
        <w:framePr w:w="9639" w:h="6974" w:hRule="exact" w:wrap="around" w:vAnchor="page" w:hAnchor="page" w:x="1419" w:y="6408" w:anchorLock="1"/>
        <w:textAlignment w:val="bottom"/>
        <w:rPr>
          <w:rFonts w:eastAsia="黑体"/>
          <w:szCs w:val="28"/>
        </w:rPr>
      </w:pPr>
    </w:p>
    <w:p>
      <w:pPr>
        <w:pStyle w:val="126"/>
        <w:framePr w:w="9639" w:h="6974" w:hRule="exact" w:wrap="around" w:vAnchor="page" w:hAnchor="page" w:x="1419" w:y="6408" w:anchorLock="1"/>
        <w:spacing w:before="440" w:after="160"/>
        <w:textAlignment w:val="bottom"/>
        <w:rPr>
          <w:sz w:val="24"/>
          <w:szCs w:val="28"/>
        </w:rPr>
      </w:pPr>
      <w:bookmarkStart w:id="7" w:name="下拉1"/>
      <w:r>
        <w:rPr>
          <w:sz w:val="24"/>
          <w:szCs w:val="28"/>
        </w:rPr>
        <w:fldChar w:fldCharType="begin">
          <w:ffData>
            <w:name w:val="下拉1"/>
            <w:enabled/>
            <w:calcOnExit w:val="0"/>
            <w:ddList>
              <w:listEntry w:val="（征求意见稿）"/>
              <w:listEntry w:val=" "/>
              <w:listEntry w:val="草案版次选择"/>
              <w:listEntry w:val="（工作组讨论稿）"/>
              <w:listEntry w:val="（送审讨论稿）"/>
              <w:listEntry w:val="（送审稿）"/>
              <w:listEntry w:val="（报批稿）"/>
            </w:ddList>
          </w:ffData>
        </w:fldChar>
      </w:r>
      <w:r>
        <w:rPr>
          <w:sz w:val="24"/>
          <w:szCs w:val="28"/>
        </w:rPr>
        <w:instrText xml:space="preserve">FORMDROPDOWN</w:instrText>
      </w:r>
      <w:r>
        <w:rPr>
          <w:sz w:val="24"/>
          <w:szCs w:val="28"/>
        </w:rPr>
        <w:fldChar w:fldCharType="separate"/>
      </w:r>
      <w:r>
        <w:rPr>
          <w:sz w:val="24"/>
          <w:szCs w:val="28"/>
        </w:rPr>
        <w:fldChar w:fldCharType="end"/>
      </w:r>
      <w:bookmarkEnd w:id="7"/>
    </w:p>
    <w:p>
      <w:pPr>
        <w:pStyle w:val="126"/>
        <w:framePr w:w="9639" w:h="6974" w:hRule="exact" w:wrap="around" w:vAnchor="page" w:hAnchor="page" w:x="1419" w:y="6408" w:anchorLock="1"/>
        <w:spacing w:before="440" w:after="160"/>
        <w:textAlignment w:val="bottom"/>
        <w:rPr>
          <w:sz w:val="24"/>
          <w:szCs w:val="28"/>
        </w:rPr>
      </w:pPr>
    </w:p>
    <w:p>
      <w:pPr>
        <w:pStyle w:val="126"/>
        <w:framePr w:w="9639" w:h="6974" w:hRule="exact" w:wrap="around" w:vAnchor="page" w:hAnchor="page" w:x="1419" w:y="6408" w:anchorLock="1"/>
        <w:spacing w:before="180" w:line="240" w:lineRule="atLeast"/>
        <w:textAlignment w:val="bottom"/>
        <w:rPr>
          <w:sz w:val="21"/>
          <w:szCs w:val="28"/>
        </w:rPr>
      </w:pPr>
    </w:p>
    <w:p>
      <w:pPr>
        <w:pStyle w:val="126"/>
        <w:framePr w:w="9639" w:h="6974" w:hRule="exact" w:wrap="around" w:vAnchor="page" w:hAnchor="page" w:x="1419" w:y="6408" w:anchorLock="1"/>
        <w:spacing w:before="720" w:beforeLines="300" w:after="72" w:afterLines="30" w:line="240" w:lineRule="auto"/>
        <w:textAlignment w:val="bottom"/>
        <w:rPr>
          <w:b/>
          <w:sz w:val="21"/>
          <w:szCs w:val="28"/>
        </w:rPr>
      </w:pPr>
    </w:p>
    <w:p>
      <w:pPr>
        <w:pStyle w:val="194"/>
        <w:framePr w:wrap="around" w:y="14176"/>
      </w:pPr>
      <w:r>
        <w:rPr>
          <w:rFonts w:ascii="黑体"/>
        </w:rPr>
        <w:fldChar w:fldCharType="begin">
          <w:ffData>
            <w:name w:val="PLSH_DATE_Y"/>
            <w:enabled/>
            <w:calcOnExit w:val="0"/>
            <w:textInput>
              <w:default w:val="XXXX"/>
              <w:maxLength w:val="4"/>
            </w:textInput>
          </w:ffData>
        </w:fldChar>
      </w:r>
      <w:bookmarkStart w:id="8" w:name="PLSH_DATE_Y"/>
      <w:r>
        <w:rPr>
          <w:rFonts w:ascii="黑体"/>
        </w:rPr>
        <w:instrText xml:space="preserve"> FORMTEXT </w:instrText>
      </w:r>
      <w:r>
        <w:rPr>
          <w:rFonts w:ascii="黑体"/>
        </w:rPr>
        <w:fldChar w:fldCharType="separate"/>
      </w:r>
      <w:r>
        <w:rPr>
          <w:rFonts w:ascii="黑体"/>
        </w:rPr>
        <w:t>2021</w:t>
      </w:r>
      <w:r>
        <w:rPr>
          <w:rFonts w:ascii="黑体"/>
        </w:rPr>
        <w:fldChar w:fldCharType="end"/>
      </w:r>
      <w:bookmarkEnd w:id="8"/>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9"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9"/>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0"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0"/>
      <w:r>
        <w:rPr>
          <w:rFonts w:hint="eastAsia"/>
        </w:rPr>
        <w:t>发布</w:t>
      </w:r>
    </w:p>
    <w:p>
      <w:pPr>
        <w:pStyle w:val="195"/>
        <w:framePr w:wrap="around" w:y="14176"/>
      </w:pPr>
      <w:r>
        <w:rPr>
          <w:rFonts w:ascii="黑体"/>
        </w:rPr>
        <w:fldChar w:fldCharType="begin">
          <w:ffData>
            <w:name w:val="CROT_DATE_Y"/>
            <w:enabled/>
            <w:calcOnExit w:val="0"/>
            <w:textInput>
              <w:default w:val="XXXX"/>
              <w:maxLength w:val="4"/>
            </w:textInput>
          </w:ffData>
        </w:fldChar>
      </w:r>
      <w:bookmarkStart w:id="11" w:name="CROT_DATE_Y"/>
      <w:r>
        <w:rPr>
          <w:rFonts w:ascii="黑体"/>
        </w:rPr>
        <w:instrText xml:space="preserve"> FORMTEXT </w:instrText>
      </w:r>
      <w:r>
        <w:rPr>
          <w:rFonts w:ascii="黑体"/>
        </w:rPr>
        <w:fldChar w:fldCharType="separate"/>
      </w:r>
      <w:r>
        <w:rPr>
          <w:rFonts w:ascii="黑体"/>
        </w:rPr>
        <w:t>2021</w:t>
      </w:r>
      <w:r>
        <w:rPr>
          <w:rFonts w:ascii="黑体"/>
        </w:rPr>
        <w:fldChar w:fldCharType="end"/>
      </w:r>
      <w:bookmarkEnd w:id="11"/>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2"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2"/>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3"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3"/>
      <w:r>
        <w:rPr>
          <w:rFonts w:hint="eastAsia"/>
        </w:rPr>
        <w:t>实施</w:t>
      </w:r>
    </w:p>
    <w:p>
      <w:pPr>
        <w:framePr w:w="7938" w:h="1054" w:hRule="exact" w:hSpace="125" w:vSpace="181" w:wrap="around" w:vAnchor="page" w:hAnchor="page" w:x="2276" w:y="14908" w:anchorLock="1"/>
        <w:widowControl/>
        <w:spacing w:line="0" w:lineRule="atLeast"/>
        <w:ind w:firstLine="1254" w:firstLineChars="300"/>
        <w:rPr>
          <w:rFonts w:ascii="黑体" w:eastAsia="黑体"/>
          <w:color w:val="000000"/>
          <w:spacing w:val="20"/>
          <w:w w:val="135"/>
          <w:sz w:val="28"/>
          <w:szCs w:val="20"/>
        </w:rPr>
      </w:pPr>
      <w:bookmarkStart w:id="14" w:name="fm"/>
      <w:r>
        <w:rPr>
          <w:rFonts w:ascii="黑体" w:eastAsia="黑体"/>
          <w:color w:val="000000"/>
          <w:spacing w:val="20"/>
          <w:w w:val="135"/>
          <w:sz w:val="28"/>
          <w:szCs w:val="20"/>
        </w:rPr>
        <w:fldChar w:fldCharType="begin">
          <w:ffData>
            <w:name w:val="fm"/>
            <w:enabled/>
            <w:calcOnExit w:val="0"/>
            <w:textInput/>
          </w:ffData>
        </w:fldChar>
      </w:r>
      <w:r>
        <w:rPr>
          <w:rFonts w:ascii="黑体" w:eastAsia="黑体"/>
          <w:color w:val="000000"/>
          <w:spacing w:val="20"/>
          <w:w w:val="135"/>
          <w:sz w:val="28"/>
          <w:szCs w:val="20"/>
        </w:rPr>
        <w:instrText xml:space="preserve"> FORMTEXT </w:instrText>
      </w:r>
      <w:r>
        <w:rPr>
          <w:rFonts w:ascii="黑体" w:eastAsia="黑体"/>
          <w:color w:val="000000"/>
          <w:spacing w:val="20"/>
          <w:w w:val="135"/>
          <w:sz w:val="28"/>
          <w:szCs w:val="20"/>
        </w:rPr>
        <w:fldChar w:fldCharType="separate"/>
      </w:r>
      <w:r>
        <w:rPr>
          <w:rFonts w:hint="eastAsia" w:ascii="黑体" w:eastAsia="黑体"/>
          <w:color w:val="000000"/>
          <w:spacing w:val="20"/>
          <w:w w:val="135"/>
          <w:sz w:val="28"/>
          <w:szCs w:val="20"/>
        </w:rPr>
        <w:t>湖北省住房和城乡建设厅</w:t>
      </w:r>
    </w:p>
    <w:p>
      <w:pPr>
        <w:framePr w:w="7938" w:h="1054" w:hRule="exact" w:hSpace="125" w:vSpace="181" w:wrap="around" w:vAnchor="page" w:hAnchor="page" w:x="2276" w:y="14908" w:anchorLock="1"/>
        <w:widowControl/>
        <w:spacing w:line="0" w:lineRule="atLeast"/>
        <w:jc w:val="center"/>
        <w:rPr>
          <w:rFonts w:ascii="黑体" w:eastAsia="黑体"/>
          <w:color w:val="000000"/>
          <w:spacing w:val="20"/>
          <w:w w:val="135"/>
          <w:sz w:val="28"/>
          <w:szCs w:val="20"/>
        </w:rPr>
      </w:pPr>
      <w:r>
        <w:rPr>
          <w:rFonts w:hint="eastAsia" w:ascii="黑体" w:eastAsia="黑体"/>
          <w:color w:val="000000"/>
          <w:spacing w:val="20"/>
          <w:w w:val="135"/>
          <w:sz w:val="28"/>
          <w:szCs w:val="20"/>
        </w:rPr>
        <w:t xml:space="preserve">     湖北省市场监督管理局   联合</w:t>
      </w:r>
      <w:r>
        <w:rPr>
          <w:rFonts w:ascii="黑体" w:eastAsia="黑体"/>
          <w:color w:val="000000"/>
          <w:spacing w:val="20"/>
          <w:w w:val="135"/>
          <w:sz w:val="28"/>
          <w:szCs w:val="20"/>
        </w:rPr>
        <w:fldChar w:fldCharType="end"/>
      </w:r>
      <w:bookmarkEnd w:id="14"/>
      <w:r>
        <w:rPr>
          <w:rFonts w:hint="eastAsia" w:ascii="黑体" w:eastAsia="黑体"/>
          <w:color w:val="000000"/>
          <w:spacing w:val="20"/>
          <w:w w:val="135"/>
          <w:sz w:val="28"/>
          <w:szCs w:val="20"/>
        </w:rPr>
        <w:t>发布</w:t>
      </w:r>
    </w:p>
    <w:p>
      <w:pPr>
        <w:rPr>
          <w:rFonts w:ascii="宋体" w:hAnsi="宋体"/>
          <w:sz w:val="28"/>
          <w:szCs w:val="28"/>
        </w:rPr>
        <w:sectPr>
          <w:headerReference r:id="rId7" w:type="first"/>
          <w:footerReference r:id="rId9" w:type="first"/>
          <w:headerReference r:id="rId5" w:type="default"/>
          <w:headerReference r:id="rId6" w:type="even"/>
          <w:footerReference r:id="rId8" w:type="even"/>
          <w:type w:val="continuous"/>
          <w:pgSz w:w="11906" w:h="16838"/>
          <w:pgMar w:top="-338" w:right="1134" w:bottom="1021" w:left="1134" w:header="0" w:footer="0"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pPr>
        <w:pStyle w:val="92"/>
        <w:spacing w:after="468"/>
        <w:rPr>
          <w:rFonts w:hint="eastAsia"/>
          <w:spacing w:val="320"/>
        </w:rPr>
        <w:sectPr>
          <w:headerReference r:id="rId10" w:type="default"/>
          <w:footerReference r:id="rId12" w:type="default"/>
          <w:headerReference r:id="rId11" w:type="even"/>
          <w:pgSz w:w="11906" w:h="16838"/>
          <w:pgMar w:top="2410" w:right="1134" w:bottom="1134" w:left="1134" w:header="1418" w:footer="1134" w:gutter="284"/>
          <w:pgNumType w:fmt="upperRoman" w:start="1"/>
          <w:cols w:space="425" w:num="1"/>
          <w:formProt w:val="0"/>
          <w:docGrid w:type="lines" w:linePitch="312" w:charSpace="0"/>
        </w:sectPr>
      </w:pPr>
      <w:bookmarkStart w:id="15" w:name="BookMark1"/>
      <w:bookmarkStart w:id="16" w:name="_Toc76030243"/>
      <w:bookmarkStart w:id="17" w:name="_Toc21068"/>
      <w:bookmarkStart w:id="18" w:name="_Toc76628793"/>
    </w:p>
    <w:p>
      <w:pPr>
        <w:pStyle w:val="92"/>
        <w:spacing w:after="468"/>
        <w:rPr>
          <w:rFonts w:hint="eastAsia"/>
        </w:rPr>
      </w:pPr>
      <w:r>
        <w:rPr>
          <w:rFonts w:hint="eastAsia"/>
          <w:spacing w:val="320"/>
        </w:rPr>
        <w:t>目</w:t>
      </w:r>
      <w:r>
        <w:rPr>
          <w:rFonts w:hint="eastAsia"/>
        </w:rPr>
        <w:t>次</w:t>
      </w:r>
    </w:p>
    <w:p>
      <w:pPr>
        <w:pStyle w:val="19"/>
        <w:tabs>
          <w:tab w:val="right" w:leader="dot" w:pos="9344"/>
        </w:tabs>
        <w:rPr>
          <w:rFonts w:asciiTheme="minorHAnsi" w:hAnsiTheme="minorHAnsi" w:eastAsiaTheme="minorEastAsia" w:cstheme="minorBidi"/>
          <w:szCs w:val="22"/>
        </w:rPr>
      </w:pPr>
      <w:r>
        <w:fldChar w:fldCharType="begin"/>
      </w:r>
      <w:r>
        <w:instrText xml:space="preserve"> TOC \o "1-1" \h \t "标准文件_一级条标题,2,标准文件_附录一级条标题,2," </w:instrText>
      </w:r>
      <w:r>
        <w:fldChar w:fldCharType="separate"/>
      </w:r>
      <w:r>
        <w:fldChar w:fldCharType="begin"/>
      </w:r>
      <w:r>
        <w:instrText xml:space="preserve"> HYPERLINK \l "_Toc76637876" </w:instrText>
      </w:r>
      <w:r>
        <w:fldChar w:fldCharType="separate"/>
      </w:r>
      <w:r>
        <w:rPr>
          <w:rStyle w:val="33"/>
        </w:rPr>
        <w:t>前言</w:t>
      </w:r>
      <w:r>
        <w:tab/>
      </w:r>
      <w:r>
        <w:fldChar w:fldCharType="begin"/>
      </w:r>
      <w:r>
        <w:instrText xml:space="preserve"> PAGEREF _Toc76637876 \h </w:instrText>
      </w:r>
      <w:r>
        <w:fldChar w:fldCharType="separate"/>
      </w:r>
      <w:r>
        <w:t>III</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"_Toc76637877" </w:instrText>
      </w:r>
      <w:r>
        <w:fldChar w:fldCharType="separate"/>
      </w:r>
      <w:r>
        <w:rPr>
          <w:rStyle w:val="33"/>
        </w:rPr>
        <w:t>1  范围</w:t>
      </w:r>
      <w:r>
        <w:tab/>
      </w:r>
      <w:r>
        <w:fldChar w:fldCharType="begin"/>
      </w:r>
      <w:r>
        <w:instrText xml:space="preserve"> PAGEREF _Toc76637877 \h </w:instrText>
      </w:r>
      <w:r>
        <w:fldChar w:fldCharType="separate"/>
      </w:r>
      <w:r>
        <w:t>1</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"_Toc76637878" </w:instrText>
      </w:r>
      <w:r>
        <w:fldChar w:fldCharType="separate"/>
      </w:r>
      <w:r>
        <w:rPr>
          <w:rStyle w:val="33"/>
        </w:rPr>
        <w:t>2  规范性引用文件</w:t>
      </w:r>
      <w:r>
        <w:tab/>
      </w:r>
      <w:r>
        <w:fldChar w:fldCharType="begin"/>
      </w:r>
      <w:r>
        <w:instrText xml:space="preserve"> PAGEREF _Toc76637878 \h </w:instrText>
      </w:r>
      <w:r>
        <w:fldChar w:fldCharType="separate"/>
      </w:r>
      <w:r>
        <w:t>1</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"_Toc76637879" </w:instrText>
      </w:r>
      <w:r>
        <w:fldChar w:fldCharType="separate"/>
      </w:r>
      <w:r>
        <w:rPr>
          <w:rStyle w:val="33"/>
        </w:rPr>
        <w:t>3  术语和定义</w:t>
      </w:r>
      <w:r>
        <w:tab/>
      </w:r>
      <w:r>
        <w:fldChar w:fldCharType="begin"/>
      </w:r>
      <w:r>
        <w:instrText xml:space="preserve"> PAGEREF _Toc76637879 \h </w:instrText>
      </w:r>
      <w:r>
        <w:fldChar w:fldCharType="separate"/>
      </w:r>
      <w:r>
        <w:t>1</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"_Toc76637880" </w:instrText>
      </w:r>
      <w:r>
        <w:fldChar w:fldCharType="separate"/>
      </w:r>
      <w:r>
        <w:rPr>
          <w:rStyle w:val="33"/>
        </w:rPr>
        <w:t>4  总则</w:t>
      </w:r>
      <w:r>
        <w:tab/>
      </w:r>
      <w:r>
        <w:fldChar w:fldCharType="begin"/>
      </w:r>
      <w:r>
        <w:instrText xml:space="preserve"> PAGEREF _Toc76637880 \h </w:instrText>
      </w:r>
      <w:r>
        <w:fldChar w:fldCharType="separate"/>
      </w:r>
      <w:r>
        <w:t>2</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"_Toc76637881" </w:instrText>
      </w:r>
      <w:r>
        <w:fldChar w:fldCharType="separate"/>
      </w:r>
      <w:r>
        <w:rPr>
          <w:rStyle w:val="33"/>
        </w:rPr>
        <w:t>5  基本规定</w:t>
      </w:r>
      <w:r>
        <w:tab/>
      </w:r>
      <w:r>
        <w:fldChar w:fldCharType="begin"/>
      </w:r>
      <w:r>
        <w:instrText xml:space="preserve"> PAGEREF _Toc76637881 \h </w:instrText>
      </w:r>
      <w:r>
        <w:fldChar w:fldCharType="separate"/>
      </w:r>
      <w:r>
        <w:t>2</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"_Toc76637882" </w:instrText>
      </w:r>
      <w:r>
        <w:fldChar w:fldCharType="separate"/>
      </w:r>
      <w:r>
        <w:rPr>
          <w:rStyle w:val="33"/>
        </w:rPr>
        <w:t>6  施工准备</w:t>
      </w:r>
      <w:r>
        <w:tab/>
      </w:r>
      <w:r>
        <w:fldChar w:fldCharType="begin"/>
      </w:r>
      <w:r>
        <w:instrText xml:space="preserve"> PAGEREF _Toc76637882 \h </w:instrText>
      </w:r>
      <w:r>
        <w:fldChar w:fldCharType="separate"/>
      </w:r>
      <w:r>
        <w:t>3</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"_Toc76637883" </w:instrText>
      </w:r>
      <w:r>
        <w:fldChar w:fldCharType="separate"/>
      </w:r>
      <w:r>
        <w:rPr>
          <w:rStyle w:val="33"/>
          <w14:scene3d>
            <w14:lightRig w14:rig="threePt" w14:dir="t">
              <w14:rot w14:lat="0" w14:lon="0" w14:rev="0"/>
            </w14:lightRig>
          </w14:scene3d>
        </w:rPr>
        <w:t xml:space="preserve">6.1 </w:t>
      </w:r>
      <w:r>
        <w:rPr>
          <w:rStyle w:val="33"/>
        </w:rPr>
        <w:t xml:space="preserve"> 组织准备</w:t>
      </w:r>
      <w:r>
        <w:tab/>
      </w:r>
      <w:r>
        <w:fldChar w:fldCharType="begin"/>
      </w:r>
      <w:r>
        <w:instrText xml:space="preserve"> PAGEREF _Toc76637883 \h </w:instrText>
      </w:r>
      <w:r>
        <w:fldChar w:fldCharType="separate"/>
      </w:r>
      <w:r>
        <w:t>3</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"_Toc76637884" </w:instrText>
      </w:r>
      <w:r>
        <w:fldChar w:fldCharType="separate"/>
      </w:r>
      <w:r>
        <w:rPr>
          <w:rStyle w:val="33"/>
          <w14:scene3d>
            <w14:lightRig w14:rig="threePt" w14:dir="t">
              <w14:rot w14:lat="0" w14:lon="0" w14:rev="0"/>
            </w14:lightRig>
          </w14:scene3d>
        </w:rPr>
        <w:t xml:space="preserve">6.2 </w:t>
      </w:r>
      <w:r>
        <w:rPr>
          <w:rStyle w:val="33"/>
        </w:rPr>
        <w:t xml:space="preserve"> 技术准备</w:t>
      </w:r>
      <w:r>
        <w:tab/>
      </w:r>
      <w:r>
        <w:fldChar w:fldCharType="begin"/>
      </w:r>
      <w:r>
        <w:instrText xml:space="preserve"> PAGEREF _Toc76637884 \h </w:instrText>
      </w:r>
      <w:r>
        <w:fldChar w:fldCharType="separate"/>
      </w:r>
      <w:r>
        <w:t>3</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"_Toc76637885" </w:instrText>
      </w:r>
      <w:r>
        <w:fldChar w:fldCharType="separate"/>
      </w:r>
      <w:r>
        <w:rPr>
          <w:rStyle w:val="33"/>
          <w14:scene3d>
            <w14:lightRig w14:rig="threePt" w14:dir="t">
              <w14:rot w14:lat="0" w14:lon="0" w14:rev="0"/>
            </w14:lightRig>
          </w14:scene3d>
        </w:rPr>
        <w:t xml:space="preserve">6.3 </w:t>
      </w:r>
      <w:r>
        <w:rPr>
          <w:rStyle w:val="33"/>
        </w:rPr>
        <w:t xml:space="preserve"> 资源准备</w:t>
      </w:r>
      <w:r>
        <w:tab/>
      </w:r>
      <w:r>
        <w:fldChar w:fldCharType="begin"/>
      </w:r>
      <w:r>
        <w:instrText xml:space="preserve"> PAGEREF _Toc76637885 \h </w:instrText>
      </w:r>
      <w:r>
        <w:fldChar w:fldCharType="separate"/>
      </w:r>
      <w:r>
        <w:t>4</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"_Toc76637886" </w:instrText>
      </w:r>
      <w:r>
        <w:fldChar w:fldCharType="separate"/>
      </w:r>
      <w:r>
        <w:rPr>
          <w:rStyle w:val="33"/>
          <w14:scene3d>
            <w14:lightRig w14:rig="threePt" w14:dir="t">
              <w14:rot w14:lat="0" w14:lon="0" w14:rev="0"/>
            </w14:lightRig>
          </w14:scene3d>
        </w:rPr>
        <w:t xml:space="preserve">6.4 </w:t>
      </w:r>
      <w:r>
        <w:rPr>
          <w:rStyle w:val="33"/>
        </w:rPr>
        <w:t xml:space="preserve"> 现场准备</w:t>
      </w:r>
      <w:r>
        <w:tab/>
      </w:r>
      <w:r>
        <w:fldChar w:fldCharType="begin"/>
      </w:r>
      <w:r>
        <w:instrText xml:space="preserve"> PAGEREF _Toc76637886 \h </w:instrText>
      </w:r>
      <w:r>
        <w:fldChar w:fldCharType="separate"/>
      </w:r>
      <w:r>
        <w:t>4</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"_Toc76637887" </w:instrText>
      </w:r>
      <w:r>
        <w:fldChar w:fldCharType="separate"/>
      </w:r>
      <w:r>
        <w:rPr>
          <w:rStyle w:val="33"/>
        </w:rPr>
        <w:t>7  竖向承重构件安装</w:t>
      </w:r>
      <w:r>
        <w:tab/>
      </w:r>
      <w:r>
        <w:fldChar w:fldCharType="begin"/>
      </w:r>
      <w:r>
        <w:instrText xml:space="preserve"> PAGEREF _Toc76637887 \h </w:instrText>
      </w:r>
      <w:r>
        <w:fldChar w:fldCharType="separate"/>
      </w:r>
      <w:r>
        <w:t>5</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"_Toc76637888" </w:instrText>
      </w:r>
      <w:r>
        <w:fldChar w:fldCharType="separate"/>
      </w:r>
      <w:r>
        <w:rPr>
          <w:rStyle w:val="33"/>
          <w14:scene3d>
            <w14:lightRig w14:rig="threePt" w14:dir="t">
              <w14:rot w14:lat="0" w14:lon="0" w14:rev="0"/>
            </w14:lightRig>
          </w14:scene3d>
        </w:rPr>
        <w:t xml:space="preserve">7.1 </w:t>
      </w:r>
      <w:r>
        <w:rPr>
          <w:rStyle w:val="33"/>
        </w:rPr>
        <w:t xml:space="preserve"> 预制柱安装</w:t>
      </w:r>
      <w:r>
        <w:tab/>
      </w:r>
      <w:r>
        <w:fldChar w:fldCharType="begin"/>
      </w:r>
      <w:r>
        <w:instrText xml:space="preserve"> PAGEREF _Toc76637888 \h </w:instrText>
      </w:r>
      <w:r>
        <w:fldChar w:fldCharType="separate"/>
      </w:r>
      <w:r>
        <w:t>5</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"_Toc76637889" </w:instrText>
      </w:r>
      <w:r>
        <w:fldChar w:fldCharType="separate"/>
      </w:r>
      <w:r>
        <w:rPr>
          <w:rStyle w:val="33"/>
          <w14:scene3d>
            <w14:lightRig w14:rig="threePt" w14:dir="t">
              <w14:rot w14:lat="0" w14:lon="0" w14:rev="0"/>
            </w14:lightRig>
          </w14:scene3d>
        </w:rPr>
        <w:t xml:space="preserve">7.2 </w:t>
      </w:r>
      <w:r>
        <w:rPr>
          <w:rStyle w:val="33"/>
        </w:rPr>
        <w:t xml:space="preserve"> 预制剪力墙板、夹心保温墙板安装</w:t>
      </w:r>
      <w:r>
        <w:tab/>
      </w:r>
      <w:r>
        <w:fldChar w:fldCharType="begin"/>
      </w:r>
      <w:r>
        <w:instrText xml:space="preserve"> PAGEREF _Toc76637889 \h </w:instrText>
      </w:r>
      <w:r>
        <w:fldChar w:fldCharType="separate"/>
      </w:r>
      <w:r>
        <w:t>6</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"_Toc76637890" </w:instrText>
      </w:r>
      <w:r>
        <w:fldChar w:fldCharType="separate"/>
      </w:r>
      <w:r>
        <w:rPr>
          <w:rStyle w:val="33"/>
          <w14:scene3d>
            <w14:lightRig w14:rig="threePt" w14:dir="t">
              <w14:rot w14:lat="0" w14:lon="0" w14:rev="0"/>
            </w14:lightRig>
          </w14:scene3d>
        </w:rPr>
        <w:t xml:space="preserve">7.3 </w:t>
      </w:r>
      <w:r>
        <w:rPr>
          <w:rStyle w:val="33"/>
        </w:rPr>
        <w:t xml:space="preserve"> 叠合墙板安装</w:t>
      </w:r>
      <w:r>
        <w:tab/>
      </w:r>
      <w:r>
        <w:fldChar w:fldCharType="begin"/>
      </w:r>
      <w:r>
        <w:instrText xml:space="preserve"> PAGEREF _Toc76637890 \h </w:instrText>
      </w:r>
      <w:r>
        <w:fldChar w:fldCharType="separate"/>
      </w:r>
      <w:r>
        <w:t>7</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"_Toc76637891" </w:instrText>
      </w:r>
      <w:r>
        <w:fldChar w:fldCharType="separate"/>
      </w:r>
      <w:r>
        <w:rPr>
          <w:rStyle w:val="33"/>
        </w:rPr>
        <w:t>8  水平构件安装</w:t>
      </w:r>
      <w:r>
        <w:tab/>
      </w:r>
      <w:r>
        <w:fldChar w:fldCharType="begin"/>
      </w:r>
      <w:r>
        <w:instrText xml:space="preserve"> PAGEREF _Toc76637891 \h </w:instrText>
      </w:r>
      <w:r>
        <w:fldChar w:fldCharType="separate"/>
      </w:r>
      <w:r>
        <w:t>8</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"_Toc76637892" </w:instrText>
      </w:r>
      <w:r>
        <w:fldChar w:fldCharType="separate"/>
      </w:r>
      <w:r>
        <w:rPr>
          <w:rStyle w:val="33"/>
          <w14:scene3d>
            <w14:lightRig w14:rig="threePt" w14:dir="t">
              <w14:rot w14:lat="0" w14:lon="0" w14:rev="0"/>
            </w14:lightRig>
          </w14:scene3d>
        </w:rPr>
        <w:t xml:space="preserve">8.1 </w:t>
      </w:r>
      <w:r>
        <w:rPr>
          <w:rStyle w:val="33"/>
        </w:rPr>
        <w:t xml:space="preserve"> 叠合梁安装</w:t>
      </w:r>
      <w:r>
        <w:tab/>
      </w:r>
      <w:r>
        <w:fldChar w:fldCharType="begin"/>
      </w:r>
      <w:r>
        <w:instrText xml:space="preserve"> PAGEREF _Toc76637892 \h </w:instrText>
      </w:r>
      <w:r>
        <w:fldChar w:fldCharType="separate"/>
      </w:r>
      <w:r>
        <w:t>8</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"_Toc76637893" </w:instrText>
      </w:r>
      <w:r>
        <w:fldChar w:fldCharType="separate"/>
      </w:r>
      <w:r>
        <w:rPr>
          <w:rStyle w:val="33"/>
          <w14:scene3d>
            <w14:lightRig w14:rig="threePt" w14:dir="t">
              <w14:rot w14:lat="0" w14:lon="0" w14:rev="0"/>
            </w14:lightRig>
          </w14:scene3d>
        </w:rPr>
        <w:t xml:space="preserve">8.2 </w:t>
      </w:r>
      <w:r>
        <w:rPr>
          <w:rStyle w:val="33"/>
        </w:rPr>
        <w:t xml:space="preserve"> 叠合楼板安装</w:t>
      </w:r>
      <w:r>
        <w:tab/>
      </w:r>
      <w:r>
        <w:fldChar w:fldCharType="begin"/>
      </w:r>
      <w:r>
        <w:instrText xml:space="preserve"> PAGEREF _Toc76637893 \h </w:instrText>
      </w:r>
      <w:r>
        <w:fldChar w:fldCharType="separate"/>
      </w:r>
      <w:r>
        <w:t>8</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"_Toc76637894" </w:instrText>
      </w:r>
      <w:r>
        <w:fldChar w:fldCharType="separate"/>
      </w:r>
      <w:r>
        <w:rPr>
          <w:rStyle w:val="33"/>
          <w14:scene3d>
            <w14:lightRig w14:rig="threePt" w14:dir="t">
              <w14:rot w14:lat="0" w14:lon="0" w14:rev="0"/>
            </w14:lightRig>
          </w14:scene3d>
        </w:rPr>
        <w:t xml:space="preserve">8.3 </w:t>
      </w:r>
      <w:r>
        <w:rPr>
          <w:rStyle w:val="33"/>
        </w:rPr>
        <w:t xml:space="preserve"> 楼梯安装</w:t>
      </w:r>
      <w:r>
        <w:tab/>
      </w:r>
      <w:r>
        <w:fldChar w:fldCharType="begin"/>
      </w:r>
      <w:r>
        <w:instrText xml:space="preserve"> PAGEREF _Toc76637894 \h </w:instrText>
      </w:r>
      <w:r>
        <w:fldChar w:fldCharType="separate"/>
      </w:r>
      <w:r>
        <w:t>9</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"_Toc76637895" </w:instrText>
      </w:r>
      <w:r>
        <w:fldChar w:fldCharType="separate"/>
      </w:r>
      <w:r>
        <w:rPr>
          <w:rStyle w:val="33"/>
          <w14:scene3d>
            <w14:lightRig w14:rig="threePt" w14:dir="t">
              <w14:rot w14:lat="0" w14:lon="0" w14:rev="0"/>
            </w14:lightRig>
          </w14:scene3d>
        </w:rPr>
        <w:t xml:space="preserve">8.4 </w:t>
      </w:r>
      <w:r>
        <w:rPr>
          <w:rStyle w:val="33"/>
        </w:rPr>
        <w:t xml:space="preserve"> 预制混凝土阳台、空调板安装</w:t>
      </w:r>
      <w:r>
        <w:tab/>
      </w:r>
      <w:r>
        <w:fldChar w:fldCharType="begin"/>
      </w:r>
      <w:r>
        <w:instrText xml:space="preserve"> PAGEREF _Toc76637895 \h </w:instrText>
      </w:r>
      <w:r>
        <w:fldChar w:fldCharType="separate"/>
      </w:r>
      <w:r>
        <w:t>10</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"_Toc76637896" </w:instrText>
      </w:r>
      <w:r>
        <w:fldChar w:fldCharType="separate"/>
      </w:r>
      <w:r>
        <w:rPr>
          <w:rStyle w:val="33"/>
        </w:rPr>
        <w:t>9  围护、分隔及装饰构件安装</w:t>
      </w:r>
      <w:r>
        <w:tab/>
      </w:r>
      <w:r>
        <w:fldChar w:fldCharType="begin"/>
      </w:r>
      <w:r>
        <w:instrText xml:space="preserve"> PAGEREF _Toc76637896 \h </w:instrText>
      </w:r>
      <w:r>
        <w:fldChar w:fldCharType="separate"/>
      </w:r>
      <w:r>
        <w:t>11</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"_Toc76637897" </w:instrText>
      </w:r>
      <w:r>
        <w:fldChar w:fldCharType="separate"/>
      </w:r>
      <w:r>
        <w:rPr>
          <w:rStyle w:val="33"/>
          <w14:scene3d>
            <w14:lightRig w14:rig="threePt" w14:dir="t">
              <w14:rot w14:lat="0" w14:lon="0" w14:rev="0"/>
            </w14:lightRig>
          </w14:scene3d>
        </w:rPr>
        <w:t xml:space="preserve">9.1 </w:t>
      </w:r>
      <w:r>
        <w:rPr>
          <w:rStyle w:val="33"/>
        </w:rPr>
        <w:t xml:space="preserve"> 围护构件安装</w:t>
      </w:r>
      <w:r>
        <w:tab/>
      </w:r>
      <w:r>
        <w:fldChar w:fldCharType="begin"/>
      </w:r>
      <w:r>
        <w:instrText xml:space="preserve"> PAGEREF _Toc76637897 \h </w:instrText>
      </w:r>
      <w:r>
        <w:fldChar w:fldCharType="separate"/>
      </w:r>
      <w:r>
        <w:t>11</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"_Toc76637898" </w:instrText>
      </w:r>
      <w:r>
        <w:fldChar w:fldCharType="separate"/>
      </w:r>
      <w:r>
        <w:rPr>
          <w:rStyle w:val="33"/>
          <w14:scene3d>
            <w14:lightRig w14:rig="threePt" w14:dir="t">
              <w14:rot w14:lat="0" w14:lon="0" w14:rev="0"/>
            </w14:lightRig>
          </w14:scene3d>
        </w:rPr>
        <w:t xml:space="preserve">9.2 </w:t>
      </w:r>
      <w:r>
        <w:rPr>
          <w:rStyle w:val="33"/>
        </w:rPr>
        <w:t xml:space="preserve"> 预制分隔墙及装饰构件安装</w:t>
      </w:r>
      <w:r>
        <w:tab/>
      </w:r>
      <w:r>
        <w:fldChar w:fldCharType="begin"/>
      </w:r>
      <w:r>
        <w:instrText xml:space="preserve"> PAGEREF _Toc76637898 \h </w:instrText>
      </w:r>
      <w:r>
        <w:fldChar w:fldCharType="separate"/>
      </w:r>
      <w:r>
        <w:t>12</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"_Toc76637899" </w:instrText>
      </w:r>
      <w:r>
        <w:fldChar w:fldCharType="separate"/>
      </w:r>
      <w:r>
        <w:rPr>
          <w:rStyle w:val="33"/>
        </w:rPr>
        <w:t>10  构件连接</w:t>
      </w:r>
      <w:r>
        <w:tab/>
      </w:r>
      <w:r>
        <w:fldChar w:fldCharType="begin"/>
      </w:r>
      <w:r>
        <w:instrText xml:space="preserve"> PAGEREF _Toc76637899 \h </w:instrText>
      </w:r>
      <w:r>
        <w:fldChar w:fldCharType="separate"/>
      </w:r>
      <w:r>
        <w:t>13</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"_Toc76637900" </w:instrText>
      </w:r>
      <w:r>
        <w:fldChar w:fldCharType="separate"/>
      </w:r>
      <w:r>
        <w:rPr>
          <w:rStyle w:val="33"/>
          <w14:scene3d>
            <w14:lightRig w14:rig="threePt" w14:dir="t">
              <w14:rot w14:lat="0" w14:lon="0" w14:rev="0"/>
            </w14:lightRig>
          </w14:scene3d>
        </w:rPr>
        <w:t xml:space="preserve">10.1 </w:t>
      </w:r>
      <w:r>
        <w:rPr>
          <w:rStyle w:val="33"/>
        </w:rPr>
        <w:t xml:space="preserve"> 钢筋套筒灌浆连接</w:t>
      </w:r>
      <w:r>
        <w:tab/>
      </w:r>
      <w:r>
        <w:fldChar w:fldCharType="begin"/>
      </w:r>
      <w:r>
        <w:instrText xml:space="preserve"> PAGEREF _Toc76637900 \h </w:instrText>
      </w:r>
      <w:r>
        <w:fldChar w:fldCharType="separate"/>
      </w:r>
      <w:r>
        <w:t>13</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"_Toc76637901" </w:instrText>
      </w:r>
      <w:r>
        <w:fldChar w:fldCharType="separate"/>
      </w:r>
      <w:r>
        <w:rPr>
          <w:rStyle w:val="33"/>
          <w14:scene3d>
            <w14:lightRig w14:rig="threePt" w14:dir="t">
              <w14:rot w14:lat="0" w14:lon="0" w14:rev="0"/>
            </w14:lightRig>
          </w14:scene3d>
        </w:rPr>
        <w:t xml:space="preserve">10.2 </w:t>
      </w:r>
      <w:r>
        <w:rPr>
          <w:rStyle w:val="33"/>
        </w:rPr>
        <w:t xml:space="preserve"> 现浇混凝土连接段施工</w:t>
      </w:r>
      <w:r>
        <w:tab/>
      </w:r>
      <w:r>
        <w:fldChar w:fldCharType="begin"/>
      </w:r>
      <w:r>
        <w:instrText xml:space="preserve"> PAGEREF _Toc76637901 \h </w:instrText>
      </w:r>
      <w:r>
        <w:fldChar w:fldCharType="separate"/>
      </w:r>
      <w:r>
        <w:t>14</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"_Toc76637902" </w:instrText>
      </w:r>
      <w:r>
        <w:fldChar w:fldCharType="separate"/>
      </w:r>
      <w:r>
        <w:rPr>
          <w:rStyle w:val="33"/>
          <w14:scene3d>
            <w14:lightRig w14:rig="threePt" w14:dir="t">
              <w14:rot w14:lat="0" w14:lon="0" w14:rev="0"/>
            </w14:lightRig>
          </w14:scene3d>
        </w:rPr>
        <w:t xml:space="preserve">10.3 </w:t>
      </w:r>
      <w:r>
        <w:rPr>
          <w:rStyle w:val="33"/>
        </w:rPr>
        <w:t xml:space="preserve"> 叠合混凝土墙现浇施工</w:t>
      </w:r>
      <w:r>
        <w:tab/>
      </w:r>
      <w:r>
        <w:fldChar w:fldCharType="begin"/>
      </w:r>
      <w:r>
        <w:instrText xml:space="preserve"> PAGEREF _Toc76637902 \h </w:instrText>
      </w:r>
      <w:r>
        <w:fldChar w:fldCharType="separate"/>
      </w:r>
      <w:r>
        <w:t>15</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"_Toc76637903" </w:instrText>
      </w:r>
      <w:r>
        <w:fldChar w:fldCharType="separate"/>
      </w:r>
      <w:r>
        <w:rPr>
          <w:rStyle w:val="33"/>
          <w14:scene3d>
            <w14:lightRig w14:rig="threePt" w14:dir="t">
              <w14:rot w14:lat="0" w14:lon="0" w14:rev="0"/>
            </w14:lightRig>
          </w14:scene3d>
        </w:rPr>
        <w:t xml:space="preserve">10.4 </w:t>
      </w:r>
      <w:r>
        <w:rPr>
          <w:rStyle w:val="33"/>
        </w:rPr>
        <w:t xml:space="preserve"> 密封胶嵌缝施工</w:t>
      </w:r>
      <w:r>
        <w:tab/>
      </w:r>
      <w:r>
        <w:fldChar w:fldCharType="begin"/>
      </w:r>
      <w:r>
        <w:instrText xml:space="preserve"> PAGEREF _Toc76637903 \h </w:instrText>
      </w:r>
      <w:r>
        <w:fldChar w:fldCharType="separate"/>
      </w:r>
      <w:r>
        <w:t>16</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"_Toc76637904" </w:instrText>
      </w:r>
      <w:r>
        <w:fldChar w:fldCharType="separate"/>
      </w:r>
      <w:r>
        <w:rPr>
          <w:rStyle w:val="33"/>
        </w:rPr>
        <w:t>11  质量控制</w:t>
      </w:r>
      <w:r>
        <w:rPr>
          <w:rStyle w:val="33"/>
          <w:rFonts w:hint="eastAsia"/>
          <w:lang w:val="en-US" w:eastAsia="zh-CN"/>
        </w:rPr>
        <w:t>与</w:t>
      </w:r>
      <w:r>
        <w:rPr>
          <w:rStyle w:val="33"/>
        </w:rPr>
        <w:t>验收</w:t>
      </w:r>
      <w:r>
        <w:tab/>
      </w:r>
      <w:r>
        <w:fldChar w:fldCharType="begin"/>
      </w:r>
      <w:r>
        <w:instrText xml:space="preserve"> PAGEREF _Toc76637904 \h </w:instrText>
      </w:r>
      <w:r>
        <w:fldChar w:fldCharType="separate"/>
      </w:r>
      <w:r>
        <w:t>17</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"_Toc76637905" </w:instrText>
      </w:r>
      <w:r>
        <w:fldChar w:fldCharType="separate"/>
      </w:r>
      <w:r>
        <w:rPr>
          <w:rStyle w:val="33"/>
          <w14:scene3d>
            <w14:lightRig w14:rig="threePt" w14:dir="t">
              <w14:rot w14:lat="0" w14:lon="0" w14:rev="0"/>
            </w14:lightRig>
          </w14:scene3d>
        </w:rPr>
        <w:t xml:space="preserve">11.1 </w:t>
      </w:r>
      <w:r>
        <w:rPr>
          <w:rStyle w:val="33"/>
        </w:rPr>
        <w:t xml:space="preserve"> 构件进场及验收</w:t>
      </w:r>
      <w:r>
        <w:tab/>
      </w:r>
      <w:r>
        <w:fldChar w:fldCharType="begin"/>
      </w:r>
      <w:r>
        <w:instrText xml:space="preserve"> PAGEREF _Toc76637905 \h </w:instrText>
      </w:r>
      <w:r>
        <w:fldChar w:fldCharType="separate"/>
      </w:r>
      <w:r>
        <w:t>17</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"_Toc76637906" </w:instrText>
      </w:r>
      <w:r>
        <w:fldChar w:fldCharType="separate"/>
      </w:r>
      <w:r>
        <w:rPr>
          <w:rStyle w:val="33"/>
          <w14:scene3d>
            <w14:lightRig w14:rig="threePt" w14:dir="t">
              <w14:rot w14:lat="0" w14:lon="0" w14:rev="0"/>
            </w14:lightRig>
          </w14:scene3d>
        </w:rPr>
        <w:t xml:space="preserve">11.2 </w:t>
      </w:r>
      <w:r>
        <w:rPr>
          <w:rStyle w:val="33"/>
        </w:rPr>
        <w:t xml:space="preserve"> 构件施工质量控制及验收</w:t>
      </w:r>
      <w:r>
        <w:tab/>
      </w:r>
      <w:r>
        <w:fldChar w:fldCharType="begin"/>
      </w:r>
      <w:r>
        <w:instrText xml:space="preserve"> PAGEREF _Toc76637906 \h </w:instrText>
      </w:r>
      <w:r>
        <w:fldChar w:fldCharType="separate"/>
      </w:r>
      <w:r>
        <w:t>18</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"_Toc76637907" </w:instrText>
      </w:r>
      <w:r>
        <w:fldChar w:fldCharType="separate"/>
      </w:r>
      <w:r>
        <w:rPr>
          <w:rStyle w:val="33"/>
          <w14:scene3d>
            <w14:lightRig w14:rig="threePt" w14:dir="t">
              <w14:rot w14:lat="0" w14:lon="0" w14:rev="0"/>
            </w14:lightRig>
          </w14:scene3d>
        </w:rPr>
        <w:t xml:space="preserve">11.3 </w:t>
      </w:r>
      <w:r>
        <w:rPr>
          <w:rStyle w:val="33"/>
        </w:rPr>
        <w:t xml:space="preserve"> 成品保护</w:t>
      </w:r>
      <w:r>
        <w:tab/>
      </w:r>
      <w:r>
        <w:fldChar w:fldCharType="begin"/>
      </w:r>
      <w:r>
        <w:instrText xml:space="preserve"> PAGEREF _Toc76637907 \h </w:instrText>
      </w:r>
      <w:r>
        <w:fldChar w:fldCharType="separate"/>
      </w:r>
      <w:r>
        <w:t>19</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"_Toc76637908" </w:instrText>
      </w:r>
      <w:r>
        <w:fldChar w:fldCharType="separate"/>
      </w:r>
      <w:r>
        <w:rPr>
          <w:rStyle w:val="33"/>
        </w:rPr>
        <w:t>12  安全防护与环境保护</w:t>
      </w:r>
      <w:r>
        <w:tab/>
      </w:r>
      <w:r>
        <w:fldChar w:fldCharType="begin"/>
      </w:r>
      <w:r>
        <w:instrText xml:space="preserve"> PAGEREF _Toc76637908 \h </w:instrText>
      </w:r>
      <w:r>
        <w:fldChar w:fldCharType="separate"/>
      </w:r>
      <w:r>
        <w:t>20</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"_Toc76637909" </w:instrText>
      </w:r>
      <w:r>
        <w:fldChar w:fldCharType="separate"/>
      </w:r>
      <w:r>
        <w:rPr>
          <w:rStyle w:val="33"/>
          <w14:scene3d>
            <w14:lightRig w14:rig="threePt" w14:dir="t">
              <w14:rot w14:lat="0" w14:lon="0" w14:rev="0"/>
            </w14:lightRig>
          </w14:scene3d>
        </w:rPr>
        <w:t xml:space="preserve">12.1 </w:t>
      </w:r>
      <w:r>
        <w:rPr>
          <w:rStyle w:val="33"/>
        </w:rPr>
        <w:t xml:space="preserve"> 安全防护</w:t>
      </w:r>
      <w:r>
        <w:tab/>
      </w:r>
      <w:r>
        <w:fldChar w:fldCharType="begin"/>
      </w:r>
      <w:r>
        <w:instrText xml:space="preserve"> PAGEREF _Toc76637909 \h </w:instrText>
      </w:r>
      <w:r>
        <w:fldChar w:fldCharType="separate"/>
      </w:r>
      <w:r>
        <w:t>21</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"_Toc76637910" </w:instrText>
      </w:r>
      <w:r>
        <w:fldChar w:fldCharType="separate"/>
      </w:r>
      <w:r>
        <w:rPr>
          <w:rStyle w:val="33"/>
          <w14:scene3d>
            <w14:lightRig w14:rig="threePt" w14:dir="t">
              <w14:rot w14:lat="0" w14:lon="0" w14:rev="0"/>
            </w14:lightRig>
          </w14:scene3d>
        </w:rPr>
        <w:t xml:space="preserve">12.2 </w:t>
      </w:r>
      <w:r>
        <w:rPr>
          <w:rStyle w:val="33"/>
        </w:rPr>
        <w:t xml:space="preserve"> 环境保护</w:t>
      </w:r>
      <w:r>
        <w:tab/>
      </w:r>
      <w:r>
        <w:fldChar w:fldCharType="begin"/>
      </w:r>
      <w:r>
        <w:instrText xml:space="preserve"> PAGEREF _Toc76637910 \h </w:instrText>
      </w:r>
      <w:r>
        <w:fldChar w:fldCharType="separate"/>
      </w:r>
      <w:r>
        <w:t>21</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"_Toc76637911" </w:instrText>
      </w:r>
      <w:r>
        <w:fldChar w:fldCharType="separate"/>
      </w:r>
      <w:r>
        <w:rPr>
          <w:rStyle w:val="33"/>
        </w:rPr>
        <w:t>13  BIM及信息化技术</w:t>
      </w:r>
      <w:r>
        <w:tab/>
      </w:r>
      <w:r>
        <w:fldChar w:fldCharType="begin"/>
      </w:r>
      <w:r>
        <w:instrText xml:space="preserve"> PAGEREF _Toc76637911 \h </w:instrText>
      </w:r>
      <w:r>
        <w:fldChar w:fldCharType="separate"/>
      </w:r>
      <w:r>
        <w:t>22</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"_Toc76637912" </w:instrText>
      </w:r>
      <w:r>
        <w:fldChar w:fldCharType="separate"/>
      </w:r>
      <w:r>
        <w:rPr>
          <w:rStyle w:val="33"/>
          <w14:scene3d>
            <w14:lightRig w14:rig="threePt" w14:dir="t">
              <w14:rot w14:lat="0" w14:lon="0" w14:rev="0"/>
            </w14:lightRig>
          </w14:scene3d>
        </w:rPr>
        <w:t xml:space="preserve">13.1 </w:t>
      </w:r>
      <w:r>
        <w:rPr>
          <w:rStyle w:val="33"/>
        </w:rPr>
        <w:t xml:space="preserve"> BIM应用</w:t>
      </w:r>
      <w:r>
        <w:tab/>
      </w:r>
      <w:r>
        <w:fldChar w:fldCharType="begin"/>
      </w:r>
      <w:r>
        <w:instrText xml:space="preserve"> PAGEREF _Toc76637912 \h </w:instrText>
      </w:r>
      <w:r>
        <w:fldChar w:fldCharType="separate"/>
      </w:r>
      <w:r>
        <w:t>22</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"_Toc76637913" </w:instrText>
      </w:r>
      <w:r>
        <w:fldChar w:fldCharType="separate"/>
      </w:r>
      <w:r>
        <w:rPr>
          <w:rStyle w:val="33"/>
          <w14:scene3d>
            <w14:lightRig w14:rig="threePt" w14:dir="t">
              <w14:rot w14:lat="0" w14:lon="0" w14:rev="0"/>
            </w14:lightRig>
          </w14:scene3d>
        </w:rPr>
        <w:t xml:space="preserve">13.2 </w:t>
      </w:r>
      <w:r>
        <w:rPr>
          <w:rStyle w:val="33"/>
        </w:rPr>
        <w:t xml:space="preserve"> 信息化管理</w:t>
      </w:r>
      <w:r>
        <w:tab/>
      </w:r>
      <w:r>
        <w:fldChar w:fldCharType="begin"/>
      </w:r>
      <w:r>
        <w:instrText xml:space="preserve"> PAGEREF _Toc76637913 \h </w:instrText>
      </w:r>
      <w:r>
        <w:fldChar w:fldCharType="separate"/>
      </w:r>
      <w:r>
        <w:t>22</w:t>
      </w:r>
      <w:r>
        <w:fldChar w:fldCharType="end"/>
      </w:r>
      <w:r>
        <w:fldChar w:fldCharType="end"/>
      </w:r>
    </w:p>
    <w:p>
      <w:pPr>
        <w:pStyle w:val="92"/>
        <w:spacing w:after="468"/>
        <w:sectPr>
          <w:pgSz w:w="11906" w:h="16838"/>
          <w:pgMar w:top="2410" w:right="1134" w:bottom="1134" w:left="1134" w:header="1418" w:footer="1134" w:gutter="284"/>
          <w:pgNumType w:fmt="upperRoman" w:start="1"/>
          <w:cols w:space="425" w:num="1"/>
          <w:formProt w:val="0"/>
          <w:docGrid w:type="lines" w:linePitch="312" w:charSpace="0"/>
        </w:sectPr>
      </w:pPr>
      <w:r>
        <w:fldChar w:fldCharType="end"/>
      </w:r>
    </w:p>
    <w:bookmarkEnd w:id="15"/>
    <w:p>
      <w:pPr>
        <w:pStyle w:val="90"/>
        <w:spacing w:after="468"/>
      </w:pPr>
      <w:bookmarkStart w:id="19" w:name="_Toc76637876"/>
      <w:bookmarkStart w:id="20" w:name="BookMark2"/>
      <w:r>
        <w:rPr>
          <w:spacing w:val="320"/>
        </w:rPr>
        <w:t>前</w:t>
      </w:r>
      <w:r>
        <w:t>言</w:t>
      </w:r>
      <w:bookmarkEnd w:id="16"/>
      <w:bookmarkEnd w:id="17"/>
      <w:bookmarkEnd w:id="18"/>
      <w:bookmarkEnd w:id="19"/>
    </w:p>
    <w:p>
      <w:pPr>
        <w:pStyle w:val="57"/>
        <w:ind w:firstLine="420"/>
      </w:pPr>
      <w:r>
        <w:rPr>
          <w:rFonts w:hint="eastAsia"/>
        </w:rPr>
        <w:t>本文件按照GB/T 1.1—2020《标准化工作导则  第1部分：标准化文件的结构和起草规则》的规定起草。</w:t>
      </w:r>
    </w:p>
    <w:p>
      <w:pPr>
        <w:pStyle w:val="57"/>
        <w:ind w:firstLine="420"/>
      </w:pPr>
      <w:r>
        <w:rPr>
          <w:rFonts w:hint="eastAsia"/>
        </w:rPr>
        <w:t>本文件由湖北省住房和城乡建设厅提出并归口管理。</w:t>
      </w:r>
    </w:p>
    <w:p>
      <w:pPr>
        <w:pStyle w:val="57"/>
        <w:ind w:firstLine="420"/>
        <w:rPr>
          <w:rFonts w:hint="eastAsia" w:eastAsia="宋体"/>
          <w:lang w:eastAsia="zh-CN"/>
        </w:rPr>
      </w:pPr>
      <w:r>
        <w:rPr>
          <w:rFonts w:hint="eastAsia"/>
        </w:rPr>
        <w:t>本文件起草单位：中建三局科创发展有限公司、中建科技武汉有限公司、武汉理工大学、美好建筑装配科技有限公司、中信建筑设计研究总院有限公司、武汉三木和森建设有限公司</w:t>
      </w:r>
      <w:r>
        <w:rPr>
          <w:rFonts w:hint="eastAsia"/>
          <w:lang w:eastAsia="zh-CN"/>
        </w:rPr>
        <w:t>。</w:t>
      </w:r>
    </w:p>
    <w:p>
      <w:pPr>
        <w:pStyle w:val="57"/>
        <w:ind w:firstLine="420"/>
        <w:rPr>
          <w:rFonts w:hint="eastAsia" w:eastAsia="宋体"/>
          <w:lang w:eastAsia="zh-CN"/>
        </w:rPr>
      </w:pPr>
      <w:r>
        <w:rPr>
          <w:rFonts w:hint="eastAsia"/>
        </w:rPr>
        <w:t>本文件主要起草人：</w:t>
      </w:r>
      <w:r>
        <w:rPr>
          <w:rFonts w:hint="eastAsia"/>
          <w:lang w:val="en-US" w:eastAsia="zh-CN"/>
        </w:rPr>
        <w:t>潘寒、</w:t>
      </w:r>
      <w:r>
        <w:rPr>
          <w:rFonts w:hint="eastAsia"/>
        </w:rPr>
        <w:t>刘献伟、刘波、孙志庭、</w:t>
      </w:r>
      <w:r>
        <w:rPr>
          <w:rFonts w:hint="eastAsia"/>
          <w:lang w:val="en-US" w:eastAsia="zh-CN"/>
        </w:rPr>
        <w:t>谷倩</w:t>
      </w:r>
      <w:r>
        <w:rPr>
          <w:rFonts w:hint="eastAsia"/>
        </w:rPr>
        <w:t>、田水、</w:t>
      </w:r>
      <w:r>
        <w:rPr>
          <w:rFonts w:hint="eastAsia"/>
          <w:lang w:val="en-US" w:eastAsia="zh-CN"/>
        </w:rPr>
        <w:t>刘李智、</w:t>
      </w:r>
      <w:r>
        <w:rPr>
          <w:rFonts w:hint="eastAsia"/>
        </w:rPr>
        <w:t>邹伟琦、谭园</w:t>
      </w:r>
      <w:r>
        <w:rPr>
          <w:rFonts w:hint="eastAsia"/>
          <w:lang w:eastAsia="zh-CN"/>
        </w:rPr>
        <w:t>、</w:t>
      </w:r>
      <w:r>
        <w:rPr>
          <w:rFonts w:hint="eastAsia"/>
        </w:rPr>
        <w:t>陶志雄、王红军、陈荣亮、向洪林、杨欣宇</w:t>
      </w:r>
      <w:r>
        <w:rPr>
          <w:rFonts w:hint="eastAsia"/>
          <w:lang w:eastAsia="zh-CN"/>
        </w:rPr>
        <w:t>。</w:t>
      </w:r>
    </w:p>
    <w:p>
      <w:pPr>
        <w:pStyle w:val="57"/>
        <w:ind w:firstLine="420"/>
        <w:rPr>
          <w:rFonts w:hint="eastAsia"/>
        </w:rPr>
      </w:pPr>
    </w:p>
    <w:p>
      <w:pPr>
        <w:pStyle w:val="57"/>
        <w:ind w:firstLine="420"/>
        <w:rPr>
          <w:rFonts w:hint="eastAsia"/>
        </w:rPr>
      </w:pPr>
    </w:p>
    <w:p>
      <w:pPr>
        <w:pStyle w:val="57"/>
        <w:ind w:firstLine="420"/>
        <w:rPr>
          <w:rFonts w:hint="eastAsia"/>
        </w:rPr>
        <w:sectPr>
          <w:pgSz w:w="11906" w:h="16838"/>
          <w:pgMar w:top="2410" w:right="1134" w:bottom="1134" w:left="1134" w:header="1418" w:footer="1134" w:gutter="284"/>
          <w:pgNumType w:fmt="upperRoman"/>
          <w:cols w:space="425" w:num="1"/>
          <w:formProt w:val="0"/>
          <w:docGrid w:type="lines" w:linePitch="312" w:charSpace="0"/>
        </w:sectPr>
      </w:pPr>
      <w:r>
        <w:rPr>
          <w:rFonts w:hint="eastAsia"/>
        </w:rPr>
        <w:t>本文件实施应用中的疑问，可咨询湖北省住房和城乡建设厅，联系电话：027-68873088，邮箱：407483361@qq.com。在执行过程中如有意见和建议请邮寄至中建三局科创发展有限公司（地址：湖北省武汉市湖北国展中心西塔20F，邮编430050）。</w:t>
      </w:r>
    </w:p>
    <w:p>
      <w:pPr>
        <w:pStyle w:val="57"/>
        <w:ind w:firstLine="420"/>
        <w:rPr>
          <w:rFonts w:hint="eastAsia"/>
        </w:rPr>
        <w:sectPr>
          <w:pgSz w:w="11906" w:h="16838"/>
          <w:pgMar w:top="2410" w:right="1134" w:bottom="1134" w:left="1134" w:header="1418" w:footer="1134" w:gutter="284"/>
          <w:pgNumType w:fmt="upperRoman"/>
          <w:cols w:space="425" w:num="1"/>
          <w:formProt w:val="0"/>
          <w:docGrid w:type="lines" w:linePitch="312" w:charSpace="0"/>
        </w:sectPr>
      </w:pPr>
    </w:p>
    <w:bookmarkEnd w:id="20"/>
    <w:p>
      <w:pPr>
        <w:spacing w:line="20" w:lineRule="exact"/>
        <w:jc w:val="center"/>
        <w:rPr>
          <w:rFonts w:ascii="黑体" w:hAnsi="黑体" w:eastAsia="黑体"/>
          <w:sz w:val="32"/>
          <w:szCs w:val="32"/>
        </w:rPr>
      </w:pPr>
      <w:bookmarkStart w:id="21" w:name="BookMark4"/>
    </w:p>
    <w:p>
      <w:pPr>
        <w:spacing w:line="20" w:lineRule="exact"/>
        <w:jc w:val="center"/>
        <w:rPr>
          <w:rFonts w:ascii="黑体" w:hAnsi="黑体" w:eastAsia="黑体"/>
          <w:sz w:val="32"/>
          <w:szCs w:val="32"/>
        </w:rPr>
      </w:pPr>
    </w:p>
    <w:sdt>
      <w:sdtPr>
        <w:tag w:val="NEW_STAND_NAME"/>
        <w:id w:val="595910757"/>
        <w:lock w:val="sdtLocked"/>
        <w:placeholder>
          <w:docPart w:val="EE2F0ACE9CD24C068116B4594184CBBC"/>
        </w:placeholder>
      </w:sdtPr>
      <w:sdtContent>
        <w:p>
          <w:pPr>
            <w:pStyle w:val="178"/>
            <w:spacing w:before="3" w:beforeLines="1" w:after="686" w:afterLines="220"/>
          </w:pPr>
          <w:bookmarkStart w:id="22" w:name="NEW_STAND_NAME"/>
          <w:r>
            <w:rPr>
              <w:rFonts w:hint="eastAsia"/>
            </w:rPr>
            <w:t>装配式混凝土结构工程施工工艺技术规程</w:t>
          </w:r>
        </w:p>
      </w:sdtContent>
    </w:sdt>
    <w:bookmarkEnd w:id="22"/>
    <w:p>
      <w:pPr>
        <w:pStyle w:val="105"/>
        <w:spacing w:before="312" w:after="312"/>
      </w:pPr>
      <w:bookmarkStart w:id="23" w:name="_Toc26986530"/>
      <w:bookmarkStart w:id="24" w:name="_Toc13686"/>
      <w:bookmarkStart w:id="25" w:name="_Toc76637877"/>
      <w:bookmarkStart w:id="26" w:name="_Toc24884218"/>
      <w:bookmarkStart w:id="27" w:name="_Toc76030244"/>
      <w:bookmarkStart w:id="28" w:name="_Toc26986771"/>
      <w:bookmarkStart w:id="29" w:name="_Toc26648465"/>
      <w:bookmarkStart w:id="30" w:name="_Toc76628794"/>
      <w:bookmarkStart w:id="31" w:name="_Toc26718930"/>
      <w:bookmarkStart w:id="32" w:name="_Toc17233325"/>
      <w:bookmarkStart w:id="33" w:name="_Toc24884211"/>
      <w:bookmarkStart w:id="34" w:name="_Toc17233333"/>
      <w:r>
        <w:rPr>
          <w:rFonts w:hint="eastAsia"/>
        </w:rPr>
        <w:t>范围</w:t>
      </w:r>
      <w:bookmarkEnd w:id="23"/>
      <w:bookmarkEnd w:id="24"/>
      <w:bookmarkEnd w:id="25"/>
      <w:bookmarkEnd w:id="26"/>
      <w:bookmarkEnd w:id="27"/>
      <w:bookmarkEnd w:id="28"/>
      <w:bookmarkEnd w:id="29"/>
      <w:bookmarkEnd w:id="30"/>
      <w:bookmarkEnd w:id="31"/>
      <w:bookmarkEnd w:id="32"/>
      <w:bookmarkEnd w:id="33"/>
      <w:bookmarkEnd w:id="34"/>
    </w:p>
    <w:p>
      <w:pPr>
        <w:pStyle w:val="57"/>
        <w:ind w:firstLine="420"/>
      </w:pPr>
      <w:bookmarkStart w:id="35" w:name="_Toc17233326"/>
      <w:bookmarkStart w:id="36" w:name="_Toc24884219"/>
      <w:bookmarkStart w:id="37" w:name="_Toc26648466"/>
      <w:bookmarkStart w:id="38" w:name="_Toc24884212"/>
      <w:bookmarkStart w:id="39" w:name="_Toc17233334"/>
      <w:r>
        <w:rPr>
          <w:rFonts w:hint="eastAsia"/>
        </w:rPr>
        <w:t>本文件规定了装配式混凝土结构工程施工过程中各工序的工艺方法及技术要求，包括施工准备、构件安装、构件连接、质量控制与验收、安全防护与环境保护、BIM及信息化技术。</w:t>
      </w:r>
    </w:p>
    <w:p>
      <w:pPr>
        <w:pStyle w:val="57"/>
        <w:ind w:firstLine="420"/>
      </w:pPr>
      <w:r>
        <w:rPr>
          <w:rFonts w:hint="eastAsia"/>
        </w:rPr>
        <w:t>本文件适用于湖北省装配式混凝土结构施工，同时适用于部分采用预制构件的混凝土结构的施工。</w:t>
      </w:r>
    </w:p>
    <w:p>
      <w:pPr>
        <w:pStyle w:val="105"/>
        <w:spacing w:before="312" w:after="312"/>
      </w:pPr>
      <w:bookmarkStart w:id="40" w:name="_Toc26718931"/>
      <w:bookmarkStart w:id="41" w:name="_Toc76030245"/>
      <w:bookmarkStart w:id="42" w:name="_Toc76637878"/>
      <w:bookmarkStart w:id="43" w:name="_Toc76628795"/>
      <w:bookmarkStart w:id="44" w:name="_Toc26986772"/>
      <w:bookmarkStart w:id="45" w:name="_Toc31562"/>
      <w:bookmarkStart w:id="46" w:name="_Toc26986531"/>
      <w:r>
        <w:rPr>
          <w:rFonts w:hint="eastAsia"/>
        </w:rPr>
        <w:t>规范性引用文件</w:t>
      </w:r>
      <w:bookmarkEnd w:id="35"/>
      <w:bookmarkEnd w:id="36"/>
      <w:bookmarkEnd w:id="37"/>
      <w:bookmarkEnd w:id="38"/>
      <w:bookmarkEnd w:id="39"/>
      <w:bookmarkEnd w:id="40"/>
      <w:bookmarkEnd w:id="41"/>
      <w:bookmarkEnd w:id="42"/>
      <w:bookmarkEnd w:id="43"/>
      <w:bookmarkEnd w:id="44"/>
      <w:bookmarkEnd w:id="45"/>
      <w:bookmarkEnd w:id="46"/>
    </w:p>
    <w:sdt>
      <w:sdtPr>
        <w:rPr>
          <w:rFonts w:hint="eastAsia"/>
        </w:rPr>
        <w:id w:val="715848253"/>
        <w:placeholder>
          <w:docPart w:val="ED617B49F1E0452D9001D5DDF5D0DD91"/>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pPr>
            <w:pStyle w:val="57"/>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pPr>
        <w:pStyle w:val="57"/>
        <w:ind w:firstLine="420"/>
      </w:pPr>
      <w:r>
        <w:rPr>
          <w:rFonts w:hint="eastAsia"/>
        </w:rPr>
        <w:t xml:space="preserve">GB 12523 </w:t>
      </w:r>
      <w:r>
        <w:t xml:space="preserve"> </w:t>
      </w:r>
      <w:r>
        <w:rPr>
          <w:rFonts w:hint="eastAsia"/>
        </w:rPr>
        <w:t>建筑施工场界环境噪声排放标准</w:t>
      </w:r>
    </w:p>
    <w:p>
      <w:pPr>
        <w:pStyle w:val="57"/>
        <w:ind w:firstLine="420"/>
      </w:pPr>
      <w:r>
        <w:rPr>
          <w:rFonts w:hint="eastAsia"/>
        </w:rPr>
        <w:t xml:space="preserve">GB 50204 </w:t>
      </w:r>
      <w:r>
        <w:t xml:space="preserve"> </w:t>
      </w:r>
      <w:r>
        <w:rPr>
          <w:rFonts w:hint="eastAsia"/>
        </w:rPr>
        <w:t>混凝土结构工程施工质量验收规范</w:t>
      </w:r>
    </w:p>
    <w:p>
      <w:pPr>
        <w:pStyle w:val="57"/>
        <w:ind w:firstLine="420"/>
        <w:rPr>
          <w:rFonts w:hint="eastAsia"/>
        </w:rPr>
      </w:pPr>
      <w:r>
        <w:rPr>
          <w:rFonts w:hint="eastAsia"/>
        </w:rPr>
        <w:t xml:space="preserve">GB 50666 </w:t>
      </w:r>
      <w:r>
        <w:t xml:space="preserve"> </w:t>
      </w:r>
      <w:r>
        <w:rPr>
          <w:rFonts w:hint="eastAsia"/>
        </w:rPr>
        <w:t>混凝土结构工程施工规范</w:t>
      </w:r>
    </w:p>
    <w:p>
      <w:pPr>
        <w:pStyle w:val="57"/>
        <w:ind w:firstLine="420"/>
        <w:rPr>
          <w:rFonts w:hint="eastAsia"/>
        </w:rPr>
      </w:pPr>
      <w:r>
        <w:rPr>
          <w:rFonts w:hint="eastAsia"/>
        </w:rPr>
        <w:t>GB/T</w:t>
      </w:r>
      <w:r>
        <w:rPr>
          <w:rFonts w:hint="eastAsia"/>
          <w:lang w:val="en-US" w:eastAsia="zh-CN"/>
        </w:rPr>
        <w:t xml:space="preserve"> </w:t>
      </w:r>
      <w:r>
        <w:rPr>
          <w:rFonts w:hint="eastAsia"/>
        </w:rPr>
        <w:t>14683</w:t>
      </w:r>
      <w:r>
        <w:rPr>
          <w:rFonts w:hint="eastAsia"/>
          <w:lang w:val="en-US" w:eastAsia="zh-CN"/>
        </w:rPr>
        <w:t xml:space="preserve">  </w:t>
      </w:r>
      <w:r>
        <w:rPr>
          <w:rFonts w:hint="eastAsia"/>
        </w:rPr>
        <w:t>硅酮建筑密封胶</w:t>
      </w:r>
    </w:p>
    <w:p>
      <w:pPr>
        <w:pStyle w:val="57"/>
        <w:ind w:firstLine="420"/>
      </w:pPr>
      <w:r>
        <w:rPr>
          <w:rFonts w:hint="eastAsia"/>
        </w:rPr>
        <w:t xml:space="preserve">GB/T 50107 </w:t>
      </w:r>
      <w:r>
        <w:t xml:space="preserve"> </w:t>
      </w:r>
      <w:r>
        <w:rPr>
          <w:rFonts w:hint="eastAsia"/>
        </w:rPr>
        <w:t>混凝土强度检验评定标准</w:t>
      </w:r>
    </w:p>
    <w:p>
      <w:pPr>
        <w:pStyle w:val="57"/>
        <w:ind w:firstLine="420"/>
      </w:pPr>
      <w:r>
        <w:rPr>
          <w:rFonts w:hint="eastAsia"/>
        </w:rPr>
        <w:t xml:space="preserve">GB/T 50448 </w:t>
      </w:r>
      <w:r>
        <w:t xml:space="preserve"> </w:t>
      </w:r>
      <w:r>
        <w:rPr>
          <w:rFonts w:hint="eastAsia"/>
        </w:rPr>
        <w:t>水泥基灌浆材料应用技术规程</w:t>
      </w:r>
    </w:p>
    <w:p>
      <w:pPr>
        <w:pStyle w:val="57"/>
        <w:ind w:firstLine="420"/>
      </w:pPr>
      <w:r>
        <w:rPr>
          <w:rFonts w:hint="eastAsia"/>
        </w:rPr>
        <w:t xml:space="preserve">JGJ 1 </w:t>
      </w:r>
      <w:r>
        <w:t xml:space="preserve"> </w:t>
      </w:r>
      <w:r>
        <w:rPr>
          <w:rFonts w:hint="eastAsia"/>
        </w:rPr>
        <w:t>装配式混凝土结构技术规程</w:t>
      </w:r>
    </w:p>
    <w:p>
      <w:pPr>
        <w:pStyle w:val="57"/>
        <w:ind w:firstLine="420"/>
      </w:pPr>
      <w:r>
        <w:rPr>
          <w:rFonts w:hint="eastAsia"/>
        </w:rPr>
        <w:t xml:space="preserve">JGJ 18 </w:t>
      </w:r>
      <w:r>
        <w:t xml:space="preserve"> </w:t>
      </w:r>
      <w:r>
        <w:rPr>
          <w:rFonts w:hint="eastAsia"/>
        </w:rPr>
        <w:t>钢筋焊接及验收规程</w:t>
      </w:r>
    </w:p>
    <w:p>
      <w:pPr>
        <w:pStyle w:val="57"/>
        <w:ind w:firstLine="420"/>
      </w:pPr>
      <w:r>
        <w:rPr>
          <w:rFonts w:hint="eastAsia"/>
        </w:rPr>
        <w:t xml:space="preserve">JGJ 33 </w:t>
      </w:r>
      <w:r>
        <w:t xml:space="preserve"> </w:t>
      </w:r>
      <w:r>
        <w:rPr>
          <w:rFonts w:hint="eastAsia"/>
        </w:rPr>
        <w:t>建筑机械使用安全技术规程</w:t>
      </w:r>
    </w:p>
    <w:p>
      <w:pPr>
        <w:pStyle w:val="57"/>
        <w:ind w:firstLine="420"/>
      </w:pPr>
      <w:r>
        <w:rPr>
          <w:rFonts w:hint="eastAsia"/>
        </w:rPr>
        <w:t xml:space="preserve">JGJ 46 </w:t>
      </w:r>
      <w:r>
        <w:t xml:space="preserve"> </w:t>
      </w:r>
      <w:r>
        <w:rPr>
          <w:rFonts w:hint="eastAsia"/>
        </w:rPr>
        <w:t>施工现场临时用电安全技术规范</w:t>
      </w:r>
    </w:p>
    <w:p>
      <w:pPr>
        <w:pStyle w:val="57"/>
        <w:ind w:firstLine="420"/>
      </w:pPr>
      <w:r>
        <w:rPr>
          <w:rFonts w:hint="eastAsia"/>
        </w:rPr>
        <w:t xml:space="preserve">JGJ 63 </w:t>
      </w:r>
      <w:r>
        <w:t xml:space="preserve"> </w:t>
      </w:r>
      <w:r>
        <w:rPr>
          <w:rFonts w:hint="eastAsia"/>
        </w:rPr>
        <w:t>混凝土用水标准</w:t>
      </w:r>
    </w:p>
    <w:p>
      <w:pPr>
        <w:pStyle w:val="57"/>
        <w:ind w:firstLine="420"/>
      </w:pPr>
      <w:r>
        <w:rPr>
          <w:rFonts w:hint="eastAsia"/>
        </w:rPr>
        <w:t xml:space="preserve">JGJ 80 </w:t>
      </w:r>
      <w:r>
        <w:t xml:space="preserve"> </w:t>
      </w:r>
      <w:r>
        <w:rPr>
          <w:rFonts w:hint="eastAsia"/>
        </w:rPr>
        <w:t>建筑施工高处作业安全技术规范</w:t>
      </w:r>
    </w:p>
    <w:p>
      <w:pPr>
        <w:pStyle w:val="57"/>
        <w:ind w:firstLine="420"/>
      </w:pPr>
      <w:r>
        <w:rPr>
          <w:rFonts w:hint="eastAsia"/>
        </w:rPr>
        <w:t xml:space="preserve">JGJ 107 </w:t>
      </w:r>
      <w:r>
        <w:t xml:space="preserve"> </w:t>
      </w:r>
      <w:r>
        <w:rPr>
          <w:rFonts w:hint="eastAsia"/>
        </w:rPr>
        <w:t>钢筋机械连接技术规程</w:t>
      </w:r>
    </w:p>
    <w:p>
      <w:pPr>
        <w:pStyle w:val="57"/>
        <w:ind w:firstLine="420"/>
      </w:pPr>
      <w:r>
        <w:rPr>
          <w:rFonts w:hint="eastAsia"/>
        </w:rPr>
        <w:t xml:space="preserve">JGJ 276 </w:t>
      </w:r>
      <w:r>
        <w:t xml:space="preserve"> </w:t>
      </w:r>
      <w:r>
        <w:rPr>
          <w:rFonts w:hint="eastAsia"/>
        </w:rPr>
        <w:t>建筑施工起重吊装工程安全技术规范</w:t>
      </w:r>
    </w:p>
    <w:p>
      <w:pPr>
        <w:pStyle w:val="57"/>
        <w:ind w:firstLine="420"/>
      </w:pPr>
      <w:r>
        <w:rPr>
          <w:rFonts w:hint="eastAsia"/>
        </w:rPr>
        <w:t xml:space="preserve">JGJ 355 </w:t>
      </w:r>
      <w:r>
        <w:t xml:space="preserve"> </w:t>
      </w:r>
      <w:r>
        <w:rPr>
          <w:rFonts w:hint="eastAsia"/>
        </w:rPr>
        <w:t>钢筋套筒灌浆连接应用技术规程</w:t>
      </w:r>
    </w:p>
    <w:p>
      <w:pPr>
        <w:pStyle w:val="57"/>
        <w:ind w:firstLine="420"/>
        <w:rPr>
          <w:rFonts w:hint="eastAsia"/>
        </w:rPr>
      </w:pPr>
      <w:r>
        <w:rPr>
          <w:rFonts w:hint="eastAsia"/>
        </w:rPr>
        <w:t xml:space="preserve">JG/T 408 </w:t>
      </w:r>
      <w:r>
        <w:rPr>
          <w:rFonts w:hint="eastAsia"/>
          <w:lang w:val="en-US" w:eastAsia="zh-CN"/>
        </w:rPr>
        <w:t xml:space="preserve"> </w:t>
      </w:r>
      <w:r>
        <w:rPr>
          <w:rFonts w:hint="eastAsia"/>
        </w:rPr>
        <w:t>钢筋连接用套筒灌浆料</w:t>
      </w:r>
    </w:p>
    <w:p>
      <w:pPr>
        <w:pStyle w:val="57"/>
        <w:ind w:firstLine="420"/>
        <w:rPr>
          <w:rFonts w:hint="default" w:eastAsia="宋体"/>
          <w:lang w:val="en-US" w:eastAsia="zh-CN"/>
        </w:rPr>
      </w:pPr>
      <w:r>
        <w:rPr>
          <w:rFonts w:hint="eastAsia"/>
        </w:rPr>
        <w:t>JC/T 482</w:t>
      </w:r>
      <w:r>
        <w:rPr>
          <w:rFonts w:hint="eastAsia"/>
          <w:lang w:val="en-US" w:eastAsia="zh-CN"/>
        </w:rPr>
        <w:t xml:space="preserve">  </w:t>
      </w:r>
      <w:r>
        <w:rPr>
          <w:rFonts w:hint="eastAsia"/>
        </w:rPr>
        <w:t>聚氨酯建筑密封胶</w:t>
      </w:r>
    </w:p>
    <w:p>
      <w:pPr>
        <w:pStyle w:val="57"/>
        <w:ind w:firstLine="420"/>
        <w:rPr>
          <w:rFonts w:hint="eastAsia"/>
        </w:rPr>
      </w:pPr>
      <w:r>
        <w:rPr>
          <w:rFonts w:hint="eastAsia"/>
        </w:rPr>
        <w:t>JC/T 483</w:t>
      </w:r>
      <w:r>
        <w:rPr>
          <w:rFonts w:hint="eastAsia"/>
          <w:lang w:val="en-US" w:eastAsia="zh-CN"/>
        </w:rPr>
        <w:t xml:space="preserve">  </w:t>
      </w:r>
      <w:r>
        <w:rPr>
          <w:rFonts w:hint="eastAsia"/>
        </w:rPr>
        <w:t>聚硫建筑密封胶</w:t>
      </w:r>
    </w:p>
    <w:p>
      <w:pPr>
        <w:pStyle w:val="105"/>
        <w:spacing w:before="312" w:after="312"/>
      </w:pPr>
      <w:bookmarkStart w:id="47" w:name="_Toc76030246"/>
      <w:bookmarkStart w:id="48" w:name="_Toc32584"/>
      <w:bookmarkStart w:id="49" w:name="_Toc76628796"/>
      <w:bookmarkStart w:id="50" w:name="_Toc76637879"/>
      <w:r>
        <w:rPr>
          <w:rFonts w:hint="eastAsia"/>
          <w:szCs w:val="21"/>
        </w:rPr>
        <w:t>术语和定义</w:t>
      </w:r>
      <w:bookmarkEnd w:id="47"/>
      <w:bookmarkEnd w:id="48"/>
      <w:bookmarkEnd w:id="49"/>
      <w:bookmarkEnd w:id="50"/>
      <w:bookmarkStart w:id="188" w:name="_GoBack"/>
      <w:bookmarkEnd w:id="188"/>
    </w:p>
    <w:sdt>
      <w:sdtPr>
        <w:id w:val="-1909835108"/>
        <w:placeholder>
          <w:docPart w:val="BD386E937FC340F69B0DCF4F91BCDE12"/>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pPr>
            <w:pStyle w:val="57"/>
            <w:ind w:firstLine="420"/>
          </w:pPr>
          <w:bookmarkStart w:id="51" w:name="_Toc26986532"/>
          <w:bookmarkEnd w:id="51"/>
          <w:r>
            <w:t>下列术语和定义适用于本文件。</w:t>
          </w:r>
        </w:p>
      </w:sdtContent>
    </w:sdt>
    <w:p>
      <w:pPr>
        <w:pStyle w:val="224"/>
        <w:ind w:left="420" w:hanging="420" w:hangingChars="200"/>
        <w:rPr>
          <w:rFonts w:ascii="黑体" w:hAnsi="黑体" w:eastAsia="黑体"/>
        </w:rPr>
      </w:pPr>
      <w:r>
        <w:rPr>
          <w:rFonts w:ascii="黑体" w:hAnsi="黑体" w:eastAsia="黑体"/>
        </w:rPr>
        <w:br w:type="textWrapping"/>
      </w:r>
      <w:r>
        <w:rPr>
          <w:rFonts w:hint="eastAsia" w:ascii="黑体" w:hAnsi="黑体" w:eastAsia="黑体"/>
        </w:rPr>
        <w:t>接缝 joint</w:t>
      </w:r>
    </w:p>
    <w:p>
      <w:pPr>
        <w:pStyle w:val="57"/>
        <w:ind w:firstLine="420"/>
      </w:pPr>
      <w:r>
        <w:rPr>
          <w:rFonts w:hint="eastAsia"/>
        </w:rPr>
        <w:t>指构件与构件之间或者构件与其他建筑组成部分的连接部位形成的缝。</w:t>
      </w:r>
    </w:p>
    <w:p>
      <w:pPr>
        <w:pStyle w:val="224"/>
        <w:ind w:left="420" w:hanging="420" w:hangingChars="200"/>
        <w:rPr>
          <w:rFonts w:ascii="黑体" w:hAnsi="黑体" w:eastAsia="黑体"/>
        </w:rPr>
      </w:pPr>
      <w:r>
        <w:rPr>
          <w:rFonts w:ascii="黑体" w:hAnsi="黑体" w:eastAsia="黑体"/>
        </w:rPr>
        <w:br w:type="textWrapping"/>
      </w:r>
      <w:r>
        <w:rPr>
          <w:rFonts w:hint="eastAsia" w:ascii="黑体" w:hAnsi="黑体" w:eastAsia="黑体"/>
        </w:rPr>
        <w:t>附加钢筋 additional rebar</w:t>
      </w:r>
    </w:p>
    <w:p>
      <w:pPr>
        <w:pStyle w:val="57"/>
        <w:ind w:firstLine="420"/>
      </w:pPr>
      <w:r>
        <w:rPr>
          <w:rFonts w:hint="eastAsia"/>
        </w:rPr>
        <w:t>用于预制构件水平及竖向接缝处的连接钢筋，附加钢筋分为水平附加钢筋和竖向附加钢筋。</w:t>
      </w:r>
    </w:p>
    <w:p>
      <w:pPr>
        <w:pStyle w:val="224"/>
        <w:ind w:left="420" w:hanging="420" w:hangingChars="200"/>
        <w:rPr>
          <w:rFonts w:ascii="黑体" w:hAnsi="黑体" w:eastAsia="黑体"/>
        </w:rPr>
      </w:pPr>
    </w:p>
    <w:p>
      <w:pPr>
        <w:pStyle w:val="224"/>
        <w:numPr>
          <w:ilvl w:val="0"/>
          <w:numId w:val="0"/>
        </w:numPr>
        <w:ind w:left="420"/>
        <w:rPr>
          <w:rFonts w:ascii="黑体" w:hAnsi="黑体" w:eastAsia="黑体"/>
        </w:rPr>
      </w:pPr>
      <w:r>
        <w:rPr>
          <w:rFonts w:hint="eastAsia" w:ascii="黑体" w:hAnsi="黑体" w:eastAsia="黑体"/>
        </w:rPr>
        <w:t>管线分离 pipe&amp;wire detached from structure system</w:t>
      </w:r>
    </w:p>
    <w:p>
      <w:pPr>
        <w:pStyle w:val="57"/>
        <w:ind w:firstLine="420"/>
      </w:pPr>
      <w:r>
        <w:rPr>
          <w:rFonts w:hint="eastAsia"/>
        </w:rPr>
        <w:t>将设备与管线设置在结构系统之外的方式。</w:t>
      </w:r>
    </w:p>
    <w:p>
      <w:pPr>
        <w:pStyle w:val="224"/>
        <w:ind w:left="420" w:hanging="420" w:hangingChars="200"/>
      </w:pPr>
      <w:r>
        <w:rPr>
          <w:rFonts w:ascii="黑体" w:hAnsi="黑体" w:eastAsia="黑体"/>
        </w:rPr>
        <w:br w:type="textWrapping"/>
      </w:r>
      <w:r>
        <w:rPr>
          <w:rFonts w:hint="eastAsia" w:ascii="黑体" w:hAnsi="黑体" w:eastAsia="黑体"/>
        </w:rPr>
        <w:t>结构性能检验</w:t>
      </w:r>
      <w:r>
        <w:rPr>
          <w:rFonts w:ascii="黑体" w:hAnsi="黑体" w:eastAsia="黑体"/>
        </w:rPr>
        <w:t xml:space="preserve"> inspection of structural performance</w:t>
      </w:r>
      <w:r>
        <w:rPr>
          <w:rFonts w:ascii="黑体" w:hAnsi="黑体" w:eastAsia="黑体"/>
        </w:rPr>
        <w:br w:type="textWrapping"/>
      </w:r>
      <w:r>
        <w:rPr>
          <w:rFonts w:hint="eastAsia"/>
        </w:rPr>
        <w:t>针对结构构件的承载力、挠度、抗裂性能等指标所进行的检验。</w:t>
      </w:r>
    </w:p>
    <w:p>
      <w:pPr>
        <w:pStyle w:val="224"/>
        <w:ind w:left="420" w:hanging="420" w:hangingChars="200"/>
        <w:rPr>
          <w:rFonts w:ascii="黑体" w:hAnsi="黑体" w:eastAsia="黑体"/>
        </w:rPr>
      </w:pPr>
      <w:r>
        <w:rPr>
          <w:rFonts w:ascii="黑体" w:hAnsi="黑体" w:eastAsia="黑体"/>
        </w:rPr>
        <w:br w:type="textWrapping"/>
      </w:r>
      <w:r>
        <w:rPr>
          <w:rFonts w:hint="eastAsia" w:ascii="黑体" w:hAnsi="黑体" w:eastAsia="黑体"/>
        </w:rPr>
        <w:t xml:space="preserve">垂直支撑 </w:t>
      </w:r>
      <w:r>
        <w:rPr>
          <w:rFonts w:ascii="黑体" w:hAnsi="黑体" w:eastAsia="黑体"/>
        </w:rPr>
        <w:t>vertical floor props</w:t>
      </w:r>
    </w:p>
    <w:p>
      <w:pPr>
        <w:pStyle w:val="57"/>
        <w:ind w:firstLine="420"/>
      </w:pPr>
      <w:r>
        <w:rPr>
          <w:rFonts w:hint="eastAsia"/>
        </w:rPr>
        <w:t>由圆钢管及及端部的配件组成，专门用于叠合楼板的临时支撑，可调节其高度、保证支撑叠合楼板的强度和稳定性，并能够承受施工荷载及新浇混凝土的压力。</w:t>
      </w:r>
    </w:p>
    <w:p>
      <w:pPr>
        <w:pStyle w:val="224"/>
        <w:ind w:left="420" w:hanging="420" w:hangingChars="200"/>
        <w:rPr>
          <w:rFonts w:ascii="黑体" w:hAnsi="黑体" w:eastAsia="黑体"/>
        </w:rPr>
      </w:pPr>
      <w:r>
        <w:rPr>
          <w:rFonts w:ascii="黑体" w:hAnsi="黑体" w:eastAsia="黑体"/>
        </w:rPr>
        <w:br w:type="textWrapping"/>
      </w:r>
      <w:r>
        <w:rPr>
          <w:rFonts w:hint="eastAsia" w:ascii="黑体" w:hAnsi="黑体" w:eastAsia="黑体"/>
        </w:rPr>
        <w:t>限位角码</w:t>
      </w:r>
      <w:r>
        <w:rPr>
          <w:rFonts w:ascii="黑体" w:hAnsi="黑体" w:eastAsia="黑体"/>
        </w:rPr>
        <w:t>corner brace</w:t>
      </w:r>
    </w:p>
    <w:p>
      <w:pPr>
        <w:pStyle w:val="57"/>
        <w:ind w:firstLine="420"/>
      </w:pPr>
      <w:r>
        <w:rPr>
          <w:rFonts w:hint="eastAsia"/>
        </w:rPr>
        <w:t>连接直角相交构件、起限制位移作用的五金件。</w:t>
      </w:r>
    </w:p>
    <w:p>
      <w:pPr>
        <w:pStyle w:val="224"/>
        <w:ind w:left="420" w:hanging="420" w:hangingChars="200"/>
        <w:rPr>
          <w:rFonts w:ascii="黑体" w:hAnsi="黑体" w:eastAsia="黑体"/>
        </w:rPr>
      </w:pPr>
      <w:r>
        <w:rPr>
          <w:rFonts w:ascii="黑体" w:hAnsi="黑体" w:eastAsia="黑体"/>
        </w:rPr>
        <w:br w:type="textWrapping"/>
      </w:r>
      <w:r>
        <w:rPr>
          <w:rFonts w:hint="eastAsia" w:ascii="黑体" w:hAnsi="黑体" w:eastAsia="黑体"/>
        </w:rPr>
        <w:t>预制构件实体质量检验</w:t>
      </w:r>
      <w:r>
        <w:rPr>
          <w:rFonts w:ascii="黑体" w:hAnsi="黑体" w:eastAsia="黑体"/>
        </w:rPr>
        <w:t xml:space="preserve"> </w:t>
      </w:r>
      <w:r>
        <w:rPr>
          <w:rFonts w:hint="eastAsia" w:ascii="黑体" w:hAnsi="黑体" w:eastAsia="黑体"/>
        </w:rPr>
        <w:t>q</w:t>
      </w:r>
      <w:r>
        <w:rPr>
          <w:rFonts w:ascii="黑体" w:hAnsi="黑体" w:eastAsia="黑体"/>
        </w:rPr>
        <w:t>uality inspection of precast concrete components</w:t>
      </w:r>
    </w:p>
    <w:p>
      <w:pPr>
        <w:pStyle w:val="57"/>
        <w:ind w:firstLine="420"/>
      </w:pPr>
      <w:r>
        <w:rPr>
          <w:rFonts w:hint="eastAsia"/>
        </w:rPr>
        <w:t>在预制构件上抽取试样，在现场进行检验或送至有相应检测资质的检测机构进行的检验。</w:t>
      </w:r>
    </w:p>
    <w:p>
      <w:pPr>
        <w:pStyle w:val="224"/>
        <w:ind w:left="420" w:hanging="420" w:hangingChars="200"/>
        <w:rPr>
          <w:rFonts w:ascii="黑体" w:hAnsi="黑体" w:eastAsia="黑体"/>
        </w:rPr>
      </w:pPr>
      <w:r>
        <w:rPr>
          <w:rFonts w:ascii="黑体" w:hAnsi="黑体" w:eastAsia="黑体"/>
        </w:rPr>
        <w:br w:type="textWrapping"/>
      </w:r>
      <w:r>
        <w:rPr>
          <w:rFonts w:hint="eastAsia" w:ascii="黑体" w:hAnsi="黑体" w:eastAsia="黑体"/>
        </w:rPr>
        <w:t>分段验收</w:t>
      </w:r>
      <w:r>
        <w:rPr>
          <w:rFonts w:ascii="黑体" w:hAnsi="黑体" w:eastAsia="黑体"/>
        </w:rPr>
        <w:t xml:space="preserve"> </w:t>
      </w:r>
      <w:r>
        <w:rPr>
          <w:rFonts w:hint="eastAsia" w:ascii="黑体" w:hAnsi="黑体" w:eastAsia="黑体"/>
        </w:rPr>
        <w:t>s</w:t>
      </w:r>
      <w:r>
        <w:rPr>
          <w:rFonts w:ascii="黑体" w:hAnsi="黑体" w:eastAsia="黑体"/>
        </w:rPr>
        <w:t xml:space="preserve">ubsection </w:t>
      </w:r>
      <w:r>
        <w:rPr>
          <w:rFonts w:hint="eastAsia" w:ascii="黑体" w:hAnsi="黑体" w:eastAsia="黑体"/>
        </w:rPr>
        <w:t>e</w:t>
      </w:r>
      <w:r>
        <w:rPr>
          <w:rFonts w:ascii="黑体" w:hAnsi="黑体" w:eastAsia="黑体"/>
        </w:rPr>
        <w:t>xamination</w:t>
      </w:r>
    </w:p>
    <w:p>
      <w:pPr>
        <w:pStyle w:val="57"/>
        <w:ind w:firstLine="420"/>
      </w:pPr>
      <w:r>
        <w:rPr>
          <w:rFonts w:hint="eastAsia"/>
        </w:rPr>
        <w:t>将结构子分部工程按楼层、变形缝等划分验收段进行的工程验收称为分段验收。</w:t>
      </w:r>
    </w:p>
    <w:p>
      <w:pPr>
        <w:pStyle w:val="105"/>
        <w:spacing w:before="312" w:after="312"/>
      </w:pPr>
      <w:bookmarkStart w:id="52" w:name="_Toc18577"/>
      <w:bookmarkStart w:id="53" w:name="_Toc76030247"/>
      <w:bookmarkStart w:id="54" w:name="_Toc76628797"/>
      <w:bookmarkStart w:id="55" w:name="_Toc76637880"/>
      <w:r>
        <w:rPr>
          <w:rFonts w:hint="eastAsia"/>
        </w:rPr>
        <w:t>总则</w:t>
      </w:r>
      <w:bookmarkEnd w:id="52"/>
      <w:bookmarkEnd w:id="53"/>
      <w:bookmarkEnd w:id="54"/>
      <w:bookmarkEnd w:id="55"/>
    </w:p>
    <w:p>
      <w:pPr>
        <w:pStyle w:val="163"/>
      </w:pPr>
      <w:r>
        <w:rPr>
          <w:rFonts w:hint="eastAsia"/>
        </w:rPr>
        <w:t>为规范装配式混凝土结构及其构件安装施工工艺，明确施工要求、作业程序方法和质量标准，提升装配式混凝土建筑工程质量及施工效率，制定本文件。</w:t>
      </w:r>
    </w:p>
    <w:p>
      <w:pPr>
        <w:pStyle w:val="163"/>
      </w:pPr>
      <w:r>
        <w:rPr>
          <w:rFonts w:hint="eastAsia"/>
        </w:rPr>
        <w:t>装配式混凝土结构工程施工除应符合本文件的规定外，尚应符合国家、行业及湖北省现行有关标准的规定。</w:t>
      </w:r>
    </w:p>
    <w:p>
      <w:pPr>
        <w:pStyle w:val="105"/>
        <w:spacing w:before="312" w:after="312"/>
      </w:pPr>
      <w:bookmarkStart w:id="56" w:name="_Toc76637881"/>
      <w:bookmarkStart w:id="57" w:name="_Toc76030248"/>
      <w:bookmarkStart w:id="58" w:name="_Toc11230"/>
      <w:bookmarkStart w:id="59" w:name="_Toc76628798"/>
      <w:r>
        <w:rPr>
          <w:rFonts w:hint="eastAsia"/>
        </w:rPr>
        <w:t>基本规定</w:t>
      </w:r>
      <w:bookmarkEnd w:id="56"/>
      <w:bookmarkEnd w:id="57"/>
      <w:bookmarkEnd w:id="58"/>
      <w:bookmarkEnd w:id="59"/>
    </w:p>
    <w:p>
      <w:pPr>
        <w:pStyle w:val="163"/>
      </w:pPr>
      <w:r>
        <w:rPr>
          <w:rFonts w:hint="eastAsia"/>
        </w:rPr>
        <w:t>施工单位应建立装配式混凝土结构施工工艺技术体系和质量安全管理体系。</w:t>
      </w:r>
    </w:p>
    <w:p>
      <w:pPr>
        <w:pStyle w:val="163"/>
      </w:pPr>
      <w:r>
        <w:rPr>
          <w:rFonts w:hint="eastAsia"/>
        </w:rPr>
        <w:t>装配式混凝土结构施工应采用专业化施工队伍和产业工人，施工单位应对专业化产业工人进行从业资格审查，吊装工、灌浆工、打胶工等装配式技术工人应持证上岗。</w:t>
      </w:r>
    </w:p>
    <w:p>
      <w:pPr>
        <w:pStyle w:val="163"/>
      </w:pPr>
      <w:r>
        <w:rPr>
          <w:rFonts w:hint="eastAsia"/>
        </w:rPr>
        <w:t>施工单位在施工前应根据工程特点和施工工艺编制装配式结构专项施工方案，方案应明确施工现场总平面布置、预制构件场内运输路线、堆放场地，以及起重设备选型、预制构件吊装工艺、预制构件支撑体系、现浇构件模板体系及施工的防护体系的确定等。</w:t>
      </w:r>
    </w:p>
    <w:p>
      <w:pPr>
        <w:pStyle w:val="163"/>
      </w:pPr>
      <w:r>
        <w:rPr>
          <w:rFonts w:hint="eastAsia"/>
        </w:rPr>
        <w:t>施工单位应根据项目特点及本文件装配式结构工程施工要求，合理制定施工工序，选择并配备合适的吊装设备，应根据预制构件存放、安装和连接等要求，确定安装使用的工、器具。</w:t>
      </w:r>
    </w:p>
    <w:p>
      <w:pPr>
        <w:pStyle w:val="163"/>
      </w:pPr>
      <w:r>
        <w:rPr>
          <w:rFonts w:hint="eastAsia"/>
        </w:rPr>
        <w:t>施工单位应根据项目特点及本文件技术要求，做好施工部署，包括总体施工顺序、流水区段划分、标准层装配施工顺序、楼面工序衔接、穿插施工、主要施工技术措施等内容。</w:t>
      </w:r>
    </w:p>
    <w:p>
      <w:pPr>
        <w:pStyle w:val="163"/>
      </w:pPr>
      <w:r>
        <w:rPr>
          <w:rFonts w:hint="eastAsia"/>
        </w:rPr>
        <w:t>装配式混凝土结构工程一般以一个单元为一个施工流水段，从每栋建筑某一个单元开始流水有序推进。</w:t>
      </w:r>
    </w:p>
    <w:p>
      <w:pPr>
        <w:pStyle w:val="163"/>
      </w:pPr>
      <w:r>
        <w:rPr>
          <w:rFonts w:hint="eastAsia"/>
        </w:rPr>
        <w:t>施工前应制定标准层施工工序，工序包含标准层测量放线、钢筋调整、材料转运、水平构件吊装、竖向构件吊装、现浇段钢筋绑扎、混凝土浇筑等施工工序。应明确标准层工期关键工作及关键线路，按照时间和空间顺序编制标准层施工计划。</w:t>
      </w:r>
    </w:p>
    <w:p>
      <w:pPr>
        <w:pStyle w:val="163"/>
      </w:pPr>
      <w:r>
        <w:rPr>
          <w:rFonts w:hint="eastAsia"/>
        </w:rPr>
        <w:t>装配式混凝土结构施工前，宜采用数字化预装配，进行结构碰撞、施工动态干扰检验和施工方案可行性分析。也可选择场地进行预制构件实体试安装，并应根据数字化预装配或试安装结果及时调整施工工艺、完善施工方案。</w:t>
      </w:r>
    </w:p>
    <w:p>
      <w:pPr>
        <w:pStyle w:val="163"/>
      </w:pPr>
      <w:r>
        <w:rPr>
          <w:rFonts w:hint="eastAsia"/>
        </w:rPr>
        <w:t>装配式混凝土结构施工脚手架宜采用工具式模架体系，外防护架宜采用整体提升式脚手架或工具式外挂防护架体。</w:t>
      </w:r>
    </w:p>
    <w:p>
      <w:pPr>
        <w:pStyle w:val="163"/>
      </w:pPr>
      <w:r>
        <w:rPr>
          <w:rFonts w:hint="eastAsia"/>
        </w:rPr>
        <w:t xml:space="preserve">连接节点施工、密封防水施工等关键工序应制作样板，并进行样板交底。 </w:t>
      </w:r>
    </w:p>
    <w:p>
      <w:pPr>
        <w:pStyle w:val="163"/>
      </w:pPr>
      <w:r>
        <w:rPr>
          <w:rFonts w:hint="eastAsia"/>
        </w:rPr>
        <w:t>装配式混凝土结构施工，应及时进行自检、互检、交接检，并应有完整的施工全过程质量控制记录及验收资料。</w:t>
      </w:r>
    </w:p>
    <w:p>
      <w:pPr>
        <w:pStyle w:val="163"/>
      </w:pPr>
      <w:r>
        <w:rPr>
          <w:rFonts w:hint="eastAsia"/>
        </w:rPr>
        <w:t>装配式混凝土结构施工过程中应采取安全措施，并应符合现行行业标准《建筑施工高处作业安全技术规范》JGJ 80、《建筑机械使用安全技术规程》JGJ 33和《施工现场临时用电安全技术规范》JGJ 46的有关规定。</w:t>
      </w:r>
    </w:p>
    <w:p>
      <w:pPr>
        <w:pStyle w:val="163"/>
      </w:pPr>
      <w:r>
        <w:rPr>
          <w:rFonts w:hint="eastAsia"/>
        </w:rPr>
        <w:t>装配式混凝土结构施工宜采用基于BIM的项目信息化管理平台，对项目进度、成本、质量、资源、预制构件等进行统一管理及分析。</w:t>
      </w:r>
    </w:p>
    <w:p>
      <w:pPr>
        <w:pStyle w:val="163"/>
      </w:pPr>
      <w:r>
        <w:rPr>
          <w:rFonts w:hint="eastAsia"/>
        </w:rPr>
        <w:t>装配式混凝土结构施工宜采用建筑信息模型（BIM）技术对施工全过程及关键工艺进行信息化模拟。</w:t>
      </w:r>
    </w:p>
    <w:p>
      <w:pPr>
        <w:pStyle w:val="163"/>
      </w:pPr>
      <w:r>
        <w:rPr>
          <w:rFonts w:hint="eastAsia"/>
        </w:rPr>
        <w:t>预制构件宜采用二维码/RFID芯片进行信息追溯，从构件设计、生产、运输、验收、堆放、吊装等整个过程控制构件质量信息和定位信息并与项目信息化管理平台对接。</w:t>
      </w:r>
    </w:p>
    <w:p>
      <w:pPr>
        <w:pStyle w:val="105"/>
        <w:spacing w:before="312" w:after="312"/>
      </w:pPr>
      <w:bookmarkStart w:id="60" w:name="_Toc18353"/>
      <w:bookmarkStart w:id="61" w:name="_Toc76637882"/>
      <w:bookmarkStart w:id="62" w:name="_Toc76628799"/>
      <w:bookmarkStart w:id="63" w:name="_Toc76030249"/>
      <w:r>
        <w:rPr>
          <w:rFonts w:hint="eastAsia"/>
        </w:rPr>
        <w:t>施工准备</w:t>
      </w:r>
      <w:bookmarkEnd w:id="60"/>
      <w:bookmarkEnd w:id="61"/>
      <w:bookmarkEnd w:id="62"/>
      <w:bookmarkEnd w:id="63"/>
    </w:p>
    <w:p>
      <w:pPr>
        <w:pStyle w:val="106"/>
        <w:spacing w:before="156" w:after="156"/>
      </w:pPr>
      <w:bookmarkStart w:id="64" w:name="_Toc76030250"/>
      <w:bookmarkStart w:id="65" w:name="_Toc76637883"/>
      <w:bookmarkStart w:id="66" w:name="_Toc76628800"/>
      <w:bookmarkStart w:id="67" w:name="_Toc22902"/>
      <w:r>
        <w:rPr>
          <w:rFonts w:hint="eastAsia"/>
        </w:rPr>
        <w:t>组织准备</w:t>
      </w:r>
      <w:bookmarkEnd w:id="64"/>
      <w:bookmarkEnd w:id="65"/>
      <w:bookmarkEnd w:id="66"/>
      <w:bookmarkEnd w:id="67"/>
    </w:p>
    <w:p>
      <w:pPr>
        <w:pStyle w:val="166"/>
      </w:pPr>
      <w:r>
        <w:rPr>
          <w:rFonts w:hint="eastAsia"/>
        </w:rPr>
        <w:t>施工单位应按照装配式结构施工的特点和要求配置项目部的组织机构和管理人员，对施工现场进行有效管理。</w:t>
      </w:r>
    </w:p>
    <w:p>
      <w:pPr>
        <w:pStyle w:val="166"/>
        <w:tabs>
          <w:tab w:val="left" w:pos="2100"/>
        </w:tabs>
      </w:pPr>
      <w:r>
        <w:rPr>
          <w:rFonts w:hint="eastAsia"/>
        </w:rPr>
        <w:t>施工单位应按施工组织方式合理配备施工队伍和产业工人数量，核定上岗资格。项目施工队伍应组建构件吊装小组，在起吊区应配置不少于一名信号工和两名司索工，楼面施工安装部位配置不少于一名信号工和3名安装工。</w:t>
      </w:r>
    </w:p>
    <w:p>
      <w:pPr>
        <w:pStyle w:val="106"/>
        <w:spacing w:before="156" w:after="156"/>
      </w:pPr>
      <w:bookmarkStart w:id="68" w:name="_Toc76628801"/>
      <w:bookmarkStart w:id="69" w:name="_Toc76637884"/>
      <w:bookmarkStart w:id="70" w:name="_Toc76030251"/>
      <w:bookmarkStart w:id="71" w:name="_Toc4377"/>
      <w:r>
        <w:rPr>
          <w:rFonts w:hint="eastAsia"/>
        </w:rPr>
        <w:t>技术准备</w:t>
      </w:r>
      <w:bookmarkEnd w:id="68"/>
      <w:bookmarkEnd w:id="69"/>
      <w:bookmarkEnd w:id="70"/>
      <w:bookmarkEnd w:id="71"/>
    </w:p>
    <w:p>
      <w:pPr>
        <w:pStyle w:val="166"/>
      </w:pPr>
      <w:r>
        <w:rPr>
          <w:rFonts w:hint="eastAsia"/>
        </w:rPr>
        <w:t>安装施工前，应建立采标清单，收集施工及质量检验相关技术标准，对重要的标准配置到相关管理人员，并对重点标准进行培训。</w:t>
      </w:r>
    </w:p>
    <w:p>
      <w:pPr>
        <w:pStyle w:val="166"/>
      </w:pPr>
      <w:r>
        <w:rPr>
          <w:rFonts w:hint="eastAsia"/>
        </w:rPr>
        <w:t>施工前施工管理人作业班组应熟悉施工图纸，核对图纸版本和有效性。</w:t>
      </w:r>
    </w:p>
    <w:p>
      <w:pPr>
        <w:pStyle w:val="166"/>
      </w:pPr>
      <w:r>
        <w:rPr>
          <w:rFonts w:hint="eastAsia"/>
        </w:rPr>
        <w:t>分部分项工程施工前应完成专项施工方案的编制和审批，组织技术安全交底。专项施工方案应包括工程概况、编制依据、进度计划、施工场地布置、预制构件运输与存放、安装与连接施工、成品保护、绿色施工、安全管理、质量管理、信息化管理、应急预案等方面内容。</w:t>
      </w:r>
    </w:p>
    <w:p>
      <w:pPr>
        <w:pStyle w:val="166"/>
      </w:pPr>
      <w:r>
        <w:rPr>
          <w:rFonts w:hint="eastAsia"/>
        </w:rPr>
        <w:t>重点分项工程及工序、特殊部位宜制订作业指导书，对工人进行交底和培训，施工作业指导书应明确预制构件施工及特殊部位作业中的检查、吊运安装施工方法及其质量、安全控制要点等。</w:t>
      </w:r>
    </w:p>
    <w:p>
      <w:pPr>
        <w:pStyle w:val="166"/>
      </w:pPr>
      <w:r>
        <w:rPr>
          <w:rFonts w:hint="eastAsia"/>
        </w:rPr>
        <w:t>施工单位应根据工程特点和施工规定，对已施工完成工程进行结构施工复核及验算，工程质量应符合现行国家标准《混凝土结构工程施工质量验收规范》GB 50204和此文件的规定及设计要求。</w:t>
      </w:r>
    </w:p>
    <w:p>
      <w:pPr>
        <w:pStyle w:val="106"/>
        <w:spacing w:before="156" w:after="156"/>
      </w:pPr>
      <w:bookmarkStart w:id="72" w:name="_Toc3402"/>
      <w:bookmarkStart w:id="73" w:name="_Toc76637885"/>
      <w:bookmarkStart w:id="74" w:name="_Toc76628802"/>
      <w:bookmarkStart w:id="75" w:name="_Toc76030252"/>
      <w:r>
        <w:rPr>
          <w:rFonts w:hint="eastAsia"/>
        </w:rPr>
        <w:t>资源准备</w:t>
      </w:r>
      <w:bookmarkEnd w:id="72"/>
      <w:bookmarkEnd w:id="73"/>
      <w:bookmarkEnd w:id="74"/>
      <w:bookmarkEnd w:id="75"/>
    </w:p>
    <w:p>
      <w:pPr>
        <w:pStyle w:val="166"/>
      </w:pPr>
      <w:r>
        <w:rPr>
          <w:rFonts w:hint="eastAsia"/>
        </w:rPr>
        <w:t>施工单位应建立分供商的管理和联络机制，确保相关工程信息及时和准确。根据现场施工计划制订构件生产和进场计划，明确构件数量、型号，提前通知供货厂家组织运输车辆，有序地运送到现场。</w:t>
      </w:r>
    </w:p>
    <w:p>
      <w:pPr>
        <w:pStyle w:val="166"/>
      </w:pPr>
      <w:r>
        <w:rPr>
          <w:rFonts w:hint="eastAsia"/>
        </w:rPr>
        <w:t>施工单位应建立材料管理制度，材料管理应满足以下要求：</w:t>
      </w:r>
    </w:p>
    <w:p>
      <w:pPr>
        <w:pStyle w:val="175"/>
      </w:pPr>
      <w:r>
        <w:rPr>
          <w:rFonts w:hint="eastAsia"/>
        </w:rPr>
        <w:t>在装卸预制构件时，对构件边角部或吊索接触面处的混凝土，宜采用衬垫加以保护；</w:t>
      </w:r>
    </w:p>
    <w:p>
      <w:pPr>
        <w:pStyle w:val="175"/>
      </w:pPr>
      <w:r>
        <w:rPr>
          <w:rFonts w:hint="eastAsia"/>
        </w:rPr>
        <w:t>施工单位应建立管理台账，进行材料收、发、储、运等环节的技术管理，对预制构件进行分类有序堆放。同类预制构件应采取编码管理，防止装配过程中出现错装问题；</w:t>
      </w:r>
    </w:p>
    <w:p>
      <w:pPr>
        <w:pStyle w:val="175"/>
      </w:pPr>
      <w:r>
        <w:rPr>
          <w:rFonts w:hint="eastAsia"/>
        </w:rPr>
        <w:t>预制构件的尺寸、外观、钢筋配置、吊点设置等，应符合国家现行有关标准及设计文件的规定；</w:t>
      </w:r>
    </w:p>
    <w:p>
      <w:pPr>
        <w:pStyle w:val="175"/>
      </w:pPr>
      <w:r>
        <w:rPr>
          <w:rFonts w:hint="eastAsia"/>
        </w:rPr>
        <w:t>装配式混凝土结构采用的灌浆料、套筒等材料的规格、品种、型号和质量应满足国家现行有关规范、标准的要求，并应进行进场取样送检；</w:t>
      </w:r>
    </w:p>
    <w:p>
      <w:pPr>
        <w:pStyle w:val="175"/>
      </w:pPr>
      <w:r>
        <w:rPr>
          <w:rFonts w:hint="eastAsia"/>
        </w:rPr>
        <w:t>灌浆材料应选用成品高强灌浆料。施工现场灌浆料宜储存在室内，并应采取防雨、防潮、防晒措施；</w:t>
      </w:r>
    </w:p>
    <w:p>
      <w:pPr>
        <w:pStyle w:val="175"/>
      </w:pPr>
      <w:r>
        <w:rPr>
          <w:rFonts w:hint="eastAsia"/>
        </w:rPr>
        <w:t>预制外墙板接缝处密封胶的类型及弹性、耐老化等性能应满足国家现行有关标准及设计的要求。背衬材料宜选用发泡闭孔聚乙烯塑料棒或发泡氯丁橡胶棒，直径应不小于1.5倍缝宽，密度宜为24kg/m3～48kg/m3。</w:t>
      </w:r>
    </w:p>
    <w:p>
      <w:pPr>
        <w:pStyle w:val="66"/>
        <w:spacing w:before="156" w:after="156"/>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施工单位应建立设备设施管理制度，材料管理应满足以下要求：</w:t>
      </w:r>
    </w:p>
    <w:p>
      <w:pPr>
        <w:pStyle w:val="175"/>
        <w:numPr>
          <w:ilvl w:val="0"/>
          <w:numId w:val="32"/>
        </w:numPr>
      </w:pPr>
      <w:r>
        <w:rPr>
          <w:rFonts w:hint="eastAsia"/>
        </w:rPr>
        <w:t>施工单位应根据预制构件的形状、尺寸、重量和设备作业半径等要求选择起重设备和吊具，并应经过验算，宜采用标准化吊装工具；</w:t>
      </w:r>
    </w:p>
    <w:p>
      <w:pPr>
        <w:pStyle w:val="175"/>
      </w:pPr>
      <w:r>
        <w:rPr>
          <w:rFonts w:hint="eastAsia"/>
        </w:rPr>
        <w:t>构件的存放架应具有足够的强度、刚度和抗倾覆性能。竖向构件应采用专用存放架进行存放，专用存放架应根据需要设置安全操作平台；</w:t>
      </w:r>
    </w:p>
    <w:p>
      <w:pPr>
        <w:pStyle w:val="175"/>
      </w:pPr>
      <w:r>
        <w:rPr>
          <w:rFonts w:hint="eastAsia"/>
        </w:rPr>
        <w:t>防护系统应按照施工方案进行搭设、验收，并应符合下列规定：</w:t>
      </w:r>
    </w:p>
    <w:p>
      <w:pPr>
        <w:pStyle w:val="110"/>
      </w:pPr>
      <w:r>
        <w:rPr>
          <w:rFonts w:hint="eastAsia"/>
        </w:rPr>
        <w:t>工具式外防护架应试组装并通过检查后安装使用，附着在构件上的防护架应复核其与吊装系统的协调性；</w:t>
      </w:r>
    </w:p>
    <w:p>
      <w:pPr>
        <w:pStyle w:val="110"/>
      </w:pPr>
      <w:r>
        <w:rPr>
          <w:rFonts w:hint="eastAsia"/>
        </w:rPr>
        <w:t>利用预制外墙板作为工具式防护架受力点，固定部位应经受力验算；在防护架使用中应采取成品保护措施确保外墙板不受损坏；</w:t>
      </w:r>
    </w:p>
    <w:p>
      <w:pPr>
        <w:pStyle w:val="110"/>
      </w:pPr>
      <w:r>
        <w:rPr>
          <w:rFonts w:hint="eastAsia"/>
        </w:rPr>
        <w:t>高处作业人员应正确使用安全防护用品；</w:t>
      </w:r>
    </w:p>
    <w:p>
      <w:pPr>
        <w:pStyle w:val="110"/>
      </w:pPr>
      <w:r>
        <w:rPr>
          <w:rFonts w:hint="eastAsia"/>
        </w:rPr>
        <w:t>新购、大修、改造以及停用1个月以上的机械设备，应按规定进行检验，合格后方可使用。</w:t>
      </w:r>
    </w:p>
    <w:p>
      <w:pPr>
        <w:pStyle w:val="106"/>
        <w:spacing w:before="156" w:after="156"/>
      </w:pPr>
      <w:bookmarkStart w:id="76" w:name="_Toc12697"/>
      <w:bookmarkStart w:id="77" w:name="_Toc76030253"/>
      <w:bookmarkStart w:id="78" w:name="_Toc76637886"/>
      <w:bookmarkStart w:id="79" w:name="_Toc76628803"/>
      <w:r>
        <w:rPr>
          <w:rFonts w:hint="eastAsia"/>
        </w:rPr>
        <w:t>现场准备</w:t>
      </w:r>
      <w:bookmarkEnd w:id="76"/>
      <w:bookmarkEnd w:id="77"/>
      <w:bookmarkEnd w:id="78"/>
      <w:bookmarkEnd w:id="79"/>
    </w:p>
    <w:p>
      <w:pPr>
        <w:pStyle w:val="166"/>
      </w:pPr>
      <w:r>
        <w:rPr>
          <w:rFonts w:hint="eastAsia"/>
        </w:rPr>
        <w:t>施工单位应进行现场施工平面规划，合理设置运输通道和存放场地，运输通道和存放场地宜按照永临结合的原则布置，施工现场主要道路、堆场应进行硬化处理，主要道路及堆场平整度、承载力应满足构件运输、堆放及起吊设备对场地的要求，且应有排水措施。</w:t>
      </w:r>
    </w:p>
    <w:p>
      <w:pPr>
        <w:pStyle w:val="166"/>
      </w:pPr>
      <w:r>
        <w:rPr>
          <w:rFonts w:hint="eastAsia"/>
        </w:rPr>
        <w:t>预制构件运送到施工现场后，应按规格、品种、使用部位、吊装顺序分别设置存放场地。存放场地应设置在吊装设备的有效起重范围内，且应在堆垛之间设置通道。</w:t>
      </w:r>
    </w:p>
    <w:p>
      <w:pPr>
        <w:pStyle w:val="166"/>
      </w:pPr>
      <w:r>
        <w:rPr>
          <w:rFonts w:hint="eastAsia"/>
        </w:rPr>
        <w:t>施工单位应充分了解施工现场周边建筑（构筑物）状况，施工过程中避免影响临近建筑（构筑物）安全。当构件运输和存放对已完成结构、基坑有影响时，应经计算复核。</w:t>
      </w:r>
    </w:p>
    <w:p>
      <w:pPr>
        <w:pStyle w:val="166"/>
      </w:pPr>
      <w:r>
        <w:rPr>
          <w:rFonts w:hint="eastAsia"/>
        </w:rPr>
        <w:t>预制构件安装前应对已施工完成的结构的混凝土强度、外观质量、尺寸偏差等进行检查，提前将现浇部位伸出的套筒连接钢筋位置及垂直度进行检查调整，并将钢筋表面及构件安装部位的混凝土表面上的灰浆、油污及杂物清理干净。</w:t>
      </w:r>
    </w:p>
    <w:p>
      <w:pPr>
        <w:pStyle w:val="166"/>
      </w:pPr>
      <w:r>
        <w:rPr>
          <w:rFonts w:hint="eastAsia"/>
        </w:rPr>
        <w:t>预制构件安装施工前，应进行测量放线，设置构件安装定位标识，必要时应提前安装限位装置。</w:t>
      </w:r>
    </w:p>
    <w:p>
      <w:pPr>
        <w:pStyle w:val="105"/>
        <w:spacing w:before="312" w:after="312"/>
      </w:pPr>
      <w:bookmarkStart w:id="80" w:name="_Toc76030254"/>
      <w:bookmarkStart w:id="81" w:name="_Toc13180"/>
      <w:bookmarkStart w:id="82" w:name="_Toc76637887"/>
      <w:bookmarkStart w:id="83" w:name="_Toc76628804"/>
      <w:r>
        <w:rPr>
          <w:rFonts w:hint="eastAsia"/>
        </w:rPr>
        <w:t>竖向承重构件安装</w:t>
      </w:r>
      <w:bookmarkEnd w:id="80"/>
      <w:bookmarkEnd w:id="81"/>
      <w:bookmarkEnd w:id="82"/>
      <w:bookmarkEnd w:id="83"/>
    </w:p>
    <w:p>
      <w:pPr>
        <w:pStyle w:val="106"/>
        <w:spacing w:before="156" w:after="156"/>
      </w:pPr>
      <w:bookmarkStart w:id="84" w:name="_Toc76628805"/>
      <w:bookmarkStart w:id="85" w:name="_Toc76637888"/>
      <w:bookmarkStart w:id="86" w:name="_Toc29967"/>
      <w:bookmarkStart w:id="87" w:name="_Toc76030255"/>
      <w:r>
        <w:rPr>
          <w:rFonts w:hint="eastAsia"/>
        </w:rPr>
        <w:t>预制柱安装</w:t>
      </w:r>
      <w:bookmarkEnd w:id="84"/>
      <w:bookmarkEnd w:id="85"/>
      <w:bookmarkEnd w:id="86"/>
      <w:bookmarkEnd w:id="87"/>
    </w:p>
    <w:p>
      <w:pPr>
        <w:pStyle w:val="66"/>
        <w:spacing w:before="156" w:after="156"/>
      </w:pPr>
      <w:r>
        <w:rPr>
          <w:rFonts w:hint="eastAsia"/>
        </w:rPr>
        <w:t>施工准备</w:t>
      </w:r>
    </w:p>
    <w:p>
      <w:pPr>
        <w:pStyle w:val="175"/>
        <w:numPr>
          <w:ilvl w:val="0"/>
          <w:numId w:val="33"/>
        </w:numPr>
      </w:pPr>
      <w:r>
        <w:rPr>
          <w:rFonts w:hint="eastAsia"/>
        </w:rPr>
        <w:t>物资准备：</w:t>
      </w:r>
    </w:p>
    <w:p>
      <w:pPr>
        <w:pStyle w:val="110"/>
      </w:pPr>
      <w:r>
        <w:rPr>
          <w:rFonts w:hint="eastAsia"/>
        </w:rPr>
        <w:t>预制混凝土柱按计划进场,分规格存放,挂牌标识。</w:t>
      </w:r>
    </w:p>
    <w:p>
      <w:pPr>
        <w:pStyle w:val="110"/>
      </w:pPr>
      <w:r>
        <w:rPr>
          <w:rFonts w:hint="eastAsia"/>
        </w:rPr>
        <w:t>楔形垫铁、方木、钢管支撑。</w:t>
      </w:r>
    </w:p>
    <w:p>
      <w:pPr>
        <w:pStyle w:val="175"/>
      </w:pPr>
      <w:r>
        <w:rPr>
          <w:rFonts w:hint="eastAsia"/>
        </w:rPr>
        <w:t>施工机具准备：</w:t>
      </w:r>
    </w:p>
    <w:p>
      <w:pPr>
        <w:pStyle w:val="110"/>
      </w:pPr>
      <w:r>
        <w:rPr>
          <w:rFonts w:hint="eastAsia"/>
        </w:rPr>
        <w:t>施工机械:吊装机械(塔吊、吊车等)。</w:t>
      </w:r>
    </w:p>
    <w:p>
      <w:pPr>
        <w:pStyle w:val="110"/>
      </w:pPr>
      <w:r>
        <w:rPr>
          <w:rFonts w:hint="eastAsia"/>
        </w:rPr>
        <w:t>工具用具:吊索、钢丝绳、缆风绳、铁扁担、卡环、绳夹、撬杠、锚桩、小型液压千斤顶、倒链等。</w:t>
      </w:r>
    </w:p>
    <w:p>
      <w:pPr>
        <w:pStyle w:val="66"/>
        <w:spacing w:before="156" w:after="156"/>
      </w:pPr>
      <w:r>
        <w:rPr>
          <w:rFonts w:hint="eastAsia"/>
        </w:rPr>
        <w:t>施工工艺流程</w:t>
      </w:r>
    </w:p>
    <w:p>
      <w:pPr>
        <w:pStyle w:val="57"/>
        <w:ind w:firstLine="420"/>
      </w:pPr>
      <w:r>
        <w:rPr>
          <w:rFonts w:hint="eastAsia"/>
        </w:rPr>
        <w:t>测量放线→竖向预留钢筋校正→吊具安装→吊运及就位→安装及校正。</w:t>
      </w:r>
    </w:p>
    <w:p>
      <w:pPr>
        <w:pStyle w:val="66"/>
        <w:spacing w:before="156" w:after="156"/>
      </w:pPr>
      <w:r>
        <w:rPr>
          <w:rFonts w:hint="eastAsia"/>
        </w:rPr>
        <w:t>测量放线</w:t>
      </w:r>
    </w:p>
    <w:p>
      <w:pPr>
        <w:pStyle w:val="57"/>
        <w:ind w:firstLine="420"/>
      </w:pPr>
      <w:r>
        <w:rPr>
          <w:rFonts w:hint="eastAsia"/>
        </w:rPr>
        <w:t>在预制混凝土柱上测量放线，设置安装定位标志。宜按照先角柱、边柱、中柱顺序进行安装，与现浇结构连接的柱先行吊装。</w:t>
      </w:r>
    </w:p>
    <w:p>
      <w:pPr>
        <w:pStyle w:val="66"/>
        <w:spacing w:before="156" w:after="156"/>
      </w:pPr>
      <w:r>
        <w:rPr>
          <w:rFonts w:hint="eastAsia"/>
        </w:rPr>
        <w:t>吊具安装</w:t>
      </w:r>
    </w:p>
    <w:p>
      <w:pPr>
        <w:pStyle w:val="57"/>
        <w:ind w:firstLine="420"/>
      </w:pPr>
      <w:r>
        <w:rPr>
          <w:rFonts w:hint="eastAsia"/>
        </w:rPr>
        <w:t>根据柱子的重量、柱身刚度，可采用一点、两点或三点绑扎，对重型或细长柱宜采用两点、三点绑扎。柱子绑扎应符合下列规定：</w:t>
      </w:r>
    </w:p>
    <w:p>
      <w:pPr>
        <w:pStyle w:val="175"/>
        <w:numPr>
          <w:ilvl w:val="0"/>
          <w:numId w:val="34"/>
        </w:numPr>
      </w:pPr>
      <w:r>
        <w:rPr>
          <w:rFonts w:hint="eastAsia"/>
        </w:rPr>
        <w:t>在吊点处绑扎吊索时，应做到安全可靠、不损伤构件棱角和便于脱钩，采用自动或半自动卡环作为脱钩装置；</w:t>
      </w:r>
    </w:p>
    <w:p>
      <w:pPr>
        <w:pStyle w:val="175"/>
      </w:pPr>
      <w:r>
        <w:rPr>
          <w:rFonts w:hint="eastAsia"/>
        </w:rPr>
        <w:t>柱子的绑扎方法应与吊装方式应协调，采用垂直绑扎法时，提升吊索在柱子两侧且长度相等，每个吊点绑扎处使用两个卡环；采用斜吊绑扎法时，提升吊索在柱子单侧，一个吊点使用一个卡环；</w:t>
      </w:r>
    </w:p>
    <w:p>
      <w:pPr>
        <w:pStyle w:val="175"/>
      </w:pPr>
      <w:r>
        <w:rPr>
          <w:rFonts w:hint="eastAsia"/>
        </w:rPr>
        <w:t>预制混凝土柱的绑扎点位置设计无规定时，应通过计算确定。当采用单点绑扎时，绑扎点位置应当高于柱的重心，当采用多点绑扎方法时，应对预制混凝土柱进行吊装验算；</w:t>
      </w:r>
    </w:p>
    <w:p>
      <w:pPr>
        <w:pStyle w:val="175"/>
      </w:pPr>
      <w:r>
        <w:rPr>
          <w:rFonts w:hint="eastAsia"/>
        </w:rPr>
        <w:t>吊装与运输过程中应采取保证起重设备的主钩位置、吊具及构件重心在竖直方向上重合的措施，吊索与构件水平夹角不宜小于 60°，且不应小于 45°。</w:t>
      </w:r>
    </w:p>
    <w:p>
      <w:pPr>
        <w:pStyle w:val="66"/>
        <w:spacing w:before="156" w:after="156"/>
      </w:pPr>
      <w:r>
        <w:rPr>
          <w:rFonts w:hint="eastAsia"/>
        </w:rPr>
        <w:t>吊运及就位</w:t>
      </w:r>
    </w:p>
    <w:p>
      <w:pPr>
        <w:pStyle w:val="175"/>
        <w:numPr>
          <w:ilvl w:val="0"/>
          <w:numId w:val="35"/>
        </w:numPr>
      </w:pPr>
      <w:r>
        <w:rPr>
          <w:rFonts w:hint="eastAsia"/>
        </w:rPr>
        <w:t>柱起吊就位时，应缓慢进行，当柱一端提升500mm时应暂停，检查吊车稳定性，柱身良好，绑点、吊钩、吊索等安全可靠后，再继续提升。</w:t>
      </w:r>
    </w:p>
    <w:p>
      <w:pPr>
        <w:pStyle w:val="175"/>
      </w:pPr>
      <w:r>
        <w:rPr>
          <w:rFonts w:hint="eastAsia"/>
        </w:rPr>
        <w:t>预制柱吊升就位过程应符合下列规定：</w:t>
      </w:r>
    </w:p>
    <w:p>
      <w:pPr>
        <w:pStyle w:val="110"/>
      </w:pPr>
      <w:r>
        <w:rPr>
          <w:rFonts w:hint="eastAsia"/>
        </w:rPr>
        <w:t>吊运过程应平稳，不应有大幅度摆动，且不应长时间悬停。</w:t>
      </w:r>
    </w:p>
    <w:p>
      <w:pPr>
        <w:pStyle w:val="110"/>
      </w:pPr>
      <w:r>
        <w:rPr>
          <w:rFonts w:hint="eastAsia"/>
        </w:rPr>
        <w:t xml:space="preserve">预制柱就位可采用先定位一个钢筋连接孔洞，再对位其他钢筋孔洞的办法。 </w:t>
      </w:r>
    </w:p>
    <w:p>
      <w:pPr>
        <w:pStyle w:val="110"/>
      </w:pPr>
      <w:r>
        <w:rPr>
          <w:rFonts w:hint="eastAsia"/>
        </w:rPr>
        <w:t>采用预留孔插筋法时，应采用柱靴对从柱底伸出的钢筋进行保护；起吊阶段，柱扶正过程中，柱靴不应离开地面。</w:t>
      </w:r>
    </w:p>
    <w:p>
      <w:pPr>
        <w:pStyle w:val="66"/>
        <w:spacing w:before="156" w:after="156"/>
      </w:pPr>
      <w:r>
        <w:rPr>
          <w:rFonts w:hint="eastAsia"/>
        </w:rPr>
        <w:t>安装及校正</w:t>
      </w:r>
    </w:p>
    <w:p>
      <w:pPr>
        <w:pStyle w:val="175"/>
        <w:numPr>
          <w:ilvl w:val="0"/>
          <w:numId w:val="36"/>
        </w:numPr>
      </w:pPr>
      <w:r>
        <w:rPr>
          <w:rFonts w:hint="eastAsia"/>
        </w:rPr>
        <w:t>柱就位后应采用可调钢斜撑进行临时固定，固定牢固后起重机方可脱钩并卸去吊索。对重型柱或细长柱以及多风或风大地区，应增设缆风绳。预制柱安装就位后每个预制柱临时支撑宜采用专门制作的金属临时固定架固定，且不少于 2道。</w:t>
      </w:r>
    </w:p>
    <w:p>
      <w:pPr>
        <w:pStyle w:val="175"/>
      </w:pPr>
      <w:r>
        <w:rPr>
          <w:rFonts w:hint="eastAsia"/>
        </w:rPr>
        <w:t>临时支撑应在不少于2个方向上设置，并应进行标高、垂直度、扭转检查和校正。</w:t>
      </w:r>
    </w:p>
    <w:p>
      <w:pPr>
        <w:pStyle w:val="110"/>
      </w:pPr>
      <w:r>
        <w:rPr>
          <w:rFonts w:hint="eastAsia"/>
        </w:rPr>
        <w:t>上部斜撑的支撑点距离底部的距离不宜小于高度的2/3，且不应小于高度的 1/2；</w:t>
      </w:r>
    </w:p>
    <w:p>
      <w:pPr>
        <w:pStyle w:val="110"/>
      </w:pPr>
      <w:r>
        <w:rPr>
          <w:rFonts w:hint="eastAsia"/>
        </w:rPr>
        <w:t>缆风绳用作临时固定措施时不宜少于4道，且下部应设紧绳器，并牢固地固定在锚桩上。</w:t>
      </w:r>
    </w:p>
    <w:p>
      <w:pPr>
        <w:pStyle w:val="175"/>
      </w:pPr>
      <w:r>
        <w:rPr>
          <w:rFonts w:hint="eastAsia"/>
        </w:rPr>
        <w:t>柱的吊装校正内容包括预制混凝土柱的轴线、标高和垂直度校正，并符合下列规定：</w:t>
      </w:r>
    </w:p>
    <w:p>
      <w:pPr>
        <w:pStyle w:val="110"/>
      </w:pPr>
      <w:r>
        <w:rPr>
          <w:rFonts w:hint="eastAsia"/>
        </w:rPr>
        <w:t>根据柱身和基础已测放的安装定位标志校正预制混凝土柱安装平面位置；</w:t>
      </w:r>
    </w:p>
    <w:p>
      <w:pPr>
        <w:pStyle w:val="110"/>
      </w:pPr>
      <w:r>
        <w:rPr>
          <w:rFonts w:hint="eastAsia"/>
        </w:rPr>
        <w:t>预制柱的标高校正，可采用在柱四角放置金属垫块的方法，结合柱子长度进行调整；</w:t>
      </w:r>
    </w:p>
    <w:p>
      <w:pPr>
        <w:pStyle w:val="110"/>
      </w:pPr>
      <w:r>
        <w:rPr>
          <w:rFonts w:hint="eastAsia"/>
        </w:rPr>
        <w:t>垂直度校正在柱的两个互相垂直的平面内同时进行，设两台经纬仪同时观测。也可通过可调临时支撑对预制柱的位置和垂直度进行微调，必要时可采用小型油压千斤顶斜顶校正或采用缆风绳校正法；</w:t>
      </w:r>
    </w:p>
    <w:p>
      <w:pPr>
        <w:pStyle w:val="110"/>
      </w:pPr>
      <w:r>
        <w:rPr>
          <w:rFonts w:hint="eastAsia"/>
        </w:rPr>
        <w:t>当日校正的预制柱未灌浆固定，次日应复校后再灌浆。</w:t>
      </w:r>
    </w:p>
    <w:p>
      <w:pPr>
        <w:pStyle w:val="106"/>
        <w:spacing w:before="156" w:after="156"/>
      </w:pPr>
      <w:bookmarkStart w:id="88" w:name="_Toc24466"/>
      <w:bookmarkStart w:id="89" w:name="_Toc76030256"/>
      <w:bookmarkStart w:id="90" w:name="_Toc76637889"/>
      <w:bookmarkStart w:id="91" w:name="_Toc76628806"/>
      <w:r>
        <w:rPr>
          <w:rFonts w:hint="eastAsia"/>
        </w:rPr>
        <w:t>预制剪力墙板、夹心保温墙板安装</w:t>
      </w:r>
      <w:bookmarkEnd w:id="88"/>
      <w:bookmarkEnd w:id="89"/>
      <w:bookmarkEnd w:id="90"/>
      <w:bookmarkEnd w:id="91"/>
    </w:p>
    <w:p>
      <w:pPr>
        <w:pStyle w:val="66"/>
        <w:spacing w:before="156" w:after="156"/>
      </w:pPr>
      <w:r>
        <w:rPr>
          <w:rFonts w:hint="eastAsia"/>
        </w:rPr>
        <w:t>施工准备</w:t>
      </w:r>
    </w:p>
    <w:p>
      <w:pPr>
        <w:pStyle w:val="175"/>
        <w:numPr>
          <w:ilvl w:val="0"/>
          <w:numId w:val="37"/>
        </w:numPr>
      </w:pPr>
      <w:r>
        <w:rPr>
          <w:rFonts w:hint="eastAsia"/>
        </w:rPr>
        <w:t>物资准备：</w:t>
      </w:r>
    </w:p>
    <w:p>
      <w:pPr>
        <w:pStyle w:val="110"/>
        <w:numPr>
          <w:ilvl w:val="1"/>
          <w:numId w:val="38"/>
        </w:numPr>
      </w:pPr>
      <w:r>
        <w:rPr>
          <w:rFonts w:hint="eastAsia"/>
        </w:rPr>
        <w:t>预制剪力墙板、夹心保温墙板按计划进场,分规格存放,挂牌标识。</w:t>
      </w:r>
    </w:p>
    <w:p>
      <w:pPr>
        <w:pStyle w:val="110"/>
      </w:pPr>
      <w:r>
        <w:rPr>
          <w:rFonts w:hint="eastAsia"/>
        </w:rPr>
        <w:t>钢（塑料）垫板、膨胀螺栓等。</w:t>
      </w:r>
    </w:p>
    <w:p>
      <w:pPr>
        <w:pStyle w:val="175"/>
      </w:pPr>
      <w:r>
        <w:rPr>
          <w:rFonts w:hint="eastAsia"/>
        </w:rPr>
        <w:t>施工机具准备：</w:t>
      </w:r>
    </w:p>
    <w:p>
      <w:pPr>
        <w:pStyle w:val="110"/>
      </w:pPr>
      <w:r>
        <w:rPr>
          <w:rFonts w:hint="eastAsia"/>
        </w:rPr>
        <w:t>施工机械:吊装机械(塔吊、吊车等)。</w:t>
      </w:r>
    </w:p>
    <w:p>
      <w:pPr>
        <w:pStyle w:val="110"/>
      </w:pPr>
      <w:r>
        <w:rPr>
          <w:rFonts w:hint="eastAsia"/>
        </w:rPr>
        <w:t>工具用具吊梁、钢丝绳吊具、卡环、撬棍、镜子、扳手、临时固定卡具等。</w:t>
      </w:r>
    </w:p>
    <w:p>
      <w:pPr>
        <w:pStyle w:val="66"/>
        <w:spacing w:before="156" w:after="156"/>
      </w:pPr>
      <w:r>
        <w:rPr>
          <w:rFonts w:hint="eastAsia"/>
        </w:rPr>
        <w:t>施工工艺流程</w:t>
      </w:r>
    </w:p>
    <w:p>
      <w:pPr>
        <w:pStyle w:val="57"/>
        <w:ind w:firstLine="420"/>
      </w:pPr>
      <w:r>
        <w:rPr>
          <w:rFonts w:hint="eastAsia"/>
        </w:rPr>
        <w:t>测量放线→竖向预留钢筋校正→吊具安装→吊运及就位→安装及校正。</w:t>
      </w:r>
    </w:p>
    <w:p>
      <w:pPr>
        <w:pStyle w:val="66"/>
        <w:spacing w:before="156" w:after="156"/>
      </w:pPr>
      <w:r>
        <w:rPr>
          <w:rFonts w:hint="eastAsia"/>
        </w:rPr>
        <w:t>测量放线</w:t>
      </w:r>
    </w:p>
    <w:p>
      <w:pPr>
        <w:pStyle w:val="57"/>
        <w:ind w:firstLine="420"/>
      </w:pPr>
      <w:r>
        <w:rPr>
          <w:rFonts w:hint="eastAsia"/>
        </w:rPr>
        <w:t>检查安装面平整度，控制在允许偏差范围内。测量放线应以轴线和外轮廓线双控制。</w:t>
      </w:r>
    </w:p>
    <w:p>
      <w:pPr>
        <w:pStyle w:val="66"/>
        <w:spacing w:before="156" w:after="156"/>
      </w:pPr>
      <w:r>
        <w:rPr>
          <w:rFonts w:hint="eastAsia"/>
        </w:rPr>
        <w:t>竖向预留钢筋校正</w:t>
      </w:r>
    </w:p>
    <w:p>
      <w:pPr>
        <w:pStyle w:val="175"/>
        <w:numPr>
          <w:ilvl w:val="0"/>
          <w:numId w:val="39"/>
        </w:numPr>
      </w:pPr>
      <w:r>
        <w:rPr>
          <w:rFonts w:hint="eastAsia"/>
        </w:rPr>
        <w:t>现浇混凝土预留连接钢筋时宜采用专用模具进行定位，并应采用可靠的固定措施控制连接钢筋的中心位置及外露长度满足设计要求。</w:t>
      </w:r>
    </w:p>
    <w:p>
      <w:pPr>
        <w:pStyle w:val="175"/>
      </w:pPr>
      <w:r>
        <w:rPr>
          <w:rFonts w:hint="eastAsia"/>
        </w:rPr>
        <w:t>构件安装前应对连接钢筋进行校直，连接钢筋偏离套筒或孔洞中心线不宜超过3mm。连接钢筋中心位置存在严重偏差影响预制构件安装时，应会同设计单位制定专项处理方案，严禁随意切割、强行调整定位钢筋。</w:t>
      </w:r>
    </w:p>
    <w:p>
      <w:pPr>
        <w:pStyle w:val="66"/>
        <w:spacing w:before="156" w:after="156"/>
      </w:pPr>
      <w:r>
        <w:rPr>
          <w:rFonts w:hint="eastAsia"/>
        </w:rPr>
        <w:t>吊运及就位</w:t>
      </w:r>
    </w:p>
    <w:p>
      <w:pPr>
        <w:pStyle w:val="175"/>
        <w:numPr>
          <w:ilvl w:val="0"/>
          <w:numId w:val="40"/>
        </w:numPr>
      </w:pPr>
      <w:r>
        <w:rPr>
          <w:rFonts w:hint="eastAsia"/>
        </w:rPr>
        <w:t>预制剪力墙宜采用模数化吊梁进行吊装，应确保钢丝绳处于起吊点的正上方。当不能满足钢丝绳处于起吊点正上方时，钢丝绳与构件水平面所成夹角不宜小于60° 且不应小于45°。</w:t>
      </w:r>
    </w:p>
    <w:p>
      <w:pPr>
        <w:pStyle w:val="175"/>
        <w:numPr>
          <w:ilvl w:val="0"/>
          <w:numId w:val="40"/>
        </w:numPr>
      </w:pPr>
      <w:r>
        <w:rPr>
          <w:rFonts w:hint="eastAsia"/>
        </w:rPr>
        <w:t>吊装宜进行单元划分，与现浇部分连接的墙板宜先行吊装，其它按顺序进行吊装。</w:t>
      </w:r>
    </w:p>
    <w:p>
      <w:pPr>
        <w:pStyle w:val="66"/>
        <w:spacing w:before="156" w:after="156"/>
      </w:pPr>
      <w:r>
        <w:rPr>
          <w:rFonts w:hint="eastAsia"/>
        </w:rPr>
        <w:t>安装及校正</w:t>
      </w:r>
    </w:p>
    <w:p>
      <w:pPr>
        <w:pStyle w:val="175"/>
        <w:numPr>
          <w:ilvl w:val="0"/>
          <w:numId w:val="41"/>
        </w:numPr>
      </w:pPr>
      <w:r>
        <w:rPr>
          <w:rFonts w:hint="eastAsia"/>
        </w:rPr>
        <w:t>预制剪力墙安装前应在构件底部设置调平装置，相邻墙板安装过程宜设置3道平整度控制装置，平整度控制装置可采用预埋件焊接或螺栓连接方式。</w:t>
      </w:r>
    </w:p>
    <w:p>
      <w:pPr>
        <w:pStyle w:val="175"/>
      </w:pPr>
      <w:r>
        <w:rPr>
          <w:rFonts w:hint="eastAsia"/>
        </w:rPr>
        <w:t>预制剪力墙柱安装时应在底部设置限位装置辅助安装，每件墙板底部限位装置应不少于2个，间距不宜大于4m。</w:t>
      </w:r>
    </w:p>
    <w:p>
      <w:pPr>
        <w:pStyle w:val="175"/>
      </w:pPr>
      <w:r>
        <w:rPr>
          <w:rFonts w:hint="eastAsia"/>
        </w:rPr>
        <w:t>上层预制剪力墙插入下层预制剪力墙的竖向预留钢筋后，应架设不少于2根斜支撑对预制剪力墙临时固定，支撑点距离板底的距离不宜小于构件高度的2/3,且不应小于构件高度的1/2。</w:t>
      </w:r>
    </w:p>
    <w:p>
      <w:pPr>
        <w:pStyle w:val="175"/>
      </w:pPr>
      <w:r>
        <w:rPr>
          <w:rFonts w:hint="eastAsia"/>
        </w:rPr>
        <w:t>预制剪力墙的水平位置、垂直度、高度等，通过墙底垫片、 临时支撑进行调整。</w:t>
      </w:r>
    </w:p>
    <w:p>
      <w:pPr>
        <w:pStyle w:val="106"/>
        <w:spacing w:before="156" w:after="156"/>
      </w:pPr>
      <w:bookmarkStart w:id="92" w:name="_Toc76628807"/>
      <w:bookmarkStart w:id="93" w:name="_Toc76637890"/>
      <w:bookmarkStart w:id="94" w:name="_Toc17289"/>
      <w:bookmarkStart w:id="95" w:name="_Toc76030257"/>
      <w:r>
        <w:rPr>
          <w:rFonts w:hint="eastAsia"/>
        </w:rPr>
        <w:t>叠合墙板安装</w:t>
      </w:r>
      <w:bookmarkEnd w:id="92"/>
      <w:bookmarkEnd w:id="93"/>
      <w:bookmarkEnd w:id="94"/>
      <w:bookmarkEnd w:id="95"/>
    </w:p>
    <w:p>
      <w:pPr>
        <w:pStyle w:val="66"/>
        <w:spacing w:before="156" w:after="156"/>
      </w:pPr>
      <w:r>
        <w:rPr>
          <w:rFonts w:hint="eastAsia"/>
        </w:rPr>
        <w:t>施工准备</w:t>
      </w:r>
    </w:p>
    <w:p>
      <w:pPr>
        <w:pStyle w:val="175"/>
        <w:numPr>
          <w:ilvl w:val="0"/>
          <w:numId w:val="42"/>
        </w:numPr>
      </w:pPr>
      <w:r>
        <w:rPr>
          <w:rFonts w:hint="eastAsia"/>
        </w:rPr>
        <w:t>物资准备：</w:t>
      </w:r>
    </w:p>
    <w:p>
      <w:pPr>
        <w:pStyle w:val="110"/>
      </w:pPr>
      <w:r>
        <w:rPr>
          <w:rFonts w:hint="eastAsia"/>
        </w:rPr>
        <w:t>根据施工计划,预制叠合墙板按计划进场,分规格存放,挂牌标识。</w:t>
      </w:r>
    </w:p>
    <w:p>
      <w:pPr>
        <w:pStyle w:val="110"/>
      </w:pPr>
      <w:r>
        <w:rPr>
          <w:rFonts w:hint="eastAsia"/>
        </w:rPr>
        <w:t>钢（塑料）垫板、膨胀螺栓等。</w:t>
      </w:r>
    </w:p>
    <w:p>
      <w:pPr>
        <w:pStyle w:val="175"/>
      </w:pPr>
      <w:r>
        <w:rPr>
          <w:rFonts w:hint="eastAsia"/>
        </w:rPr>
        <w:t>施工机具准备：</w:t>
      </w:r>
    </w:p>
    <w:p>
      <w:pPr>
        <w:pStyle w:val="110"/>
      </w:pPr>
      <w:r>
        <w:rPr>
          <w:rFonts w:hint="eastAsia"/>
        </w:rPr>
        <w:t>施工机械:吊装机械(塔吊、吊车等)。</w:t>
      </w:r>
    </w:p>
    <w:p>
      <w:pPr>
        <w:pStyle w:val="110"/>
      </w:pPr>
      <w:r>
        <w:rPr>
          <w:rFonts w:hint="eastAsia"/>
        </w:rPr>
        <w:t>工具用具:吊梁、钢丝绳吊具、卡环、撬棍、垫块、镜子、扳手、临时固定卡具等。</w:t>
      </w:r>
    </w:p>
    <w:p>
      <w:pPr>
        <w:pStyle w:val="66"/>
        <w:spacing w:before="156" w:after="156"/>
      </w:pPr>
      <w:r>
        <w:rPr>
          <w:rFonts w:hint="eastAsia"/>
        </w:rPr>
        <w:t>施工工艺流程</w:t>
      </w:r>
    </w:p>
    <w:p>
      <w:pPr>
        <w:pStyle w:val="57"/>
        <w:ind w:firstLine="420"/>
      </w:pPr>
      <w:r>
        <w:rPr>
          <w:rFonts w:hint="eastAsia"/>
        </w:rPr>
        <w:t>测量放线→吊具安装→吊运及就位→安装及校正。</w:t>
      </w:r>
    </w:p>
    <w:p>
      <w:pPr>
        <w:pStyle w:val="66"/>
        <w:spacing w:before="156" w:after="156"/>
      </w:pPr>
      <w:r>
        <w:rPr>
          <w:rFonts w:hint="eastAsia"/>
        </w:rPr>
        <w:t>垫块布置</w:t>
      </w:r>
    </w:p>
    <w:p>
      <w:pPr>
        <w:pStyle w:val="175"/>
        <w:numPr>
          <w:ilvl w:val="0"/>
          <w:numId w:val="43"/>
        </w:numPr>
      </w:pPr>
      <w:r>
        <w:rPr>
          <w:rFonts w:hint="eastAsia"/>
        </w:rPr>
        <w:t>构件底部应设置可调整接缝厚度和底部标高的垫块，垫块应布置在对应斜支撑支撑点的正下方。</w:t>
      </w:r>
    </w:p>
    <w:p>
      <w:pPr>
        <w:pStyle w:val="175"/>
      </w:pPr>
      <w:r>
        <w:rPr>
          <w:rFonts w:hint="eastAsia"/>
        </w:rPr>
        <w:t>叠合墙板安装部位在楼面浇筑前预埋螺栓，浇筑完成后安装配套螺母及钢板垫片作为可调式垫片体系，通过钢垫片下方螺母可调节钢板垫片高度。</w:t>
      </w:r>
    </w:p>
    <w:p>
      <w:pPr>
        <w:pStyle w:val="66"/>
        <w:spacing w:before="156" w:after="156"/>
      </w:pPr>
      <w:r>
        <w:rPr>
          <w:rFonts w:hint="eastAsia"/>
        </w:rPr>
        <w:t>吊运及就位</w:t>
      </w:r>
    </w:p>
    <w:p>
      <w:pPr>
        <w:pStyle w:val="175"/>
        <w:numPr>
          <w:ilvl w:val="0"/>
          <w:numId w:val="44"/>
        </w:numPr>
      </w:pPr>
      <w:r>
        <w:rPr>
          <w:rFonts w:hint="eastAsia"/>
        </w:rPr>
        <w:t>预制叠合剪力墙板宜采用模数化吊梁进行吊装，应确保钢丝绳处于起吊点的正上方。当不能满足钢丝绳处于起吊点正上方时，钢丝绳与构件水平面所成夹角不宜小于60°，且不应小于45°。</w:t>
      </w:r>
    </w:p>
    <w:p>
      <w:pPr>
        <w:pStyle w:val="175"/>
      </w:pPr>
      <w:r>
        <w:rPr>
          <w:rFonts w:hint="eastAsia"/>
        </w:rPr>
        <w:t>按照外墙先行吊装的原则进行吊装。</w:t>
      </w:r>
    </w:p>
    <w:p>
      <w:pPr>
        <w:pStyle w:val="66"/>
        <w:spacing w:before="156" w:after="156"/>
      </w:pPr>
      <w:bookmarkStart w:id="96" w:name="_Toc22929"/>
      <w:bookmarkStart w:id="97" w:name="_Toc76030258"/>
      <w:r>
        <w:rPr>
          <w:rFonts w:hint="eastAsia"/>
        </w:rPr>
        <w:t>安装及校正</w:t>
      </w:r>
    </w:p>
    <w:p>
      <w:pPr>
        <w:pStyle w:val="175"/>
        <w:numPr>
          <w:ilvl w:val="0"/>
          <w:numId w:val="45"/>
        </w:numPr>
      </w:pPr>
      <w:r>
        <w:rPr>
          <w:rFonts w:hint="eastAsia"/>
        </w:rPr>
        <w:t>预制叠合墙板的水平位置、垂直度、高度等，通过墙底垫片、 临时支撑进行调整。</w:t>
      </w:r>
    </w:p>
    <w:p>
      <w:pPr>
        <w:pStyle w:val="175"/>
        <w:numPr>
          <w:ilvl w:val="0"/>
          <w:numId w:val="45"/>
        </w:numPr>
      </w:pPr>
      <w:r>
        <w:rPr>
          <w:rFonts w:hint="eastAsia"/>
        </w:rPr>
        <w:t>预制叠合墙板安装前应在构件底部设置调平装置，相邻墙板安装过程宜设置3道平整度控制装置，平整度控制装置可采用预埋件焊接或螺栓连接方式。</w:t>
      </w:r>
    </w:p>
    <w:p>
      <w:pPr>
        <w:pStyle w:val="175"/>
        <w:numPr>
          <w:ilvl w:val="0"/>
          <w:numId w:val="45"/>
        </w:numPr>
      </w:pPr>
      <w:r>
        <w:rPr>
          <w:rFonts w:hint="eastAsia"/>
        </w:rPr>
        <w:t>预制叠合墙板安装时应在底部设置限位装置辅助安装，每件墙板底部限位装置应不少于2个，间距不宜大于4m。</w:t>
      </w:r>
    </w:p>
    <w:p>
      <w:pPr>
        <w:pStyle w:val="175"/>
        <w:numPr>
          <w:ilvl w:val="0"/>
          <w:numId w:val="45"/>
        </w:numPr>
      </w:pPr>
      <w:r>
        <w:rPr>
          <w:rFonts w:hint="eastAsia"/>
        </w:rPr>
        <w:t>墙板安装就位后，应架设不少于2根斜支撑对预制剪力墙临时固定，支撑点距离板底的距离不宜小于构件高度的2/3,且不应小于构件高度的1/2。</w:t>
      </w:r>
    </w:p>
    <w:p>
      <w:pPr>
        <w:pStyle w:val="105"/>
        <w:spacing w:before="312" w:after="312"/>
      </w:pPr>
      <w:bookmarkStart w:id="98" w:name="_Toc76628808"/>
      <w:bookmarkStart w:id="99" w:name="_Toc76637891"/>
      <w:r>
        <w:rPr>
          <w:rFonts w:hint="eastAsia"/>
        </w:rPr>
        <w:t>水平构件安装</w:t>
      </w:r>
      <w:bookmarkEnd w:id="96"/>
      <w:bookmarkEnd w:id="97"/>
      <w:bookmarkEnd w:id="98"/>
      <w:bookmarkEnd w:id="99"/>
    </w:p>
    <w:p>
      <w:pPr>
        <w:pStyle w:val="106"/>
        <w:spacing w:before="156" w:after="156"/>
      </w:pPr>
      <w:bookmarkStart w:id="100" w:name="_Toc76030259"/>
      <w:bookmarkStart w:id="101" w:name="_Toc76628809"/>
      <w:bookmarkStart w:id="102" w:name="_Toc76637892"/>
      <w:bookmarkStart w:id="103" w:name="_Toc3167"/>
      <w:r>
        <w:rPr>
          <w:rFonts w:hint="eastAsia"/>
        </w:rPr>
        <w:t>叠合梁安装</w:t>
      </w:r>
      <w:bookmarkEnd w:id="100"/>
      <w:bookmarkEnd w:id="101"/>
      <w:bookmarkEnd w:id="102"/>
      <w:bookmarkEnd w:id="103"/>
    </w:p>
    <w:p>
      <w:pPr>
        <w:pStyle w:val="66"/>
        <w:spacing w:before="156" w:after="156"/>
      </w:pPr>
      <w:r>
        <w:rPr>
          <w:rFonts w:hint="eastAsia"/>
        </w:rPr>
        <w:t>施工准备</w:t>
      </w:r>
    </w:p>
    <w:p>
      <w:pPr>
        <w:pStyle w:val="175"/>
        <w:numPr>
          <w:ilvl w:val="0"/>
          <w:numId w:val="46"/>
        </w:numPr>
      </w:pPr>
      <w:r>
        <w:rPr>
          <w:rFonts w:hint="eastAsia"/>
        </w:rPr>
        <w:t>物资准备：</w:t>
      </w:r>
    </w:p>
    <w:p>
      <w:pPr>
        <w:pStyle w:val="175"/>
        <w:numPr>
          <w:ilvl w:val="0"/>
          <w:numId w:val="0"/>
        </w:numPr>
        <w:ind w:left="851"/>
      </w:pPr>
      <w:r>
        <w:rPr>
          <w:rFonts w:hint="eastAsia"/>
        </w:rPr>
        <w:t>预制混凝土叠合梁按计划进场,分类存放,挂标识牌。</w:t>
      </w:r>
    </w:p>
    <w:p>
      <w:pPr>
        <w:pStyle w:val="175"/>
      </w:pPr>
      <w:r>
        <w:rPr>
          <w:rFonts w:hint="eastAsia"/>
        </w:rPr>
        <w:t>施工机具准备：</w:t>
      </w:r>
    </w:p>
    <w:p>
      <w:pPr>
        <w:pStyle w:val="110"/>
      </w:pPr>
      <w:r>
        <w:rPr>
          <w:rFonts w:hint="eastAsia"/>
        </w:rPr>
        <w:t>施工机械:吊装机械(塔吊、吊车等)等。</w:t>
      </w:r>
    </w:p>
    <w:p>
      <w:pPr>
        <w:pStyle w:val="110"/>
      </w:pPr>
      <w:r>
        <w:rPr>
          <w:rFonts w:hint="eastAsia"/>
        </w:rPr>
        <w:t>工具用具:吊梁、工具式可调支撑、木方、撬棍、吊具、卡环、垫片等。</w:t>
      </w:r>
    </w:p>
    <w:p>
      <w:pPr>
        <w:pStyle w:val="66"/>
        <w:spacing w:before="156" w:after="156"/>
      </w:pPr>
      <w:r>
        <w:rPr>
          <w:rFonts w:hint="eastAsia"/>
        </w:rPr>
        <w:t>施工工艺流程</w:t>
      </w:r>
    </w:p>
    <w:p>
      <w:pPr>
        <w:pStyle w:val="57"/>
        <w:ind w:firstLine="420"/>
      </w:pPr>
      <w:r>
        <w:rPr>
          <w:rFonts w:hint="eastAsia"/>
        </w:rPr>
        <w:t>测量放线→支撑体系搭设→吊运及就位→安装及校正。</w:t>
      </w:r>
    </w:p>
    <w:p>
      <w:pPr>
        <w:pStyle w:val="66"/>
        <w:spacing w:before="156" w:after="156"/>
      </w:pPr>
      <w:r>
        <w:rPr>
          <w:rFonts w:hint="eastAsia"/>
        </w:rPr>
        <w:t>测量放线</w:t>
      </w:r>
    </w:p>
    <w:p>
      <w:pPr>
        <w:pStyle w:val="57"/>
        <w:ind w:firstLine="420"/>
      </w:pPr>
      <w:r>
        <w:rPr>
          <w:rFonts w:hint="eastAsia"/>
        </w:rPr>
        <w:t>安装前，应测量并在墙柱上弹出梁边控制线，供控制叠合梁安装位置及标高，并在安装后根据控制线进行精密调整。</w:t>
      </w:r>
    </w:p>
    <w:p>
      <w:pPr>
        <w:pStyle w:val="66"/>
        <w:spacing w:before="156" w:after="156"/>
      </w:pPr>
      <w:r>
        <w:rPr>
          <w:rFonts w:hint="eastAsia"/>
        </w:rPr>
        <w:t>支撑体系搭设</w:t>
      </w:r>
    </w:p>
    <w:p>
      <w:pPr>
        <w:pStyle w:val="175"/>
        <w:numPr>
          <w:ilvl w:val="0"/>
          <w:numId w:val="47"/>
        </w:numPr>
      </w:pPr>
      <w:r>
        <w:rPr>
          <w:rFonts w:hint="eastAsia"/>
        </w:rPr>
        <w:t>支撑体系应采用可调钢支撑搭设，并在可调钢支撑上铺设支撑木枋或钢梁，根据叠合梁的标高线，调节钢支撑顶端高度。</w:t>
      </w:r>
    </w:p>
    <w:p>
      <w:pPr>
        <w:pStyle w:val="175"/>
      </w:pPr>
      <w:r>
        <w:rPr>
          <w:rFonts w:hint="eastAsia"/>
        </w:rPr>
        <w:t>支撑体系搭设时，钢支撑距离叠合梁支座处应不大于500mm，钢支撑沿叠合梁长度方向间距应不大于2000mm。</w:t>
      </w:r>
    </w:p>
    <w:p>
      <w:pPr>
        <w:pStyle w:val="175"/>
      </w:pPr>
      <w:r>
        <w:rPr>
          <w:rFonts w:hint="eastAsia"/>
        </w:rPr>
        <w:t>主次叠合梁交界处主梁底模与支撑体系应一次就位。</w:t>
      </w:r>
    </w:p>
    <w:p>
      <w:pPr>
        <w:pStyle w:val="66"/>
        <w:spacing w:before="156" w:after="156"/>
      </w:pPr>
      <w:r>
        <w:rPr>
          <w:rFonts w:hint="eastAsia"/>
        </w:rPr>
        <w:t>吊运及就位</w:t>
      </w:r>
    </w:p>
    <w:p>
      <w:pPr>
        <w:pStyle w:val="57"/>
        <w:ind w:firstLine="420"/>
      </w:pPr>
      <w:r>
        <w:rPr>
          <w:rFonts w:hint="eastAsia"/>
        </w:rPr>
        <w:t>叠合梁吊运及就位过程中，起吊钢丝绳与叠合梁水平面所成夹角不应小于45°。</w:t>
      </w:r>
    </w:p>
    <w:p>
      <w:pPr>
        <w:pStyle w:val="66"/>
        <w:spacing w:before="156" w:after="156"/>
      </w:pPr>
      <w:r>
        <w:rPr>
          <w:rFonts w:hint="eastAsia"/>
        </w:rPr>
        <w:t>安装及校正</w:t>
      </w:r>
    </w:p>
    <w:p>
      <w:pPr>
        <w:pStyle w:val="175"/>
        <w:numPr>
          <w:ilvl w:val="0"/>
          <w:numId w:val="48"/>
        </w:numPr>
      </w:pPr>
      <w:r>
        <w:rPr>
          <w:rFonts w:hint="eastAsia"/>
        </w:rPr>
        <w:t>叠合梁安装顺序应遵循先主梁后次梁，先低后高的原则。</w:t>
      </w:r>
    </w:p>
    <w:p>
      <w:pPr>
        <w:pStyle w:val="175"/>
      </w:pPr>
      <w:r>
        <w:rPr>
          <w:rFonts w:hint="eastAsia"/>
        </w:rPr>
        <w:t>叠合梁安装时，主梁、次梁支座的搁置长度应符合规范及设计要求；叠合梁预留钢筋锚入剪力墙、柱的长度应符合规范要求。</w:t>
      </w:r>
    </w:p>
    <w:p>
      <w:pPr>
        <w:pStyle w:val="175"/>
      </w:pPr>
      <w:r>
        <w:rPr>
          <w:rFonts w:hint="eastAsia"/>
        </w:rPr>
        <w:t>叠合梁轴线位置校正，宜采用楔形小木块嵌入叠合梁对叠合梁轴线位置进行调整。</w:t>
      </w:r>
    </w:p>
    <w:p>
      <w:pPr>
        <w:pStyle w:val="106"/>
        <w:spacing w:before="156" w:after="156"/>
      </w:pPr>
      <w:bookmarkStart w:id="104" w:name="_Toc9531"/>
      <w:bookmarkStart w:id="105" w:name="_Toc76628810"/>
      <w:bookmarkStart w:id="106" w:name="_Toc76637893"/>
      <w:bookmarkStart w:id="107" w:name="_Toc76030260"/>
      <w:r>
        <w:rPr>
          <w:rFonts w:hint="eastAsia"/>
        </w:rPr>
        <w:t>叠合楼板安装</w:t>
      </w:r>
      <w:bookmarkEnd w:id="104"/>
      <w:bookmarkEnd w:id="105"/>
      <w:bookmarkEnd w:id="106"/>
      <w:bookmarkEnd w:id="107"/>
    </w:p>
    <w:p>
      <w:pPr>
        <w:pStyle w:val="66"/>
        <w:spacing w:before="156" w:after="156"/>
      </w:pPr>
      <w:r>
        <w:rPr>
          <w:rFonts w:hint="eastAsia"/>
        </w:rPr>
        <w:t>施工准备</w:t>
      </w:r>
    </w:p>
    <w:p>
      <w:pPr>
        <w:pStyle w:val="175"/>
        <w:numPr>
          <w:ilvl w:val="0"/>
          <w:numId w:val="49"/>
        </w:numPr>
      </w:pPr>
      <w:r>
        <w:rPr>
          <w:rFonts w:hint="eastAsia"/>
        </w:rPr>
        <w:t>物资准备：</w:t>
      </w:r>
    </w:p>
    <w:p>
      <w:pPr>
        <w:pStyle w:val="110"/>
      </w:pPr>
      <w:r>
        <w:rPr>
          <w:rFonts w:hint="eastAsia"/>
        </w:rPr>
        <w:t>预制混凝土叠合楼板按计划进场,按照不同型号、规格分类存放,挂标识牌。</w:t>
      </w:r>
    </w:p>
    <w:p>
      <w:pPr>
        <w:pStyle w:val="175"/>
      </w:pPr>
      <w:r>
        <w:rPr>
          <w:rFonts w:hint="eastAsia"/>
        </w:rPr>
        <w:t>施工机具准备：</w:t>
      </w:r>
    </w:p>
    <w:p>
      <w:pPr>
        <w:pStyle w:val="110"/>
      </w:pPr>
      <w:r>
        <w:rPr>
          <w:rFonts w:hint="eastAsia"/>
        </w:rPr>
        <w:t>施工机械:吊装机械(塔吊、吊车等)、电焊等。</w:t>
      </w:r>
    </w:p>
    <w:p>
      <w:pPr>
        <w:pStyle w:val="110"/>
      </w:pPr>
      <w:r>
        <w:rPr>
          <w:rFonts w:hint="eastAsia"/>
        </w:rPr>
        <w:t>工具用具:扁担梁、可调支撑、木枋、撬棍、吊具、卡环等。</w:t>
      </w:r>
    </w:p>
    <w:p>
      <w:pPr>
        <w:pStyle w:val="66"/>
        <w:spacing w:before="156" w:after="156"/>
      </w:pPr>
      <w:r>
        <w:rPr>
          <w:rFonts w:hint="eastAsia"/>
        </w:rPr>
        <w:t>施工工艺流程</w:t>
      </w:r>
    </w:p>
    <w:p>
      <w:pPr>
        <w:pStyle w:val="57"/>
        <w:ind w:firstLine="420"/>
      </w:pPr>
      <w:r>
        <w:rPr>
          <w:rFonts w:hint="eastAsia"/>
        </w:rPr>
        <w:t>测量放线→支撑体系搭设→吊运及就位→安装及校正。</w:t>
      </w:r>
    </w:p>
    <w:p>
      <w:pPr>
        <w:pStyle w:val="66"/>
        <w:spacing w:before="156" w:after="156"/>
      </w:pPr>
      <w:r>
        <w:rPr>
          <w:rFonts w:hint="eastAsia"/>
        </w:rPr>
        <w:t>测量放线</w:t>
      </w:r>
    </w:p>
    <w:p>
      <w:pPr>
        <w:pStyle w:val="57"/>
        <w:ind w:firstLine="420"/>
      </w:pPr>
      <w:r>
        <w:rPr>
          <w:rFonts w:hint="eastAsia"/>
        </w:rPr>
        <w:t>安装前，应测量并修正临时支撑标高，确保与叠合楼板底标高一致，并在支座顶面弹出轴线位置控制线。</w:t>
      </w:r>
    </w:p>
    <w:p>
      <w:pPr>
        <w:pStyle w:val="66"/>
        <w:spacing w:before="156" w:after="156"/>
      </w:pPr>
      <w:r>
        <w:rPr>
          <w:rFonts w:hint="eastAsia"/>
        </w:rPr>
        <w:t>支撑体系搭设</w:t>
      </w:r>
    </w:p>
    <w:p>
      <w:pPr>
        <w:pStyle w:val="175"/>
        <w:numPr>
          <w:ilvl w:val="0"/>
          <w:numId w:val="50"/>
        </w:numPr>
      </w:pPr>
      <w:r>
        <w:rPr>
          <w:rFonts w:hint="eastAsia"/>
        </w:rPr>
        <w:t>支撑体系应采用可调钢支撑搭设，并在可调钢支撑上铺设木枋或工字钢梁，立杆下方应铺设垫木。</w:t>
      </w:r>
    </w:p>
    <w:p>
      <w:pPr>
        <w:pStyle w:val="175"/>
      </w:pPr>
      <w:r>
        <w:rPr>
          <w:rFonts w:hint="eastAsia"/>
        </w:rPr>
        <w:t>支撑体系应具有足够的承载能力、刚度和稳定性。</w:t>
      </w:r>
    </w:p>
    <w:p>
      <w:pPr>
        <w:pStyle w:val="175"/>
      </w:pPr>
      <w:r>
        <w:rPr>
          <w:rFonts w:hint="eastAsia"/>
        </w:rPr>
        <w:t>支撑点的间距及其与墙、柱、梁边的净距应经计算确定，支撑系统顶端应与板底抵紧。</w:t>
      </w:r>
    </w:p>
    <w:p>
      <w:pPr>
        <w:pStyle w:val="175"/>
      </w:pPr>
      <w:r>
        <w:rPr>
          <w:rFonts w:hint="eastAsia"/>
        </w:rPr>
        <w:t>竖向连续支撑层数不宜少于2层且上下层支撑应对准。</w:t>
      </w:r>
    </w:p>
    <w:p>
      <w:pPr>
        <w:pStyle w:val="66"/>
        <w:spacing w:before="156" w:after="156"/>
      </w:pPr>
      <w:r>
        <w:rPr>
          <w:rFonts w:hint="eastAsia"/>
        </w:rPr>
        <w:t>吊运及就位</w:t>
      </w:r>
    </w:p>
    <w:p>
      <w:pPr>
        <w:pStyle w:val="175"/>
        <w:numPr>
          <w:ilvl w:val="0"/>
          <w:numId w:val="51"/>
        </w:numPr>
      </w:pPr>
      <w:r>
        <w:rPr>
          <w:rFonts w:hint="eastAsia"/>
        </w:rPr>
        <w:t>叠合板起吊时应采用吊架均衡起吊，与吊钩连接的钢丝绳与叠合板水平所成夹角不应小于45°。</w:t>
      </w:r>
    </w:p>
    <w:p>
      <w:pPr>
        <w:pStyle w:val="175"/>
      </w:pPr>
      <w:r>
        <w:rPr>
          <w:rFonts w:hint="eastAsia"/>
        </w:rPr>
        <w:t>叠合板就位前，应清理叠合板安装部位基层，当叠合板吊运至安装部位的正上方时，应再次核对叠合板的编号及安装方向。</w:t>
      </w:r>
    </w:p>
    <w:p>
      <w:pPr>
        <w:pStyle w:val="66"/>
        <w:spacing w:before="156" w:after="156"/>
      </w:pPr>
      <w:r>
        <w:rPr>
          <w:rFonts w:hint="eastAsia"/>
        </w:rPr>
        <w:t>安装及校正</w:t>
      </w:r>
    </w:p>
    <w:p>
      <w:pPr>
        <w:pStyle w:val="175"/>
        <w:numPr>
          <w:ilvl w:val="0"/>
          <w:numId w:val="52"/>
        </w:numPr>
      </w:pPr>
      <w:r>
        <w:rPr>
          <w:rFonts w:hint="eastAsia"/>
        </w:rPr>
        <w:t>叠合板安装前应检查支座顶面标高及支撑面平整度，并检查结合面粗糙度是否符合设计要求。</w:t>
      </w:r>
    </w:p>
    <w:p>
      <w:pPr>
        <w:pStyle w:val="175"/>
      </w:pPr>
      <w:r>
        <w:rPr>
          <w:rFonts w:hint="eastAsia"/>
        </w:rPr>
        <w:t>叠合板之间的缝隙应满足设计要求。</w:t>
      </w:r>
    </w:p>
    <w:p>
      <w:pPr>
        <w:pStyle w:val="175"/>
      </w:pPr>
      <w:r>
        <w:rPr>
          <w:rFonts w:hint="eastAsia"/>
        </w:rPr>
        <w:t>叠合板吊装完成后应由专人对板底接缝高差进行校核，当叠合板板底接缝高差不满足设计及验收要求时，应将构件重新起吊，通过可调托座进行调节。</w:t>
      </w:r>
    </w:p>
    <w:p>
      <w:pPr>
        <w:pStyle w:val="175"/>
      </w:pPr>
      <w:r>
        <w:rPr>
          <w:rFonts w:hint="eastAsia"/>
        </w:rPr>
        <w:t>叠合板预留钢筋锚入剪力墙、梁的长度应符合规范要求。</w:t>
      </w:r>
    </w:p>
    <w:p>
      <w:pPr>
        <w:pStyle w:val="175"/>
      </w:pPr>
      <w:r>
        <w:rPr>
          <w:rFonts w:hint="eastAsia"/>
        </w:rPr>
        <w:t>叠合板标高校正应根据标高控制线，调节支撑体系顶托，对叠合板标高校正。</w:t>
      </w:r>
    </w:p>
    <w:p>
      <w:pPr>
        <w:pStyle w:val="175"/>
      </w:pPr>
      <w:r>
        <w:rPr>
          <w:rFonts w:hint="eastAsia"/>
        </w:rPr>
        <w:t>叠合板轴线位置校正应根据轴线位置控制线，利用楔形小木块嵌入叠合板对轴线位置进行调整。</w:t>
      </w:r>
    </w:p>
    <w:p>
      <w:pPr>
        <w:pStyle w:val="106"/>
        <w:spacing w:before="156" w:after="156"/>
      </w:pPr>
      <w:bookmarkStart w:id="108" w:name="_Toc76030261"/>
      <w:bookmarkStart w:id="109" w:name="_Toc22276"/>
      <w:bookmarkStart w:id="110" w:name="_Toc76628811"/>
      <w:bookmarkStart w:id="111" w:name="_Toc76637894"/>
      <w:r>
        <w:rPr>
          <w:rFonts w:hint="eastAsia"/>
        </w:rPr>
        <w:t>楼梯安装</w:t>
      </w:r>
      <w:bookmarkEnd w:id="108"/>
      <w:bookmarkEnd w:id="109"/>
      <w:bookmarkEnd w:id="110"/>
      <w:bookmarkEnd w:id="111"/>
    </w:p>
    <w:p>
      <w:pPr>
        <w:pStyle w:val="66"/>
        <w:spacing w:before="156" w:after="156"/>
      </w:pPr>
      <w:r>
        <w:rPr>
          <w:rFonts w:hint="eastAsia"/>
        </w:rPr>
        <w:t>施工准备</w:t>
      </w:r>
    </w:p>
    <w:p>
      <w:pPr>
        <w:pStyle w:val="175"/>
        <w:numPr>
          <w:ilvl w:val="0"/>
          <w:numId w:val="53"/>
        </w:numPr>
      </w:pPr>
      <w:r>
        <w:rPr>
          <w:rFonts w:hint="eastAsia"/>
        </w:rPr>
        <w:t>物资准备</w:t>
      </w:r>
    </w:p>
    <w:p>
      <w:pPr>
        <w:pStyle w:val="110"/>
        <w:numPr>
          <w:ilvl w:val="0"/>
          <w:numId w:val="0"/>
        </w:numPr>
        <w:ind w:left="1276" w:hanging="425"/>
      </w:pPr>
      <w:r>
        <w:rPr>
          <w:rFonts w:hint="eastAsia"/>
        </w:rPr>
        <w:t>预制混凝土楼梯按计划进场,分类存放,编号挂牌标识。</w:t>
      </w:r>
    </w:p>
    <w:p>
      <w:pPr>
        <w:pStyle w:val="175"/>
      </w:pPr>
      <w:r>
        <w:rPr>
          <w:rFonts w:hint="eastAsia"/>
        </w:rPr>
        <w:t>施工机具准备</w:t>
      </w:r>
    </w:p>
    <w:p>
      <w:pPr>
        <w:pStyle w:val="110"/>
      </w:pPr>
      <w:r>
        <w:rPr>
          <w:rFonts w:hint="eastAsia"/>
        </w:rPr>
        <w:t>施工机械:吊装机械(塔吊、吊车等)。</w:t>
      </w:r>
    </w:p>
    <w:p>
      <w:pPr>
        <w:pStyle w:val="110"/>
      </w:pPr>
      <w:r>
        <w:rPr>
          <w:rFonts w:hint="eastAsia"/>
        </w:rPr>
        <w:t>工具用具:吊具、吊绳、撬杠等。</w:t>
      </w:r>
    </w:p>
    <w:p>
      <w:pPr>
        <w:pStyle w:val="66"/>
        <w:spacing w:before="156" w:after="156"/>
      </w:pPr>
      <w:r>
        <w:rPr>
          <w:rFonts w:hint="eastAsia"/>
        </w:rPr>
        <w:t>施工工艺流程</w:t>
      </w:r>
    </w:p>
    <w:p>
      <w:pPr>
        <w:pStyle w:val="57"/>
        <w:ind w:firstLine="420"/>
      </w:pPr>
      <w:r>
        <w:rPr>
          <w:rFonts w:hint="eastAsia"/>
        </w:rPr>
        <w:t>测量放线→定位钢筋预埋及吊具安装→吊运→安装及校正。</w:t>
      </w:r>
    </w:p>
    <w:p>
      <w:pPr>
        <w:pStyle w:val="66"/>
        <w:spacing w:before="156" w:after="156"/>
      </w:pPr>
      <w:r>
        <w:rPr>
          <w:rFonts w:hint="eastAsia"/>
        </w:rPr>
        <w:t>定位钢筋预埋及吊具安装</w:t>
      </w:r>
    </w:p>
    <w:p>
      <w:pPr>
        <w:pStyle w:val="175"/>
        <w:numPr>
          <w:ilvl w:val="0"/>
          <w:numId w:val="54"/>
        </w:numPr>
      </w:pPr>
      <w:r>
        <w:rPr>
          <w:rFonts w:hint="eastAsia"/>
        </w:rPr>
        <w:t>定位钢筋的预埋应根据预制楼梯的设计和预留孔洞位置，在结构楼板上弹出定位钢筋预埋控制线进行预埋。</w:t>
      </w:r>
    </w:p>
    <w:p>
      <w:pPr>
        <w:pStyle w:val="175"/>
      </w:pPr>
      <w:r>
        <w:rPr>
          <w:rFonts w:hint="eastAsia"/>
        </w:rPr>
        <w:t>预制楼梯吊装宜采用四根合适长度的钢丝绳，便于吊装过程中平衡及就位调整。</w:t>
      </w:r>
    </w:p>
    <w:p>
      <w:pPr>
        <w:pStyle w:val="66"/>
        <w:spacing w:before="156" w:after="156"/>
      </w:pPr>
      <w:r>
        <w:rPr>
          <w:rFonts w:hint="eastAsia"/>
        </w:rPr>
        <w:t>吊运</w:t>
      </w:r>
    </w:p>
    <w:p>
      <w:pPr>
        <w:pStyle w:val="175"/>
        <w:numPr>
          <w:ilvl w:val="0"/>
          <w:numId w:val="55"/>
        </w:numPr>
      </w:pPr>
      <w:r>
        <w:rPr>
          <w:rFonts w:hint="eastAsia"/>
        </w:rPr>
        <w:t>预制楼梯起吊时，吊点不应少于4点，宜在生产前通过计算确定楼梯吊点位置。</w:t>
      </w:r>
    </w:p>
    <w:p>
      <w:pPr>
        <w:pStyle w:val="175"/>
      </w:pPr>
      <w:r>
        <w:rPr>
          <w:rFonts w:hint="eastAsia"/>
        </w:rPr>
        <w:t>预制楼梯的吊运宜采用慢起、稳升、缓放的操作方式。</w:t>
      </w:r>
    </w:p>
    <w:p>
      <w:pPr>
        <w:pStyle w:val="66"/>
        <w:spacing w:before="156" w:after="156"/>
      </w:pPr>
      <w:r>
        <w:rPr>
          <w:rFonts w:hint="eastAsia"/>
        </w:rPr>
        <w:t>安装及校正</w:t>
      </w:r>
    </w:p>
    <w:p>
      <w:pPr>
        <w:pStyle w:val="175"/>
        <w:numPr>
          <w:ilvl w:val="0"/>
          <w:numId w:val="56"/>
        </w:numPr>
      </w:pPr>
      <w:r>
        <w:rPr>
          <w:rFonts w:hint="eastAsia"/>
        </w:rPr>
        <w:t>吊装就位后，应立即调整并固定，避免因人员走动造成的偏差及危险。</w:t>
      </w:r>
    </w:p>
    <w:p>
      <w:pPr>
        <w:pStyle w:val="175"/>
      </w:pPr>
      <w:r>
        <w:rPr>
          <w:rFonts w:hint="eastAsia"/>
        </w:rPr>
        <w:t>预制楼梯端部安装，应考虑建筑标高与结构标高的差异，确保踏步高度一致。</w:t>
      </w:r>
    </w:p>
    <w:p>
      <w:pPr>
        <w:pStyle w:val="175"/>
      </w:pPr>
      <w:r>
        <w:rPr>
          <w:rFonts w:hint="eastAsia"/>
        </w:rPr>
        <w:t>应根据弹设在楼层上的标高线和平面控制线，调节预制楼梯的标高和平面位置，宜边安装边校正。</w:t>
      </w:r>
    </w:p>
    <w:p>
      <w:pPr>
        <w:pStyle w:val="106"/>
        <w:spacing w:before="156" w:after="156"/>
      </w:pPr>
      <w:bookmarkStart w:id="112" w:name="_Toc76628812"/>
      <w:bookmarkStart w:id="113" w:name="_Toc23552"/>
      <w:bookmarkStart w:id="114" w:name="_Toc76030262"/>
      <w:bookmarkStart w:id="115" w:name="_Toc76637895"/>
      <w:r>
        <w:rPr>
          <w:rFonts w:hint="eastAsia"/>
        </w:rPr>
        <w:t>预制混凝土阳台、空调板安装</w:t>
      </w:r>
      <w:bookmarkEnd w:id="112"/>
      <w:bookmarkEnd w:id="113"/>
      <w:bookmarkEnd w:id="114"/>
      <w:bookmarkEnd w:id="115"/>
    </w:p>
    <w:p>
      <w:pPr>
        <w:pStyle w:val="66"/>
        <w:spacing w:before="156" w:after="156"/>
      </w:pPr>
      <w:r>
        <w:rPr>
          <w:rFonts w:hint="eastAsia"/>
        </w:rPr>
        <w:t>施工准备</w:t>
      </w:r>
    </w:p>
    <w:p>
      <w:pPr>
        <w:pStyle w:val="175"/>
        <w:numPr>
          <w:ilvl w:val="0"/>
          <w:numId w:val="57"/>
        </w:numPr>
      </w:pPr>
      <w:r>
        <w:rPr>
          <w:rFonts w:hint="eastAsia"/>
        </w:rPr>
        <w:t>物资准备：</w:t>
      </w:r>
    </w:p>
    <w:p>
      <w:pPr>
        <w:pStyle w:val="110"/>
      </w:pPr>
      <w:r>
        <w:rPr>
          <w:rFonts w:hint="eastAsia"/>
        </w:rPr>
        <w:t>预制混凝土阳台、空调板按计划进场,分类存放,编号挂牌标识。</w:t>
      </w:r>
    </w:p>
    <w:p>
      <w:pPr>
        <w:pStyle w:val="175"/>
      </w:pPr>
      <w:r>
        <w:rPr>
          <w:rFonts w:hint="eastAsia"/>
        </w:rPr>
        <w:t>施工机具准备：</w:t>
      </w:r>
    </w:p>
    <w:p>
      <w:pPr>
        <w:pStyle w:val="110"/>
      </w:pPr>
      <w:r>
        <w:rPr>
          <w:rFonts w:hint="eastAsia"/>
        </w:rPr>
        <w:t>施工机械：起吊设备(塔吊、汽车吊等)、电焊机。</w:t>
      </w:r>
    </w:p>
    <w:p>
      <w:pPr>
        <w:pStyle w:val="110"/>
      </w:pPr>
      <w:r>
        <w:rPr>
          <w:rFonts w:hint="eastAsia"/>
        </w:rPr>
        <w:t>工具用具：吊具、吊绳、撬杠。</w:t>
      </w:r>
    </w:p>
    <w:p>
      <w:pPr>
        <w:pStyle w:val="66"/>
        <w:spacing w:before="156" w:after="156"/>
      </w:pPr>
      <w:r>
        <w:rPr>
          <w:rFonts w:hint="eastAsia"/>
        </w:rPr>
        <w:t>施工工艺流程</w:t>
      </w:r>
    </w:p>
    <w:p>
      <w:pPr>
        <w:pStyle w:val="57"/>
        <w:ind w:firstLine="420"/>
      </w:pPr>
      <w:r>
        <w:rPr>
          <w:rFonts w:hint="eastAsia"/>
        </w:rPr>
        <w:t>测量放线→支撑体系搭设→构件吊运及就位→构件安装及校正。</w:t>
      </w:r>
    </w:p>
    <w:p>
      <w:pPr>
        <w:pStyle w:val="66"/>
        <w:spacing w:before="156" w:after="156"/>
      </w:pPr>
      <w:r>
        <w:t>测量放线</w:t>
      </w:r>
    </w:p>
    <w:p>
      <w:pPr>
        <w:pStyle w:val="175"/>
        <w:numPr>
          <w:ilvl w:val="0"/>
          <w:numId w:val="58"/>
        </w:numPr>
      </w:pPr>
      <w:r>
        <w:rPr>
          <w:rFonts w:hint="eastAsia"/>
        </w:rPr>
        <w:t>预制阳台、空调板安装施工前，应在预制阳台、空调板和已完成的结构上进行测量放线，设置安装定位标志；应将水平控制线和标高控制线施放于已完成结构或构件上。</w:t>
      </w:r>
    </w:p>
    <w:p>
      <w:pPr>
        <w:pStyle w:val="175"/>
      </w:pPr>
      <w:r>
        <w:rPr>
          <w:rFonts w:hint="eastAsia"/>
        </w:rPr>
        <w:t>宜同时放出四边的边线，并检验预留连接企口或接头的位置，并放出安装定位控制线。</w:t>
      </w:r>
    </w:p>
    <w:p>
      <w:pPr>
        <w:pStyle w:val="66"/>
        <w:spacing w:before="156" w:after="156"/>
      </w:pPr>
      <w:r>
        <w:rPr>
          <w:rFonts w:hint="eastAsia"/>
        </w:rPr>
        <w:t>支撑体系搭设</w:t>
      </w:r>
    </w:p>
    <w:p>
      <w:pPr>
        <w:pStyle w:val="175"/>
        <w:numPr>
          <w:ilvl w:val="0"/>
          <w:numId w:val="59"/>
        </w:numPr>
      </w:pPr>
      <w:r>
        <w:rPr>
          <w:rFonts w:hint="eastAsia"/>
        </w:rPr>
        <w:t>支撑底部应搭设在坚实的地面、楼面上，其强度、刚度须符合设计要求。</w:t>
      </w:r>
    </w:p>
    <w:p>
      <w:pPr>
        <w:pStyle w:val="175"/>
      </w:pPr>
      <w:r>
        <w:rPr>
          <w:rFonts w:hint="eastAsia"/>
        </w:rPr>
        <w:t>支撑体系应采用可调钢支撑搭设，并应根据阳台板、空调板的设计标高调整支撑体系顶托至合适位置。</w:t>
      </w:r>
    </w:p>
    <w:p>
      <w:pPr>
        <w:pStyle w:val="175"/>
      </w:pPr>
      <w:r>
        <w:rPr>
          <w:rFonts w:hint="eastAsia"/>
        </w:rPr>
        <w:t>应保证支撑体系的整体稳定性。</w:t>
      </w:r>
    </w:p>
    <w:p>
      <w:pPr>
        <w:pStyle w:val="66"/>
        <w:spacing w:before="156" w:after="156"/>
      </w:pPr>
      <w:r>
        <w:rPr>
          <w:rFonts w:hint="eastAsia"/>
        </w:rPr>
        <w:t>吊运及就位</w:t>
      </w:r>
    </w:p>
    <w:p>
      <w:pPr>
        <w:pStyle w:val="175"/>
        <w:numPr>
          <w:ilvl w:val="0"/>
          <w:numId w:val="60"/>
        </w:numPr>
      </w:pPr>
      <w:r>
        <w:rPr>
          <w:rFonts w:hint="eastAsia"/>
        </w:rPr>
        <w:t>阳台、空调板吊装宜采用平衡钢梁均衡起吊，钢丝绳与阳台、空调板的夹角不应小于45°。</w:t>
      </w:r>
    </w:p>
    <w:p>
      <w:pPr>
        <w:pStyle w:val="175"/>
      </w:pPr>
      <w:r>
        <w:rPr>
          <w:rFonts w:hint="eastAsia"/>
        </w:rPr>
        <w:t>宜采用慢起、稳升、缓放的操作方式进行吊装。</w:t>
      </w:r>
    </w:p>
    <w:p>
      <w:pPr>
        <w:pStyle w:val="66"/>
        <w:spacing w:before="156" w:after="156"/>
      </w:pPr>
      <w:r>
        <w:rPr>
          <w:rFonts w:hint="eastAsia"/>
        </w:rPr>
        <w:t>安装及校正</w:t>
      </w:r>
    </w:p>
    <w:p>
      <w:pPr>
        <w:pStyle w:val="175"/>
        <w:numPr>
          <w:ilvl w:val="0"/>
          <w:numId w:val="61"/>
        </w:numPr>
      </w:pPr>
      <w:r>
        <w:rPr>
          <w:rFonts w:hint="eastAsia"/>
        </w:rPr>
        <w:t>构件就位后应对安装位置、安装标高、拼缝尺寸进行校核与调整；安装误差超过验收要求时不得强行调整，应重新起吊调整就位。</w:t>
      </w:r>
    </w:p>
    <w:p>
      <w:pPr>
        <w:pStyle w:val="175"/>
      </w:pPr>
      <w:r>
        <w:rPr>
          <w:rFonts w:hint="eastAsia"/>
        </w:rPr>
        <w:t>预制构件安装就位后应复核临时支撑，确保构件的稳定性。</w:t>
      </w:r>
    </w:p>
    <w:p>
      <w:pPr>
        <w:pStyle w:val="105"/>
        <w:spacing w:before="312" w:after="312"/>
      </w:pPr>
      <w:bookmarkStart w:id="116" w:name="_Toc76030263"/>
      <w:bookmarkStart w:id="117" w:name="_Toc4018"/>
      <w:bookmarkStart w:id="118" w:name="_Toc76637896"/>
      <w:bookmarkStart w:id="119" w:name="_Toc76628813"/>
      <w:bookmarkStart w:id="120" w:name="_Toc76030266"/>
      <w:r>
        <w:rPr>
          <w:rFonts w:hint="eastAsia"/>
        </w:rPr>
        <w:t>围护、分隔及装饰构件安装</w:t>
      </w:r>
      <w:bookmarkEnd w:id="116"/>
      <w:bookmarkEnd w:id="117"/>
      <w:bookmarkEnd w:id="118"/>
      <w:bookmarkEnd w:id="119"/>
    </w:p>
    <w:p>
      <w:pPr>
        <w:pStyle w:val="106"/>
        <w:spacing w:before="156" w:after="156"/>
      </w:pPr>
      <w:bookmarkStart w:id="121" w:name="_Toc76628814"/>
      <w:bookmarkStart w:id="122" w:name="_Toc14235"/>
      <w:bookmarkStart w:id="123" w:name="_Toc76637897"/>
      <w:bookmarkStart w:id="124" w:name="_Toc76030265"/>
      <w:r>
        <w:rPr>
          <w:rFonts w:hint="eastAsia"/>
        </w:rPr>
        <w:t>围护构件安装</w:t>
      </w:r>
      <w:bookmarkEnd w:id="121"/>
      <w:bookmarkEnd w:id="122"/>
      <w:bookmarkEnd w:id="123"/>
    </w:p>
    <w:p>
      <w:pPr>
        <w:pStyle w:val="66"/>
        <w:spacing w:before="156" w:after="156"/>
      </w:pPr>
      <w:r>
        <w:rPr>
          <w:rFonts w:hint="eastAsia"/>
        </w:rPr>
        <w:t>施工准备</w:t>
      </w:r>
    </w:p>
    <w:p>
      <w:pPr>
        <w:pStyle w:val="175"/>
        <w:numPr>
          <w:ilvl w:val="0"/>
          <w:numId w:val="62"/>
        </w:numPr>
      </w:pPr>
      <w:r>
        <w:rPr>
          <w:rFonts w:hint="eastAsia"/>
        </w:rPr>
        <w:t>物资准备：</w:t>
      </w:r>
    </w:p>
    <w:p>
      <w:pPr>
        <w:pStyle w:val="110"/>
      </w:pPr>
      <w:r>
        <w:rPr>
          <w:rFonts w:hint="eastAsia"/>
        </w:rPr>
        <w:t>根据施工计划,预制构件按计划进场,分类存放,挂标识牌。</w:t>
      </w:r>
    </w:p>
    <w:p>
      <w:pPr>
        <w:pStyle w:val="110"/>
      </w:pPr>
      <w:r>
        <w:t>钢筋、扎丝、对拉螺栓等。</w:t>
      </w:r>
    </w:p>
    <w:p>
      <w:pPr>
        <w:pStyle w:val="175"/>
      </w:pPr>
      <w:r>
        <w:rPr>
          <w:rFonts w:hint="eastAsia"/>
        </w:rPr>
        <w:t>施工</w:t>
      </w:r>
      <w:r>
        <w:t>机具</w:t>
      </w:r>
      <w:r>
        <w:rPr>
          <w:rFonts w:hint="eastAsia"/>
        </w:rPr>
        <w:t>准备：</w:t>
      </w:r>
    </w:p>
    <w:p>
      <w:pPr>
        <w:pStyle w:val="110"/>
      </w:pPr>
      <w:r>
        <w:rPr>
          <w:rFonts w:hint="eastAsia"/>
        </w:rPr>
        <w:t>施工机械:吊装机械(塔吊、吊车等)。</w:t>
      </w:r>
    </w:p>
    <w:p>
      <w:pPr>
        <w:pStyle w:val="110"/>
      </w:pPr>
      <w:r>
        <w:rPr>
          <w:rFonts w:hint="eastAsia"/>
        </w:rPr>
        <w:t>工具用具:吊梁、可调斜支撑、撬棍、吊具、垫片等。</w:t>
      </w:r>
    </w:p>
    <w:p>
      <w:pPr>
        <w:pStyle w:val="66"/>
        <w:spacing w:before="156" w:after="156"/>
      </w:pPr>
      <w:r>
        <w:rPr>
          <w:rFonts w:hint="eastAsia"/>
        </w:rPr>
        <w:t>施工工艺流程</w:t>
      </w:r>
    </w:p>
    <w:p>
      <w:pPr>
        <w:pStyle w:val="57"/>
        <w:ind w:firstLine="420"/>
      </w:pPr>
      <w:r>
        <w:rPr>
          <w:rFonts w:hint="eastAsia"/>
        </w:rPr>
        <w:t>测量放线→支撑体系搭设→吊具安装→吊运及就位→安装及校正。</w:t>
      </w:r>
    </w:p>
    <w:p>
      <w:pPr>
        <w:pStyle w:val="66"/>
        <w:spacing w:before="156" w:after="156"/>
      </w:pPr>
      <w:r>
        <w:rPr>
          <w:rFonts w:hint="eastAsia"/>
        </w:rPr>
        <w:t>测量放线</w:t>
      </w:r>
    </w:p>
    <w:p>
      <w:pPr>
        <w:pStyle w:val="175"/>
        <w:numPr>
          <w:ilvl w:val="0"/>
          <w:numId w:val="63"/>
        </w:numPr>
      </w:pPr>
      <w:r>
        <w:rPr>
          <w:rFonts w:hint="eastAsia"/>
        </w:rPr>
        <w:t>围护构件吊装前应进行测量放线。安装围护构件前,应在每层楼面设置不少于 4 个轴线垂直控制点，控制轴线必须用经纬仪由底层原始点直接向上引测。</w:t>
      </w:r>
    </w:p>
    <w:p>
      <w:pPr>
        <w:pStyle w:val="175"/>
        <w:numPr>
          <w:ilvl w:val="0"/>
          <w:numId w:val="63"/>
        </w:numPr>
      </w:pPr>
      <w:r>
        <w:rPr>
          <w:rFonts w:hint="eastAsia"/>
        </w:rPr>
        <w:t>每个楼层应设置 1个高程控制点。预制构件控制线应由轴线引出，每一块预制构件应有纵、横控制线各 2 条。</w:t>
      </w:r>
    </w:p>
    <w:p>
      <w:pPr>
        <w:pStyle w:val="175"/>
        <w:numPr>
          <w:ilvl w:val="0"/>
          <w:numId w:val="63"/>
        </w:numPr>
      </w:pPr>
      <w:r>
        <w:rPr>
          <w:rFonts w:hint="eastAsia"/>
        </w:rPr>
        <w:t>围护构件安装前，应在墙板内侧弹出竖向与水平线，在安装时与楼层上该墙板控制线相对应。</w:t>
      </w:r>
    </w:p>
    <w:p>
      <w:pPr>
        <w:pStyle w:val="175"/>
        <w:numPr>
          <w:ilvl w:val="0"/>
          <w:numId w:val="63"/>
        </w:numPr>
      </w:pPr>
      <w:r>
        <w:rPr>
          <w:rFonts w:hint="eastAsia"/>
        </w:rPr>
        <w:t>围护构件的垂直度测量应在 4个角留设转换控制点，用靠尺（托线板）以此 4 个点在内侧进行垂直度校核与测量。</w:t>
      </w:r>
    </w:p>
    <w:p>
      <w:pPr>
        <w:pStyle w:val="66"/>
        <w:spacing w:before="156" w:after="156"/>
      </w:pPr>
      <w:r>
        <w:rPr>
          <w:rFonts w:hint="eastAsia"/>
        </w:rPr>
        <w:t>吊具安装</w:t>
      </w:r>
    </w:p>
    <w:p>
      <w:pPr>
        <w:pStyle w:val="175"/>
        <w:numPr>
          <w:ilvl w:val="0"/>
          <w:numId w:val="64"/>
        </w:numPr>
      </w:pPr>
      <w:r>
        <w:rPr>
          <w:rFonts w:hint="eastAsia"/>
        </w:rPr>
        <w:t>在吊点处绑扎吊索时，应做到安全可靠、不损伤构件棱角和便于脱钩，采用自动或半自动卡环作为脱钩装置。</w:t>
      </w:r>
    </w:p>
    <w:p>
      <w:pPr>
        <w:pStyle w:val="175"/>
        <w:numPr>
          <w:ilvl w:val="0"/>
          <w:numId w:val="64"/>
        </w:numPr>
      </w:pPr>
      <w:r>
        <w:rPr>
          <w:rFonts w:hint="eastAsia"/>
        </w:rPr>
        <w:t>预制混凝土围护构件的绑扎点位置设计无规定时，应通过计算确定。当采用多点绑扎方法时，应对预制混凝土围护构件进行吊装验算。</w:t>
      </w:r>
    </w:p>
    <w:p>
      <w:pPr>
        <w:pStyle w:val="66"/>
        <w:spacing w:before="156" w:after="156"/>
      </w:pPr>
      <w:r>
        <w:rPr>
          <w:rFonts w:hint="eastAsia"/>
        </w:rPr>
        <w:t>吊运及就位</w:t>
      </w:r>
    </w:p>
    <w:p>
      <w:pPr>
        <w:pStyle w:val="175"/>
        <w:numPr>
          <w:ilvl w:val="0"/>
          <w:numId w:val="65"/>
        </w:numPr>
      </w:pPr>
      <w:r>
        <w:rPr>
          <w:rFonts w:hint="eastAsia"/>
        </w:rPr>
        <w:t>预制围护构件宜采用模数化吊梁进行吊装，应确保钢丝绳处于起吊点的正上方。当不能满足钢丝绳处于起吊点正上方时，钢丝绳与构件水平面所成夹角不宜小于60° 且不应小于45°。</w:t>
      </w:r>
    </w:p>
    <w:p>
      <w:pPr>
        <w:pStyle w:val="175"/>
        <w:numPr>
          <w:ilvl w:val="0"/>
          <w:numId w:val="65"/>
        </w:numPr>
      </w:pPr>
      <w:r>
        <w:rPr>
          <w:rFonts w:hint="eastAsia"/>
        </w:rPr>
        <w:t>吊装宜进行单元划分，与现浇部分连接的围护构件先吊装，其它按顺序进行吊装。</w:t>
      </w:r>
    </w:p>
    <w:p>
      <w:pPr>
        <w:pStyle w:val="66"/>
        <w:spacing w:before="156" w:after="156"/>
      </w:pPr>
      <w:r>
        <w:rPr>
          <w:rFonts w:hint="eastAsia"/>
        </w:rPr>
        <w:t>安装及校正</w:t>
      </w:r>
    </w:p>
    <w:p>
      <w:pPr>
        <w:pStyle w:val="175"/>
        <w:numPr>
          <w:ilvl w:val="0"/>
          <w:numId w:val="66"/>
        </w:numPr>
      </w:pPr>
      <w:r>
        <w:rPr>
          <w:rFonts w:hint="eastAsia"/>
        </w:rPr>
        <w:t>围护墙板安装后，应对安装位置、安装标高、垂直度进行校核与调整。</w:t>
      </w:r>
    </w:p>
    <w:p>
      <w:pPr>
        <w:pStyle w:val="175"/>
        <w:numPr>
          <w:ilvl w:val="0"/>
          <w:numId w:val="66"/>
        </w:numPr>
      </w:pPr>
      <w:r>
        <w:rPr>
          <w:rFonts w:hint="eastAsia"/>
        </w:rPr>
        <w:t>临时固定措施、临时支撑系统应具有足够的强度、刚度和整体稳固性，应按现行国家标准《混凝土结构工程施工规范》 GB 50666 的有关规定进行验算。</w:t>
      </w:r>
    </w:p>
    <w:p>
      <w:pPr>
        <w:pStyle w:val="175"/>
        <w:numPr>
          <w:ilvl w:val="0"/>
          <w:numId w:val="66"/>
        </w:numPr>
      </w:pPr>
      <w:r>
        <w:rPr>
          <w:rFonts w:hint="eastAsia"/>
        </w:rPr>
        <w:t>围护构件的临时支撑不宜少于 2 道。</w:t>
      </w:r>
    </w:p>
    <w:p>
      <w:pPr>
        <w:pStyle w:val="175"/>
        <w:numPr>
          <w:ilvl w:val="0"/>
          <w:numId w:val="66"/>
        </w:numPr>
      </w:pPr>
      <w:r>
        <w:rPr>
          <w:rFonts w:hint="eastAsia"/>
        </w:rPr>
        <w:t>构件安装就位后，可通过临时支撑对构件的位置和垂直度进行微调。</w:t>
      </w:r>
    </w:p>
    <w:bookmarkEnd w:id="124"/>
    <w:p>
      <w:pPr>
        <w:pStyle w:val="106"/>
        <w:spacing w:before="156" w:after="156"/>
      </w:pPr>
      <w:bookmarkStart w:id="125" w:name="_Toc76637898"/>
      <w:bookmarkStart w:id="126" w:name="_Toc76628815"/>
      <w:bookmarkStart w:id="127" w:name="_Toc23155"/>
      <w:r>
        <w:rPr>
          <w:rFonts w:hint="eastAsia"/>
        </w:rPr>
        <w:t>预制分隔墙及装饰构件安装</w:t>
      </w:r>
      <w:bookmarkEnd w:id="125"/>
      <w:bookmarkEnd w:id="126"/>
      <w:bookmarkEnd w:id="127"/>
    </w:p>
    <w:p>
      <w:pPr>
        <w:pStyle w:val="66"/>
        <w:spacing w:before="156" w:after="156"/>
      </w:pPr>
      <w:r>
        <w:rPr>
          <w:rFonts w:hint="eastAsia"/>
        </w:rPr>
        <w:t>施工准备</w:t>
      </w:r>
    </w:p>
    <w:p>
      <w:pPr>
        <w:pStyle w:val="175"/>
        <w:numPr>
          <w:ilvl w:val="0"/>
          <w:numId w:val="67"/>
        </w:numPr>
      </w:pPr>
      <w:r>
        <w:rPr>
          <w:rFonts w:hint="eastAsia"/>
        </w:rPr>
        <w:t>施工前，应准备好施工需要的物质、机器设备、工具，并进行检查。</w:t>
      </w:r>
    </w:p>
    <w:p>
      <w:pPr>
        <w:pStyle w:val="175"/>
        <w:numPr>
          <w:ilvl w:val="0"/>
          <w:numId w:val="49"/>
        </w:numPr>
      </w:pPr>
      <w:r>
        <w:rPr>
          <w:rFonts w:hint="eastAsia"/>
        </w:rPr>
        <w:t>物资准备</w:t>
      </w:r>
    </w:p>
    <w:p>
      <w:pPr>
        <w:pStyle w:val="110"/>
      </w:pPr>
      <w:r>
        <w:rPr>
          <w:rFonts w:hint="eastAsia"/>
        </w:rPr>
        <w:t>预制分隔装饰构件按计划进场,按照不同型号、规格分类存放,挂标识牌。</w:t>
      </w:r>
    </w:p>
    <w:p>
      <w:pPr>
        <w:pStyle w:val="175"/>
      </w:pPr>
      <w:r>
        <w:rPr>
          <w:rFonts w:hint="eastAsia"/>
        </w:rPr>
        <w:t>施工机具准备</w:t>
      </w:r>
    </w:p>
    <w:p>
      <w:pPr>
        <w:pStyle w:val="110"/>
      </w:pPr>
      <w:r>
        <w:rPr>
          <w:rFonts w:hint="eastAsia"/>
        </w:rPr>
        <w:t>施工机械:吊装机械(塔吊、吊车等)、电焊等。</w:t>
      </w:r>
    </w:p>
    <w:p>
      <w:pPr>
        <w:pStyle w:val="110"/>
      </w:pPr>
      <w:r>
        <w:rPr>
          <w:rFonts w:hint="eastAsia"/>
        </w:rPr>
        <w:t>工具用具:扁担梁、吊具、木枋、撬棍、卡环等。</w:t>
      </w:r>
    </w:p>
    <w:p>
      <w:pPr>
        <w:pStyle w:val="66"/>
        <w:spacing w:before="156" w:after="156"/>
      </w:pPr>
      <w:r>
        <w:rPr>
          <w:rFonts w:hint="eastAsia"/>
        </w:rPr>
        <w:t>施工工艺流程</w:t>
      </w:r>
    </w:p>
    <w:p>
      <w:pPr>
        <w:pStyle w:val="57"/>
        <w:ind w:firstLine="420"/>
      </w:pPr>
      <w:r>
        <w:rPr>
          <w:rFonts w:hint="eastAsia"/>
        </w:rPr>
        <w:t>测量放线→预埋件及吊具安装→吊运及就位→安装及校正→拼缝防水→临时支撑拆除。</w:t>
      </w:r>
    </w:p>
    <w:p>
      <w:pPr>
        <w:pStyle w:val="66"/>
        <w:spacing w:before="156" w:after="156"/>
      </w:pPr>
      <w:r>
        <w:rPr>
          <w:rFonts w:hint="eastAsia"/>
        </w:rPr>
        <w:t>测量放线</w:t>
      </w:r>
    </w:p>
    <w:p>
      <w:pPr>
        <w:pStyle w:val="57"/>
        <w:ind w:firstLine="420"/>
      </w:pPr>
      <w:r>
        <w:rPr>
          <w:rFonts w:hint="eastAsia"/>
        </w:rPr>
        <w:t>安装前，应测量放线，对主体工程中与分隔、装饰构件有关的相关尺寸进行复核，包括埋件定位尺寸，超出允许偏差时，应进行调整。</w:t>
      </w:r>
    </w:p>
    <w:p>
      <w:pPr>
        <w:pStyle w:val="66"/>
        <w:spacing w:before="156" w:after="156"/>
      </w:pPr>
      <w:r>
        <w:rPr>
          <w:rFonts w:hint="eastAsia"/>
        </w:rPr>
        <w:t>吊具安装</w:t>
      </w:r>
    </w:p>
    <w:p>
      <w:pPr>
        <w:pStyle w:val="175"/>
        <w:numPr>
          <w:ilvl w:val="0"/>
          <w:numId w:val="68"/>
        </w:numPr>
      </w:pPr>
      <w:r>
        <w:rPr>
          <w:rFonts w:hint="eastAsia"/>
        </w:rPr>
        <w:t>检查装饰构件吊钩埋设质量，质量可靠后方可起吊。</w:t>
      </w:r>
    </w:p>
    <w:p>
      <w:pPr>
        <w:pStyle w:val="175"/>
        <w:numPr>
          <w:ilvl w:val="0"/>
          <w:numId w:val="68"/>
        </w:numPr>
      </w:pPr>
      <w:r>
        <w:rPr>
          <w:rFonts w:hint="eastAsia"/>
        </w:rPr>
        <w:t>应缓慢起吊预制装饰构件，且平衡梁应水平，钢丝绳受力应均匀。</w:t>
      </w:r>
    </w:p>
    <w:p>
      <w:pPr>
        <w:pStyle w:val="175"/>
        <w:numPr>
          <w:ilvl w:val="0"/>
          <w:numId w:val="68"/>
        </w:numPr>
      </w:pPr>
      <w:r>
        <w:rPr>
          <w:rFonts w:hint="eastAsia"/>
        </w:rPr>
        <w:t>将构件吊离拖车至距楼（地）面1m 的位置，静停15s～20s，检查装饰构件水平位置和钢丝绳受力均匀情况，再按照已设定的吊运线路将构件平稳吊至待安装位置。</w:t>
      </w:r>
    </w:p>
    <w:p>
      <w:pPr>
        <w:pStyle w:val="66"/>
        <w:spacing w:before="156" w:after="156"/>
      </w:pPr>
      <w:r>
        <w:rPr>
          <w:rFonts w:hint="eastAsia"/>
        </w:rPr>
        <w:t>吊运及就位</w:t>
      </w:r>
    </w:p>
    <w:p>
      <w:pPr>
        <w:pStyle w:val="175"/>
        <w:numPr>
          <w:ilvl w:val="0"/>
          <w:numId w:val="69"/>
        </w:numPr>
      </w:pPr>
      <w:r>
        <w:rPr>
          <w:rFonts w:hint="eastAsia"/>
        </w:rPr>
        <w:t>将装饰构件吊运至距安装位置1m 处时，待构件稳定之后作业人员方可靠近操作。</w:t>
      </w:r>
    </w:p>
    <w:p>
      <w:pPr>
        <w:pStyle w:val="175"/>
        <w:numPr>
          <w:ilvl w:val="0"/>
          <w:numId w:val="69"/>
        </w:numPr>
      </w:pPr>
      <w:r>
        <w:rPr>
          <w:rFonts w:hint="eastAsia"/>
        </w:rPr>
        <w:t>通过缆风绳调节装饰构件落位位置。</w:t>
      </w:r>
    </w:p>
    <w:p>
      <w:pPr>
        <w:pStyle w:val="175"/>
        <w:numPr>
          <w:ilvl w:val="0"/>
          <w:numId w:val="69"/>
        </w:numPr>
      </w:pPr>
      <w:r>
        <w:rPr>
          <w:rFonts w:hint="eastAsia"/>
        </w:rPr>
        <w:t>预制装饰构件下降至距地面300mm～500mm后，减速下降，对齐边线、端线，并检查垫块高度及位置。</w:t>
      </w:r>
    </w:p>
    <w:p>
      <w:pPr>
        <w:pStyle w:val="175"/>
        <w:numPr>
          <w:ilvl w:val="0"/>
          <w:numId w:val="66"/>
        </w:numPr>
      </w:pPr>
      <w:r>
        <w:rPr>
          <w:rFonts w:hint="eastAsia"/>
        </w:rPr>
        <w:t>装饰类构件应对装饰面的完整性进行校核与调整。</w:t>
      </w:r>
    </w:p>
    <w:p>
      <w:pPr>
        <w:pStyle w:val="66"/>
        <w:spacing w:before="156" w:after="156"/>
      </w:pPr>
      <w:bookmarkStart w:id="128" w:name="_Toc1695"/>
      <w:r>
        <w:rPr>
          <w:rFonts w:hint="eastAsia"/>
        </w:rPr>
        <w:t>隔墙安装</w:t>
      </w:r>
    </w:p>
    <w:p>
      <w:pPr>
        <w:pStyle w:val="175"/>
        <w:numPr>
          <w:ilvl w:val="0"/>
          <w:numId w:val="70"/>
        </w:numPr>
      </w:pPr>
      <w:r>
        <w:rPr>
          <w:rFonts w:hint="eastAsia"/>
        </w:rPr>
        <w:t>墙板安装时，应安装一块，调整一块，保证墙面的垂直度和平整度。</w:t>
      </w:r>
    </w:p>
    <w:p>
      <w:pPr>
        <w:pStyle w:val="175"/>
        <w:numPr>
          <w:ilvl w:val="0"/>
          <w:numId w:val="70"/>
        </w:numPr>
      </w:pPr>
      <w:r>
        <w:rPr>
          <w:rFonts w:hint="eastAsia"/>
        </w:rPr>
        <w:t>墙板的安装顺序宜从门洞处向两端依次进行，门洞两侧宜采用整块板，无门洞口的隔墙，应从一端向另一端顺序安装。</w:t>
      </w:r>
    </w:p>
    <w:p>
      <w:pPr>
        <w:pStyle w:val="175"/>
        <w:numPr>
          <w:ilvl w:val="0"/>
          <w:numId w:val="70"/>
        </w:numPr>
      </w:pPr>
      <w:r>
        <w:rPr>
          <w:rFonts w:hint="eastAsia"/>
        </w:rPr>
        <w:t>竖装隔墙门窗洞口上使用过梁板时，过梁板伸入洞口边板的长度不应小于100mm。</w:t>
      </w:r>
    </w:p>
    <w:p>
      <w:pPr>
        <w:pStyle w:val="175"/>
        <w:numPr>
          <w:ilvl w:val="0"/>
          <w:numId w:val="70"/>
        </w:numPr>
      </w:pPr>
      <w:r>
        <w:rPr>
          <w:rFonts w:hint="eastAsia"/>
        </w:rPr>
        <w:t>墙板安装就位调整应采用专用工具，就位时应慢速轻放；撬动时用宽幅撬棍进行调整；微调用橡皮锤或加垫木敲击，避免损伤板材。</w:t>
      </w:r>
    </w:p>
    <w:p>
      <w:pPr>
        <w:pStyle w:val="175"/>
        <w:numPr>
          <w:ilvl w:val="0"/>
          <w:numId w:val="70"/>
        </w:numPr>
      </w:pPr>
      <w:r>
        <w:rPr>
          <w:rFonts w:hint="eastAsia"/>
        </w:rPr>
        <w:t>无槽口板材间的接缝应使用专用粘结剂满铺满贴，粘结剂厚度5mm并挤出为宜。</w:t>
      </w:r>
    </w:p>
    <w:p>
      <w:pPr>
        <w:pStyle w:val="175"/>
        <w:numPr>
          <w:ilvl w:val="0"/>
          <w:numId w:val="70"/>
        </w:numPr>
      </w:pPr>
      <w:r>
        <w:rPr>
          <w:rFonts w:hint="eastAsia"/>
        </w:rPr>
        <w:t>安装所用金属材料应预先做好防锈处理，经焊接后，应及时清理掉渣，并满涂防锈漆。</w:t>
      </w:r>
    </w:p>
    <w:p>
      <w:pPr>
        <w:pStyle w:val="105"/>
        <w:spacing w:before="312" w:after="312"/>
      </w:pPr>
      <w:bookmarkStart w:id="129" w:name="_Toc76637899"/>
      <w:bookmarkStart w:id="130" w:name="_Toc76628816"/>
      <w:r>
        <w:rPr>
          <w:rFonts w:hint="eastAsia"/>
        </w:rPr>
        <w:t>构件连接</w:t>
      </w:r>
      <w:bookmarkEnd w:id="120"/>
      <w:bookmarkEnd w:id="128"/>
      <w:bookmarkEnd w:id="129"/>
      <w:bookmarkEnd w:id="130"/>
    </w:p>
    <w:p>
      <w:pPr>
        <w:pStyle w:val="106"/>
        <w:spacing w:before="156" w:after="156"/>
      </w:pPr>
      <w:bookmarkStart w:id="131" w:name="_Toc76628817"/>
      <w:bookmarkStart w:id="132" w:name="_Toc3134"/>
      <w:bookmarkStart w:id="133" w:name="_Toc76030269"/>
      <w:bookmarkStart w:id="134" w:name="_Toc76637900"/>
      <w:r>
        <w:rPr>
          <w:rFonts w:hint="eastAsia"/>
        </w:rPr>
        <w:t>钢筋套筒灌浆连接</w:t>
      </w:r>
      <w:bookmarkEnd w:id="131"/>
      <w:bookmarkEnd w:id="132"/>
      <w:bookmarkEnd w:id="133"/>
      <w:bookmarkEnd w:id="134"/>
    </w:p>
    <w:p>
      <w:pPr>
        <w:pStyle w:val="66"/>
        <w:spacing w:before="156" w:after="156"/>
      </w:pPr>
      <w:r>
        <w:rPr>
          <w:rFonts w:hint="eastAsia"/>
        </w:rPr>
        <w:t>施工准备</w:t>
      </w:r>
    </w:p>
    <w:p>
      <w:pPr>
        <w:pStyle w:val="175"/>
      </w:pPr>
      <w:r>
        <w:rPr>
          <w:rFonts w:hint="eastAsia"/>
        </w:rPr>
        <w:t>物资准备：</w:t>
      </w:r>
    </w:p>
    <w:p>
      <w:pPr>
        <w:pStyle w:val="110"/>
      </w:pPr>
      <w:r>
        <w:rPr>
          <w:rFonts w:hint="eastAsia"/>
        </w:rPr>
        <w:t>灌浆料、胶塞等。</w:t>
      </w:r>
    </w:p>
    <w:p>
      <w:pPr>
        <w:pStyle w:val="110"/>
      </w:pPr>
      <w:r>
        <w:rPr>
          <w:rFonts w:hint="eastAsia"/>
        </w:rPr>
        <w:t>泡沫密封条、快硬砂浆。</w:t>
      </w:r>
    </w:p>
    <w:p>
      <w:pPr>
        <w:pStyle w:val="175"/>
      </w:pPr>
      <w:r>
        <w:rPr>
          <w:rFonts w:hint="eastAsia"/>
        </w:rPr>
        <w:t>施工机具准备：</w:t>
      </w:r>
    </w:p>
    <w:p>
      <w:pPr>
        <w:pStyle w:val="110"/>
      </w:pPr>
      <w:r>
        <w:rPr>
          <w:rFonts w:hint="eastAsia"/>
        </w:rPr>
        <w:t>施工机械:灌浆机。</w:t>
      </w:r>
    </w:p>
    <w:p>
      <w:pPr>
        <w:pStyle w:val="110"/>
      </w:pPr>
      <w:r>
        <w:rPr>
          <w:rFonts w:hint="eastAsia"/>
        </w:rPr>
        <w:t>工具用具:塞缝工具、美工刀、流动度检测设备等。</w:t>
      </w:r>
    </w:p>
    <w:p>
      <w:pPr>
        <w:pStyle w:val="66"/>
        <w:spacing w:before="156" w:after="156"/>
      </w:pPr>
      <w:r>
        <w:rPr>
          <w:rFonts w:hint="eastAsia"/>
        </w:rPr>
        <w:t>施工工艺流程</w:t>
      </w:r>
    </w:p>
    <w:p>
      <w:pPr>
        <w:pStyle w:val="57"/>
        <w:ind w:firstLine="420"/>
      </w:pPr>
      <w:r>
        <w:rPr>
          <w:rFonts w:hint="eastAsia"/>
        </w:rPr>
        <w:t>工作面清理→分仓与接缝封堵→灌浆料制备→灌浆料检查→灌浆连接→灌浆后节点保护。</w:t>
      </w:r>
    </w:p>
    <w:p>
      <w:pPr>
        <w:pStyle w:val="66"/>
        <w:spacing w:before="156" w:after="156"/>
      </w:pPr>
      <w:r>
        <w:rPr>
          <w:rFonts w:hint="eastAsia"/>
        </w:rPr>
        <w:t>工作面清理</w:t>
      </w:r>
    </w:p>
    <w:p>
      <w:pPr>
        <w:pStyle w:val="175"/>
        <w:numPr>
          <w:ilvl w:val="0"/>
          <w:numId w:val="71"/>
        </w:numPr>
      </w:pPr>
      <w:r>
        <w:rPr>
          <w:rFonts w:hint="eastAsia"/>
        </w:rPr>
        <w:t>应检查预制构件上套筒、预留孔的规格、位置、数量和深度；当套筒、预留孔内有杂物时，应清理干净。</w:t>
      </w:r>
    </w:p>
    <w:p>
      <w:pPr>
        <w:pStyle w:val="175"/>
      </w:pPr>
      <w:r>
        <w:rPr>
          <w:rFonts w:hint="eastAsia"/>
        </w:rPr>
        <w:t>应保证构件接缝基础面干净无油污，高温干燥季节应对构件与灌浆料接触的表面做湿润处理。</w:t>
      </w:r>
    </w:p>
    <w:p>
      <w:pPr>
        <w:pStyle w:val="66"/>
        <w:spacing w:before="156" w:after="156"/>
      </w:pPr>
      <w:r>
        <w:rPr>
          <w:rFonts w:hint="eastAsia"/>
        </w:rPr>
        <w:t>分仓与接缝封堵</w:t>
      </w:r>
    </w:p>
    <w:p>
      <w:pPr>
        <w:pStyle w:val="175"/>
        <w:numPr>
          <w:ilvl w:val="0"/>
          <w:numId w:val="72"/>
        </w:numPr>
      </w:pPr>
      <w:r>
        <w:rPr>
          <w:rFonts w:hint="eastAsia"/>
        </w:rPr>
        <w:t>采用灌浆套筒连接的墙板需要分仓灌浆时，应采用封仓料进行分仓。</w:t>
      </w:r>
    </w:p>
    <w:p>
      <w:pPr>
        <w:pStyle w:val="175"/>
      </w:pPr>
      <w:r>
        <w:rPr>
          <w:rFonts w:hint="eastAsia"/>
        </w:rPr>
        <w:t>接缝封堵应采用专用封堵料（快硬砂浆）或模板进行封堵。</w:t>
      </w:r>
    </w:p>
    <w:p>
      <w:pPr>
        <w:pStyle w:val="66"/>
        <w:spacing w:before="156" w:after="156"/>
      </w:pPr>
      <w:r>
        <w:rPr>
          <w:rFonts w:hint="eastAsia"/>
        </w:rPr>
        <w:t>灌浆料制备</w:t>
      </w:r>
    </w:p>
    <w:p>
      <w:pPr>
        <w:pStyle w:val="175"/>
        <w:numPr>
          <w:ilvl w:val="0"/>
          <w:numId w:val="73"/>
        </w:numPr>
      </w:pPr>
      <w:r>
        <w:rPr>
          <w:rFonts w:hint="eastAsia"/>
        </w:rPr>
        <w:t>灌浆料使用前，应检查产品包装上的有效期和产品外观。</w:t>
      </w:r>
    </w:p>
    <w:p>
      <w:pPr>
        <w:pStyle w:val="175"/>
      </w:pPr>
      <w:r>
        <w:rPr>
          <w:rFonts w:hint="eastAsia"/>
        </w:rPr>
        <w:t>拌和用水应符合现行行业标准《混凝土用水标准》JGJ 63的有关规定。</w:t>
      </w:r>
    </w:p>
    <w:p>
      <w:pPr>
        <w:pStyle w:val="175"/>
      </w:pPr>
      <w:r>
        <w:rPr>
          <w:rFonts w:hint="eastAsia"/>
        </w:rPr>
        <w:t>加水量应按灌浆料使用说明书的要求确定，并应按重量计量。</w:t>
      </w:r>
    </w:p>
    <w:p>
      <w:pPr>
        <w:pStyle w:val="175"/>
      </w:pPr>
      <w:r>
        <w:rPr>
          <w:rFonts w:hint="eastAsia"/>
        </w:rPr>
        <w:t>灌浆料拌和物应采用电动设备搅拌充分、均匀，并宜静置2min后使用。</w:t>
      </w:r>
    </w:p>
    <w:p>
      <w:pPr>
        <w:pStyle w:val="175"/>
      </w:pPr>
      <w:r>
        <w:rPr>
          <w:rFonts w:hint="eastAsia"/>
        </w:rPr>
        <w:t>搅拌完成后，不得再次加水。</w:t>
      </w:r>
    </w:p>
    <w:p>
      <w:pPr>
        <w:pStyle w:val="66"/>
        <w:spacing w:before="156" w:after="156"/>
      </w:pPr>
      <w:r>
        <w:rPr>
          <w:rFonts w:hint="eastAsia"/>
        </w:rPr>
        <w:t>灌浆料检查</w:t>
      </w:r>
    </w:p>
    <w:p>
      <w:pPr>
        <w:pStyle w:val="175"/>
        <w:numPr>
          <w:ilvl w:val="0"/>
          <w:numId w:val="74"/>
        </w:numPr>
      </w:pPr>
      <w:r>
        <w:rPr>
          <w:rFonts w:hint="eastAsia"/>
        </w:rPr>
        <w:t>灌浆操作全过程应有专职检验人员负责现场监督并及时形成施工检查记录。</w:t>
      </w:r>
    </w:p>
    <w:p>
      <w:pPr>
        <w:pStyle w:val="175"/>
      </w:pPr>
      <w:r>
        <w:rPr>
          <w:rFonts w:hint="eastAsia"/>
        </w:rPr>
        <w:t>灌浆施工时，环境温度应符合灌浆料产品使用说明书要求；环境温度低于5℃时不宜施工，低于0℃时不得施工；当环境温度高于30℃时，应采取降低灌浆料拌合物温度的措施。</w:t>
      </w:r>
    </w:p>
    <w:p>
      <w:pPr>
        <w:pStyle w:val="175"/>
      </w:pPr>
      <w:r>
        <w:rPr>
          <w:rFonts w:hint="eastAsia"/>
        </w:rPr>
        <w:t>灌浆料宜在加水后30min内用完。</w:t>
      </w:r>
    </w:p>
    <w:p>
      <w:pPr>
        <w:pStyle w:val="175"/>
      </w:pPr>
      <w:r>
        <w:rPr>
          <w:rFonts w:hint="eastAsia"/>
        </w:rPr>
        <w:t>散落的灌浆料拌和物不得二次使用，剩余的拌和物不得再次添加灌浆料、水后混合使用。</w:t>
      </w:r>
    </w:p>
    <w:p>
      <w:pPr>
        <w:pStyle w:val="66"/>
        <w:spacing w:before="156" w:after="156"/>
      </w:pPr>
      <w:r>
        <w:rPr>
          <w:rFonts w:hint="eastAsia"/>
        </w:rPr>
        <w:t>灌浆连接</w:t>
      </w:r>
    </w:p>
    <w:p>
      <w:pPr>
        <w:pStyle w:val="175"/>
        <w:numPr>
          <w:ilvl w:val="0"/>
          <w:numId w:val="75"/>
        </w:numPr>
      </w:pPr>
      <w:r>
        <w:rPr>
          <w:rFonts w:hint="eastAsia"/>
        </w:rPr>
        <w:t>对竖向钢筋套筒灌浆连接，灌浆作业应采用压浆法从灌浆套筒下灌浆孔注入，当灌浆料拌合物从构件其他灌浆孔、出浆孔流出后应及时封堵。</w:t>
      </w:r>
    </w:p>
    <w:p>
      <w:pPr>
        <w:pStyle w:val="175"/>
        <w:numPr>
          <w:ilvl w:val="0"/>
          <w:numId w:val="75"/>
        </w:numPr>
      </w:pPr>
      <w:r>
        <w:rPr>
          <w:rFonts w:hint="eastAsia"/>
        </w:rPr>
        <w:t>竖向钢筋套筒灌浆连接采用连通腔灌浆时，宜采用一点灌浆的方式；当一点灌浆遇到问题而需要改变灌浆点时，各灌浆套筒已封堵灌浆孔、出浆孔应重新打开，待灌浆料拌合物再次流出后进行封堵</w:t>
      </w:r>
    </w:p>
    <w:p>
      <w:pPr>
        <w:pStyle w:val="175"/>
        <w:numPr>
          <w:ilvl w:val="0"/>
          <w:numId w:val="75"/>
        </w:numPr>
      </w:pPr>
      <w:r>
        <w:rPr>
          <w:rFonts w:hint="eastAsia"/>
        </w:rPr>
        <w:t>对水平钢筋套筒灌浆连接，灌浆作业应采用压浆法从灌浆套筒灌浆孔注入，当灌浆套筒灌浆孔、出浆孔的连接管或连接头处的灌浆拌和物均高于灌浆套筒外表面最高点时应停止灌浆，并及时封堵灌浆孔、出浆孔。</w:t>
      </w:r>
    </w:p>
    <w:p>
      <w:pPr>
        <w:pStyle w:val="175"/>
        <w:numPr>
          <w:ilvl w:val="0"/>
          <w:numId w:val="75"/>
        </w:numPr>
      </w:pPr>
      <w:r>
        <w:rPr>
          <w:rFonts w:hint="eastAsia"/>
        </w:rPr>
        <w:t>对于未密实饱满的竖向连接灌浆套筒，当在灌浆料加水拌和30min内时，应首先选在灌浆孔补灌；当灌浆料拌合物已无法流动时，可从出浆孔补灌，并应采用手动设备结合细管压力灌浆。</w:t>
      </w:r>
    </w:p>
    <w:p>
      <w:pPr>
        <w:pStyle w:val="66"/>
        <w:spacing w:before="156" w:after="156"/>
      </w:pPr>
      <w:r>
        <w:rPr>
          <w:rFonts w:hint="eastAsia"/>
        </w:rPr>
        <w:t>灌浆后节点保护</w:t>
      </w:r>
    </w:p>
    <w:p>
      <w:pPr>
        <w:pStyle w:val="175"/>
        <w:numPr>
          <w:ilvl w:val="0"/>
          <w:numId w:val="76"/>
        </w:numPr>
      </w:pPr>
      <w:r>
        <w:rPr>
          <w:rFonts w:hint="eastAsia"/>
        </w:rPr>
        <w:t>灌浆施工完成后，应在灌浆料同条件养护试件抗压强度达到35MPa后，方可进行对接头有扰动的后续施工。</w:t>
      </w:r>
    </w:p>
    <w:p>
      <w:pPr>
        <w:pStyle w:val="175"/>
        <w:numPr>
          <w:ilvl w:val="0"/>
          <w:numId w:val="76"/>
        </w:numPr>
      </w:pPr>
      <w:r>
        <w:rPr>
          <w:rFonts w:hint="eastAsia"/>
        </w:rPr>
        <w:t>临时固定措施的拆除应在灌浆料抗压强度能确保结构达到后续施工承载要求后进行。</w:t>
      </w:r>
    </w:p>
    <w:p>
      <w:pPr>
        <w:pStyle w:val="106"/>
        <w:spacing w:before="156" w:after="156"/>
      </w:pPr>
      <w:bookmarkStart w:id="135" w:name="_Toc15148"/>
      <w:bookmarkStart w:id="136" w:name="_Toc76030267"/>
      <w:bookmarkStart w:id="137" w:name="_Toc76628818"/>
      <w:bookmarkStart w:id="138" w:name="_Toc76637901"/>
      <w:r>
        <w:rPr>
          <w:rFonts w:hint="eastAsia"/>
        </w:rPr>
        <w:t>现浇混凝土连接</w:t>
      </w:r>
      <w:bookmarkEnd w:id="135"/>
      <w:bookmarkEnd w:id="136"/>
      <w:r>
        <w:rPr>
          <w:rFonts w:hint="eastAsia"/>
        </w:rPr>
        <w:t>段施工</w:t>
      </w:r>
      <w:bookmarkEnd w:id="137"/>
      <w:bookmarkEnd w:id="138"/>
    </w:p>
    <w:p>
      <w:pPr>
        <w:pStyle w:val="66"/>
        <w:spacing w:before="156" w:after="156"/>
      </w:pPr>
      <w:r>
        <w:rPr>
          <w:rFonts w:hint="eastAsia"/>
        </w:rPr>
        <w:t>施工准备</w:t>
      </w:r>
    </w:p>
    <w:p>
      <w:pPr>
        <w:pStyle w:val="175"/>
        <w:numPr>
          <w:ilvl w:val="0"/>
          <w:numId w:val="77"/>
        </w:numPr>
      </w:pPr>
      <w:r>
        <w:rPr>
          <w:rFonts w:hint="eastAsia"/>
        </w:rPr>
        <w:t>物资准备：</w:t>
      </w:r>
    </w:p>
    <w:p>
      <w:pPr>
        <w:pStyle w:val="110"/>
      </w:pPr>
      <w:r>
        <w:rPr>
          <w:rFonts w:hint="eastAsia"/>
        </w:rPr>
        <w:t>钢筋、商品混凝土等。</w:t>
      </w:r>
    </w:p>
    <w:p>
      <w:pPr>
        <w:pStyle w:val="110"/>
      </w:pPr>
      <w:r>
        <w:rPr>
          <w:rFonts w:hint="eastAsia"/>
        </w:rPr>
        <w:t>模板、对拉螺杆等。</w:t>
      </w:r>
    </w:p>
    <w:p>
      <w:pPr>
        <w:pStyle w:val="175"/>
      </w:pPr>
      <w:r>
        <w:rPr>
          <w:rFonts w:hint="eastAsia"/>
        </w:rPr>
        <w:t>施工机具准备：</w:t>
      </w:r>
    </w:p>
    <w:p>
      <w:pPr>
        <w:pStyle w:val="110"/>
      </w:pPr>
      <w:r>
        <w:rPr>
          <w:rFonts w:hint="eastAsia"/>
        </w:rPr>
        <w:t>施工机械:混凝土泵、震动棒等。</w:t>
      </w:r>
    </w:p>
    <w:p>
      <w:pPr>
        <w:pStyle w:val="110"/>
      </w:pPr>
      <w:r>
        <w:rPr>
          <w:rFonts w:hint="eastAsia"/>
        </w:rPr>
        <w:t>工具用具:扳手等。</w:t>
      </w:r>
    </w:p>
    <w:p>
      <w:pPr>
        <w:pStyle w:val="66"/>
        <w:spacing w:before="156" w:after="156"/>
      </w:pPr>
      <w:r>
        <w:rPr>
          <w:rFonts w:hint="eastAsia"/>
        </w:rPr>
        <w:t>施工工艺流程：</w:t>
      </w:r>
    </w:p>
    <w:p>
      <w:pPr>
        <w:pStyle w:val="57"/>
        <w:ind w:firstLine="420"/>
      </w:pPr>
      <w:r>
        <w:rPr>
          <w:rFonts w:hint="eastAsia"/>
        </w:rPr>
        <w:t>隐蔽工程验收→模板与支架搭设→后浇混凝土施工→养护→模板拆除。</w:t>
      </w:r>
    </w:p>
    <w:p>
      <w:pPr>
        <w:pStyle w:val="66"/>
        <w:spacing w:before="156" w:after="156"/>
      </w:pPr>
      <w:r>
        <w:rPr>
          <w:rFonts w:hint="eastAsia"/>
        </w:rPr>
        <w:t>隐蔽工程验收</w:t>
      </w:r>
    </w:p>
    <w:p>
      <w:pPr>
        <w:pStyle w:val="57"/>
        <w:ind w:firstLine="420"/>
      </w:pPr>
      <w:r>
        <w:rPr>
          <w:rFonts w:hint="eastAsia"/>
        </w:rPr>
        <w:t>装配式混凝土结构的后浇混凝土部位在浇筑前应进行隐蔽工程验收。</w:t>
      </w:r>
    </w:p>
    <w:p>
      <w:pPr>
        <w:pStyle w:val="66"/>
        <w:spacing w:before="156" w:after="156"/>
      </w:pPr>
      <w:r>
        <w:rPr>
          <w:rFonts w:hint="eastAsia"/>
        </w:rPr>
        <w:t>模板与支架搭设</w:t>
      </w:r>
    </w:p>
    <w:p>
      <w:pPr>
        <w:pStyle w:val="175"/>
        <w:numPr>
          <w:ilvl w:val="0"/>
          <w:numId w:val="78"/>
        </w:numPr>
      </w:pPr>
      <w:r>
        <w:rPr>
          <w:rFonts w:hint="eastAsia"/>
        </w:rPr>
        <w:t>装配式混凝土结构现浇连接段施工宜采用工具式支架和定型模板。</w:t>
      </w:r>
    </w:p>
    <w:p>
      <w:pPr>
        <w:pStyle w:val="175"/>
      </w:pPr>
      <w:r>
        <w:rPr>
          <w:rFonts w:hint="eastAsia"/>
        </w:rPr>
        <w:t>模板应保证后浇混凝土部分形状、 尺寸和位置准确。</w:t>
      </w:r>
    </w:p>
    <w:p>
      <w:pPr>
        <w:pStyle w:val="175"/>
      </w:pPr>
      <w:r>
        <w:rPr>
          <w:rFonts w:hint="eastAsia"/>
        </w:rPr>
        <w:t>模板与预制构件接缝处应采取防止漏浆的措施，可粘贴密封条。</w:t>
      </w:r>
    </w:p>
    <w:p>
      <w:pPr>
        <w:pStyle w:val="66"/>
        <w:spacing w:before="156" w:after="156"/>
      </w:pPr>
      <w:r>
        <w:rPr>
          <w:rFonts w:hint="eastAsia"/>
        </w:rPr>
        <w:t>后浇混凝土施工</w:t>
      </w:r>
    </w:p>
    <w:p>
      <w:pPr>
        <w:pStyle w:val="175"/>
        <w:numPr>
          <w:ilvl w:val="0"/>
          <w:numId w:val="79"/>
        </w:numPr>
      </w:pPr>
      <w:r>
        <w:rPr>
          <w:rFonts w:hint="eastAsia"/>
        </w:rPr>
        <w:t>预制构件结合面疏松部分的混凝土应剔除并清理干净。</w:t>
      </w:r>
    </w:p>
    <w:p>
      <w:pPr>
        <w:pStyle w:val="175"/>
      </w:pPr>
      <w:r>
        <w:rPr>
          <w:rFonts w:hint="eastAsia"/>
        </w:rPr>
        <w:t>混凝土分层浇筑高度应符合国家现行有关标准的规定，应在底层混凝土初凝前将上一层混凝土浇筑完毕。</w:t>
      </w:r>
    </w:p>
    <w:p>
      <w:pPr>
        <w:pStyle w:val="175"/>
      </w:pPr>
      <w:r>
        <w:rPr>
          <w:rFonts w:hint="eastAsia"/>
        </w:rPr>
        <w:t>浇筑时应采取保证混凝土或砂浆浇筑密实的措施。</w:t>
      </w:r>
    </w:p>
    <w:p>
      <w:pPr>
        <w:pStyle w:val="175"/>
      </w:pPr>
      <w:r>
        <w:rPr>
          <w:rFonts w:hint="eastAsia"/>
        </w:rPr>
        <w:t>预制梁、柱混凝土强度等级不同时，预制梁柱节点区混凝土强度等级应符合设计要求。</w:t>
      </w:r>
    </w:p>
    <w:p>
      <w:pPr>
        <w:pStyle w:val="175"/>
      </w:pPr>
      <w:r>
        <w:rPr>
          <w:rFonts w:hint="eastAsia"/>
        </w:rPr>
        <w:t>混凝土浇筑应布料均衡，浇筑和振捣时，应对模板及支架进行观察和维护，发生异常情况应及时处理。</w:t>
      </w:r>
    </w:p>
    <w:p>
      <w:pPr>
        <w:pStyle w:val="175"/>
      </w:pPr>
      <w:r>
        <w:rPr>
          <w:rFonts w:hint="eastAsia"/>
        </w:rPr>
        <w:t>构件接缝混凝土浇筑和振捣应采取措施防止模板、相连接构件、钢筋、预埋件及其定位件移位。</w:t>
      </w:r>
    </w:p>
    <w:p>
      <w:pPr>
        <w:pStyle w:val="66"/>
        <w:spacing w:before="156" w:after="156"/>
      </w:pPr>
      <w:r>
        <w:rPr>
          <w:rFonts w:hint="eastAsia"/>
        </w:rPr>
        <w:t>养护及模板拆除</w:t>
      </w:r>
    </w:p>
    <w:p>
      <w:pPr>
        <w:pStyle w:val="57"/>
        <w:ind w:firstLine="420"/>
      </w:pPr>
      <w:r>
        <w:rPr>
          <w:rFonts w:hint="eastAsia"/>
        </w:rPr>
        <w:t>构件连接部位后浇混凝土强度达到设计要求后， 方可拆除临时支撑系统。拆模时的混凝土强度应符合现行国家标准《混凝土结构工程施工规范》GB 50666的有关规定和设计要求。</w:t>
      </w:r>
    </w:p>
    <w:p>
      <w:pPr>
        <w:pStyle w:val="106"/>
        <w:spacing w:before="156" w:after="156"/>
      </w:pPr>
      <w:bookmarkStart w:id="139" w:name="_Toc76030268"/>
      <w:bookmarkStart w:id="140" w:name="_Toc5234"/>
      <w:bookmarkStart w:id="141" w:name="_Toc76637902"/>
      <w:bookmarkStart w:id="142" w:name="_Toc76628819"/>
      <w:r>
        <w:rPr>
          <w:rFonts w:hint="eastAsia"/>
        </w:rPr>
        <w:t>叠合混凝土墙现浇</w:t>
      </w:r>
      <w:bookmarkEnd w:id="139"/>
      <w:r>
        <w:rPr>
          <w:rFonts w:hint="eastAsia"/>
        </w:rPr>
        <w:t>施工</w:t>
      </w:r>
      <w:bookmarkEnd w:id="140"/>
      <w:bookmarkEnd w:id="141"/>
      <w:bookmarkEnd w:id="142"/>
    </w:p>
    <w:p>
      <w:pPr>
        <w:pStyle w:val="66"/>
        <w:spacing w:before="156" w:after="156"/>
      </w:pPr>
      <w:r>
        <w:rPr>
          <w:rFonts w:hint="eastAsia"/>
        </w:rPr>
        <w:t>施工准备</w:t>
      </w:r>
    </w:p>
    <w:p>
      <w:pPr>
        <w:pStyle w:val="175"/>
      </w:pPr>
      <w:r>
        <w:rPr>
          <w:rFonts w:hint="eastAsia"/>
        </w:rPr>
        <w:t>物资准备：</w:t>
      </w:r>
    </w:p>
    <w:p>
      <w:pPr>
        <w:pStyle w:val="110"/>
      </w:pPr>
      <w:r>
        <w:rPr>
          <w:rFonts w:hint="eastAsia"/>
        </w:rPr>
        <w:t>钢筋、商品混凝土等。</w:t>
      </w:r>
    </w:p>
    <w:p>
      <w:pPr>
        <w:pStyle w:val="110"/>
      </w:pPr>
      <w:r>
        <w:rPr>
          <w:rFonts w:hint="eastAsia"/>
        </w:rPr>
        <w:t>模板、对拉螺杆等。</w:t>
      </w:r>
    </w:p>
    <w:p>
      <w:pPr>
        <w:pStyle w:val="175"/>
      </w:pPr>
      <w:r>
        <w:rPr>
          <w:rFonts w:hint="eastAsia"/>
        </w:rPr>
        <w:t>施工机具准备：</w:t>
      </w:r>
    </w:p>
    <w:p>
      <w:pPr>
        <w:pStyle w:val="110"/>
      </w:pPr>
      <w:r>
        <w:rPr>
          <w:rFonts w:hint="eastAsia"/>
        </w:rPr>
        <w:t>施工机械:混凝土泵、震动棒等。</w:t>
      </w:r>
    </w:p>
    <w:p>
      <w:pPr>
        <w:pStyle w:val="110"/>
      </w:pPr>
      <w:r>
        <w:rPr>
          <w:rFonts w:hint="eastAsia"/>
        </w:rPr>
        <w:t>工具用具:扳手等。</w:t>
      </w:r>
    </w:p>
    <w:p>
      <w:pPr>
        <w:pStyle w:val="66"/>
        <w:spacing w:before="156" w:after="156"/>
      </w:pPr>
      <w:r>
        <w:rPr>
          <w:rFonts w:hint="eastAsia"/>
        </w:rPr>
        <w:t>施工工艺流程</w:t>
      </w:r>
    </w:p>
    <w:p>
      <w:pPr>
        <w:ind w:firstLine="420" w:firstLineChars="200"/>
        <w:rPr>
          <w:rFonts w:ascii="Times New Roman" w:hAnsi="Times New Roman"/>
        </w:rPr>
      </w:pPr>
      <w:r>
        <w:rPr>
          <w:rFonts w:ascii="Times New Roman" w:hAnsi="Times New Roman"/>
        </w:rPr>
        <w:t>墙体湿润→底层浇筑→底层振捣→静置→中层浇筑→中层振捣→静置→上层浇筑→上层振捣→养护</w:t>
      </w:r>
      <w:r>
        <w:rPr>
          <w:rFonts w:hint="eastAsia" w:ascii="Times New Roman" w:hAnsi="Times New Roman"/>
        </w:rPr>
        <w:t>。</w:t>
      </w:r>
    </w:p>
    <w:p>
      <w:pPr>
        <w:pStyle w:val="66"/>
        <w:spacing w:before="156" w:after="156"/>
      </w:pPr>
      <w:r>
        <w:rPr>
          <w:rFonts w:hint="eastAsia"/>
        </w:rPr>
        <w:t>现浇节点钢筋绑扎</w:t>
      </w:r>
    </w:p>
    <w:p>
      <w:pPr>
        <w:pStyle w:val="175"/>
        <w:numPr>
          <w:ilvl w:val="0"/>
          <w:numId w:val="80"/>
        </w:numPr>
      </w:pPr>
      <w:r>
        <w:rPr>
          <w:rFonts w:hint="eastAsia"/>
        </w:rPr>
        <w:t>箍筋与竖筋需保持垂直，箍筋转角与主筋交点均要绑扎，主筋与箍筋非转角部分的相交点成梅花交错绑扎。箍筋的接头，即弯钩叠合处沿柱子竖筋交错布置。上部箍筋从纵向筋顶部套入、移动、绑扎。</w:t>
      </w:r>
    </w:p>
    <w:p>
      <w:pPr>
        <w:pStyle w:val="175"/>
      </w:pPr>
      <w:r>
        <w:rPr>
          <w:rFonts w:hint="eastAsia"/>
        </w:rPr>
        <w:t>水平连接筋分为U型水平连接筋与直条型水平连接筋。U型水平连接筋在箍筋及竖向筋绑扎完成后从外侧插入，与竖向筋及箍筋绑扎；直条型水平连接筋在一侧墙板安装完成后，根据排布间距放入叠合层内恰当位置，待相邻墙板吊装及边缘构件钢筋绑扎完成后，抽出水平连接筋，按设计锚固长度就位、绑扎。</w:t>
      </w:r>
    </w:p>
    <w:p>
      <w:pPr>
        <w:pStyle w:val="66"/>
        <w:spacing w:before="156" w:after="156"/>
      </w:pPr>
      <w:r>
        <w:rPr>
          <w:rFonts w:hint="eastAsia"/>
        </w:rPr>
        <w:t>混凝土浇筑</w:t>
      </w:r>
    </w:p>
    <w:p>
      <w:pPr>
        <w:pStyle w:val="175"/>
        <w:numPr>
          <w:ilvl w:val="0"/>
          <w:numId w:val="72"/>
        </w:numPr>
      </w:pPr>
      <w:bookmarkStart w:id="143" w:name="_Hlk74757603"/>
      <w:r>
        <w:rPr>
          <w:rFonts w:hint="eastAsia"/>
        </w:rPr>
        <w:t>混凝土浇筑应布料均匀，构件接缝混凝土浇筑和振捣应采取措施防止模板、钢筋、预埋件移位。预制构件节点接缝处混凝土必须振捣密实。</w:t>
      </w:r>
    </w:p>
    <w:p>
      <w:pPr>
        <w:pStyle w:val="175"/>
        <w:numPr>
          <w:ilvl w:val="0"/>
          <w:numId w:val="72"/>
        </w:numPr>
      </w:pPr>
      <w:r>
        <w:rPr>
          <w:rFonts w:hint="eastAsia"/>
        </w:rPr>
        <w:t>叠合墙板后浇混凝土应采取有效措施，严格控制浇筑速度，保证空腔内混凝土浇捣密实，并应符合下列规定：</w:t>
      </w:r>
    </w:p>
    <w:p>
      <w:pPr>
        <w:pStyle w:val="110"/>
      </w:pPr>
      <w:r>
        <w:rPr>
          <w:rFonts w:hint="eastAsia"/>
        </w:rPr>
        <w:t>混凝土浇筑前，叠合墙板构件内部空腔必须清理干净，在混凝土浇筑之前叠合墙体内表面必须用水充分湿润且不得积水；</w:t>
      </w:r>
    </w:p>
    <w:p>
      <w:pPr>
        <w:pStyle w:val="110"/>
      </w:pPr>
      <w:r>
        <w:rPr>
          <w:rFonts w:hint="eastAsia"/>
        </w:rPr>
        <w:t>现场浇筑混凝土性能应符合设计与施工要求，叠合墙空腔内后浇混凝土应符合国家现行相关标准的规定；</w:t>
      </w:r>
    </w:p>
    <w:p>
      <w:pPr>
        <w:pStyle w:val="110"/>
      </w:pPr>
      <w:r>
        <w:rPr>
          <w:rFonts w:hint="eastAsia"/>
        </w:rPr>
        <w:t>浇筑时保持水平分层浇筑，单次连续浇筑高度不应超过800mm，浇筑速度不大于800mm/h。振捣宜选用小直径高频振捣棒；</w:t>
      </w:r>
    </w:p>
    <w:p>
      <w:pPr>
        <w:pStyle w:val="110"/>
      </w:pPr>
      <w:r>
        <w:rPr>
          <w:rFonts w:hint="eastAsia"/>
        </w:rPr>
        <w:t>混凝土振捣宜选用小直径高频振捣棒，振捣完成后，宜静置1h后方可进行下一层混凝土浇筑</w:t>
      </w:r>
      <w:bookmarkEnd w:id="143"/>
      <w:r>
        <w:rPr>
          <w:rFonts w:hint="eastAsia"/>
        </w:rPr>
        <w:t>。</w:t>
      </w:r>
    </w:p>
    <w:p>
      <w:pPr>
        <w:pStyle w:val="66"/>
        <w:spacing w:before="156" w:after="156"/>
      </w:pPr>
      <w:r>
        <w:rPr>
          <w:rFonts w:hint="eastAsia"/>
        </w:rPr>
        <w:t>养护</w:t>
      </w:r>
    </w:p>
    <w:p>
      <w:pPr>
        <w:pStyle w:val="57"/>
        <w:ind w:firstLine="420"/>
      </w:pPr>
      <w:r>
        <w:rPr>
          <w:rFonts w:hint="eastAsia"/>
        </w:rPr>
        <w:t>混凝土浇筑完成后应采取洒水、覆膜、喷涂养护剂等养护方式，养护时间应符合国家现行标准的规定。</w:t>
      </w:r>
    </w:p>
    <w:p>
      <w:pPr>
        <w:pStyle w:val="106"/>
        <w:spacing w:before="156" w:after="156"/>
      </w:pPr>
      <w:bookmarkStart w:id="144" w:name="_Toc76637903"/>
      <w:bookmarkStart w:id="145" w:name="_Toc9759"/>
      <w:bookmarkStart w:id="146" w:name="_Toc76628820"/>
      <w:bookmarkStart w:id="147" w:name="_Toc76030270"/>
      <w:r>
        <w:rPr>
          <w:rFonts w:hint="eastAsia"/>
        </w:rPr>
        <w:t>密封胶嵌缝施工</w:t>
      </w:r>
      <w:bookmarkEnd w:id="144"/>
      <w:bookmarkEnd w:id="145"/>
      <w:bookmarkEnd w:id="146"/>
    </w:p>
    <w:p>
      <w:pPr>
        <w:pStyle w:val="66"/>
        <w:spacing w:before="156" w:after="156"/>
      </w:pPr>
      <w:r>
        <w:rPr>
          <w:rFonts w:hint="eastAsia"/>
        </w:rPr>
        <w:t>施工准备</w:t>
      </w:r>
    </w:p>
    <w:p>
      <w:pPr>
        <w:pStyle w:val="175"/>
        <w:numPr>
          <w:ilvl w:val="0"/>
          <w:numId w:val="81"/>
        </w:numPr>
      </w:pPr>
      <w:r>
        <w:rPr>
          <w:rFonts w:hint="eastAsia"/>
        </w:rPr>
        <w:t>物资准备：</w:t>
      </w:r>
    </w:p>
    <w:p>
      <w:pPr>
        <w:pStyle w:val="110"/>
      </w:pPr>
      <w:r>
        <w:rPr>
          <w:rFonts w:hint="eastAsia"/>
        </w:rPr>
        <w:t>防水密封胶、PE棒或聚乙烯棒、聚苯板等。</w:t>
      </w:r>
    </w:p>
    <w:p>
      <w:pPr>
        <w:pStyle w:val="110"/>
      </w:pPr>
      <w:r>
        <w:rPr>
          <w:rFonts w:hint="eastAsia"/>
        </w:rPr>
        <w:t>美纹纸等。</w:t>
      </w:r>
    </w:p>
    <w:p>
      <w:pPr>
        <w:pStyle w:val="175"/>
      </w:pPr>
      <w:r>
        <w:rPr>
          <w:rFonts w:hint="eastAsia"/>
        </w:rPr>
        <w:t>施工机具准备：</w:t>
      </w:r>
    </w:p>
    <w:p>
      <w:pPr>
        <w:pStyle w:val="110"/>
      </w:pPr>
      <w:r>
        <w:rPr>
          <w:rFonts w:hint="eastAsia"/>
        </w:rPr>
        <w:t>施工机械:手持切割机、角磨机等。</w:t>
      </w:r>
    </w:p>
    <w:p>
      <w:pPr>
        <w:pStyle w:val="110"/>
      </w:pPr>
      <w:r>
        <w:rPr>
          <w:rFonts w:hint="eastAsia"/>
        </w:rPr>
        <w:t>工具用具:打胶枪、钢刷、毛刷、压舌棒、刮片等。</w:t>
      </w:r>
    </w:p>
    <w:p>
      <w:pPr>
        <w:pStyle w:val="66"/>
        <w:spacing w:before="156" w:after="156"/>
      </w:pPr>
      <w:r>
        <w:rPr>
          <w:rFonts w:hint="eastAsia"/>
        </w:rPr>
        <w:t>施工工艺流程</w:t>
      </w:r>
    </w:p>
    <w:p>
      <w:pPr>
        <w:ind w:firstLine="420" w:firstLineChars="200"/>
        <w:rPr>
          <w:rFonts w:ascii="Times New Roman" w:hAnsi="Times New Roman"/>
        </w:rPr>
      </w:pPr>
      <w:r>
        <w:rPr>
          <w:rFonts w:ascii="Times New Roman" w:hAnsi="Times New Roman"/>
        </w:rPr>
        <w:t>墙体</w:t>
      </w:r>
      <w:r>
        <w:rPr>
          <w:rFonts w:hint="eastAsia" w:ascii="Times New Roman" w:hAnsi="Times New Roman"/>
        </w:rPr>
        <w:t>接缝处理</w:t>
      </w:r>
      <w:r>
        <w:rPr>
          <w:rFonts w:ascii="Times New Roman" w:hAnsi="Times New Roman"/>
        </w:rPr>
        <w:t>→</w:t>
      </w:r>
      <w:r>
        <w:rPr>
          <w:rFonts w:ascii="FZHTJW--GB1-0" w:hAnsi="FZHTJW--GB1-0" w:eastAsia="FZHTJW--GB1-0" w:cs="FZHTJW--GB1-0"/>
          <w:color w:val="231F20"/>
          <w:kern w:val="0"/>
          <w:lang w:bidi="ar"/>
        </w:rPr>
        <w:t>背衬材料和美纹纸胶带</w:t>
      </w:r>
      <w:r>
        <w:rPr>
          <w:rFonts w:ascii="Times New Roman" w:hAnsi="Times New Roman"/>
        </w:rPr>
        <w:t>→</w:t>
      </w:r>
      <w:r>
        <w:rPr>
          <w:rFonts w:hint="eastAsia" w:ascii="Times New Roman" w:hAnsi="Times New Roman"/>
        </w:rPr>
        <w:t>施工底涂</w:t>
      </w:r>
      <w:r>
        <w:rPr>
          <w:rFonts w:ascii="Times New Roman" w:hAnsi="Times New Roman"/>
        </w:rPr>
        <w:t>→</w:t>
      </w:r>
      <w:r>
        <w:rPr>
          <w:rFonts w:hint="eastAsia" w:ascii="Times New Roman" w:hAnsi="Times New Roman"/>
        </w:rPr>
        <w:t>施工密封胶。</w:t>
      </w:r>
    </w:p>
    <w:p>
      <w:pPr>
        <w:pStyle w:val="66"/>
        <w:spacing w:before="156" w:after="156"/>
      </w:pPr>
      <w:r>
        <w:rPr>
          <w:rFonts w:hint="eastAsia"/>
        </w:rPr>
        <w:t>密封材料</w:t>
      </w:r>
      <w:r>
        <w:rPr>
          <w:rFonts w:hint="eastAsia"/>
          <w:lang w:val="en-US" w:eastAsia="zh-CN"/>
        </w:rPr>
        <w:t>要求</w:t>
      </w:r>
    </w:p>
    <w:p>
      <w:pPr>
        <w:pStyle w:val="175"/>
        <w:numPr>
          <w:ilvl w:val="0"/>
          <w:numId w:val="82"/>
        </w:numPr>
      </w:pPr>
      <w:r>
        <w:rPr>
          <w:rFonts w:hint="eastAsia"/>
        </w:rPr>
        <w:t>密封胶应与混凝土具有相容性，以及规定的抗剪切和伸缩变形能力，密封胶尚应具有防霉、防水、防火、耐候等性能；</w:t>
      </w:r>
    </w:p>
    <w:p>
      <w:pPr>
        <w:pStyle w:val="175"/>
      </w:pPr>
      <w:r>
        <w:rPr>
          <w:rFonts w:hint="eastAsia"/>
        </w:rPr>
        <w:t>接缝密封胶材料应与外墙板具有相容性；外墙板在正常使用下，接缝处的弹性密封材料不应失效；</w:t>
      </w:r>
    </w:p>
    <w:p>
      <w:pPr>
        <w:pStyle w:val="175"/>
      </w:pPr>
      <w:r>
        <w:rPr>
          <w:rFonts w:hint="eastAsia"/>
        </w:rPr>
        <w:t>硅酮、聚氨酯、聚硫建筑密封胶应分别符合国家现行标准《硅酮建筑密封胶》GB/T 14683、《聚氨酯建筑密封胶》JC/T 482、《聚硫建筑密封胶》JC/T 483的规定。</w:t>
      </w:r>
    </w:p>
    <w:p>
      <w:pPr>
        <w:pStyle w:val="66"/>
        <w:spacing w:before="156" w:after="156"/>
        <w:rPr>
          <w:rFonts w:hint="eastAsia"/>
          <w:lang w:val="en-US" w:eastAsia="zh-CN"/>
        </w:rPr>
      </w:pPr>
      <w:r>
        <w:rPr>
          <w:rFonts w:hint="eastAsia"/>
          <w:lang w:val="en-US" w:eastAsia="zh-CN"/>
        </w:rPr>
        <w:t>接缝处理</w:t>
      </w:r>
    </w:p>
    <w:p>
      <w:pPr>
        <w:pStyle w:val="175"/>
        <w:numPr>
          <w:ilvl w:val="0"/>
          <w:numId w:val="83"/>
        </w:numPr>
        <w:jc w:val="left"/>
      </w:pPr>
      <w:r>
        <w:rPr>
          <w:rFonts w:hint="eastAsia"/>
        </w:rPr>
        <w:t>施工前，应将板缝空腔清理干净。</w:t>
      </w:r>
      <w:r>
        <w:rPr>
          <w:rFonts w:hint="eastAsia" w:hAnsi="宋体" w:cs="宋体"/>
          <w:color w:val="231F20"/>
          <w:szCs w:val="21"/>
          <w:lang w:bidi="ar"/>
        </w:rPr>
        <w:t>通过刮刀或钢丝刷去除油脂、灰尘、油漆、水泥浮浆和其他不利于粘接的物质；用毛刷去除接缝处残留的灰尘等杂质，再用溶剂对接缝进行清洗。</w:t>
      </w:r>
    </w:p>
    <w:p>
      <w:pPr>
        <w:pStyle w:val="175"/>
        <w:numPr>
          <w:ilvl w:val="0"/>
          <w:numId w:val="83"/>
        </w:numPr>
        <w:jc w:val="left"/>
      </w:pPr>
      <w:r>
        <w:rPr>
          <w:rFonts w:hint="eastAsia" w:hAnsi="宋体" w:cs="宋体"/>
          <w:color w:val="231F20"/>
          <w:szCs w:val="21"/>
          <w:lang w:bidi="ar"/>
        </w:rPr>
        <w:t>构件连接缝宽度小于10mm的，应采用切割机扩大缝宽。</w:t>
      </w:r>
    </w:p>
    <w:p>
      <w:pPr>
        <w:pStyle w:val="175"/>
        <w:numPr>
          <w:ilvl w:val="0"/>
          <w:numId w:val="83"/>
        </w:numPr>
        <w:jc w:val="left"/>
      </w:pPr>
      <w:r>
        <w:rPr>
          <w:rFonts w:hint="eastAsia" w:hAnsi="宋体" w:cs="宋体"/>
          <w:color w:val="231F20"/>
          <w:szCs w:val="21"/>
          <w:lang w:bidi="ar"/>
        </w:rPr>
        <w:t>缝宽大的应采用密封胶分层施工打，禁止采用砂浆修补。</w:t>
      </w:r>
    </w:p>
    <w:p>
      <w:pPr>
        <w:pStyle w:val="66"/>
        <w:spacing w:before="156" w:after="156"/>
        <w:rPr>
          <w:rFonts w:hint="eastAsia"/>
          <w:lang w:val="en-US" w:eastAsia="zh-CN"/>
        </w:rPr>
      </w:pPr>
      <w:r>
        <w:rPr>
          <w:rFonts w:hint="eastAsia"/>
          <w:lang w:val="en-US" w:eastAsia="zh-CN"/>
        </w:rPr>
        <w:t>背衬材料和美纹纸胶带</w:t>
      </w:r>
    </w:p>
    <w:p>
      <w:pPr>
        <w:pStyle w:val="175"/>
        <w:numPr>
          <w:ilvl w:val="0"/>
          <w:numId w:val="84"/>
        </w:numPr>
        <w:jc w:val="left"/>
      </w:pPr>
      <w:r>
        <w:rPr>
          <w:rFonts w:hint="eastAsia"/>
        </w:rPr>
        <w:t>接缝内应按设计要求填塞背衬材料，</w:t>
      </w:r>
      <w:r>
        <w:rPr>
          <w:rFonts w:hint="eastAsia" w:hAnsi="宋体" w:cs="宋体"/>
          <w:color w:val="231F20"/>
          <w:szCs w:val="21"/>
          <w:lang w:bidi="ar"/>
        </w:rPr>
        <w:t>使用柔软闭孔的圆形或扁平的聚乙烯条作为背衬材料，控制密封胶的施胶深度和形状；实际宽深比控制在2∶1 或1∶1。</w:t>
      </w:r>
    </w:p>
    <w:p>
      <w:pPr>
        <w:pStyle w:val="175"/>
        <w:numPr>
          <w:ilvl w:val="0"/>
          <w:numId w:val="84"/>
        </w:numPr>
        <w:jc w:val="left"/>
      </w:pPr>
      <w:r>
        <w:rPr>
          <w:rFonts w:hint="eastAsia" w:hAnsi="宋体" w:cs="宋体"/>
          <w:color w:val="231F20"/>
          <w:szCs w:val="21"/>
          <w:lang w:bidi="ar"/>
        </w:rPr>
        <w:t>美纹纸胶带遮盖接缝边缘时可以适当留出1 mm左右的间隙。</w:t>
      </w:r>
    </w:p>
    <w:p>
      <w:pPr>
        <w:pStyle w:val="66"/>
        <w:tabs>
          <w:tab w:val="left" w:pos="851"/>
        </w:tabs>
        <w:spacing w:before="156" w:after="156"/>
      </w:pPr>
      <w:r>
        <w:rPr>
          <w:rFonts w:hint="eastAsia"/>
        </w:rPr>
        <w:t>施工底涂</w:t>
      </w:r>
    </w:p>
    <w:p>
      <w:pPr>
        <w:pStyle w:val="175"/>
        <w:numPr>
          <w:ilvl w:val="0"/>
          <w:numId w:val="85"/>
        </w:numPr>
      </w:pPr>
      <w:r>
        <w:rPr>
          <w:rFonts w:hint="eastAsia"/>
        </w:rPr>
        <w:t>施工底涂前要确保背衬材料已放置好，美纹纸胶带已贴好。</w:t>
      </w:r>
    </w:p>
    <w:p>
      <w:pPr>
        <w:pStyle w:val="175"/>
        <w:numPr>
          <w:ilvl w:val="0"/>
          <w:numId w:val="85"/>
        </w:numPr>
      </w:pPr>
      <w:r>
        <w:rPr>
          <w:rFonts w:hint="eastAsia"/>
        </w:rPr>
        <w:t>使用毛刷或其他合适的工具刷一层底涂，避免漏涂。</w:t>
      </w:r>
    </w:p>
    <w:p>
      <w:pPr>
        <w:pStyle w:val="175"/>
        <w:numPr>
          <w:ilvl w:val="0"/>
          <w:numId w:val="85"/>
        </w:numPr>
      </w:pPr>
      <w:r>
        <w:rPr>
          <w:rFonts w:hint="eastAsia"/>
        </w:rPr>
        <w:t>在低于15 ℃条件下晾置10～20min，高于15℃晾置5～10min，要保证打胶前底涂已完全干燥。</w:t>
      </w:r>
    </w:p>
    <w:p>
      <w:pPr>
        <w:pStyle w:val="66"/>
        <w:tabs>
          <w:tab w:val="left" w:pos="851"/>
        </w:tabs>
        <w:spacing w:before="156" w:after="156"/>
      </w:pPr>
      <w:r>
        <w:rPr>
          <w:rFonts w:hint="eastAsia"/>
        </w:rPr>
        <w:t>密封胶施工</w:t>
      </w:r>
    </w:p>
    <w:p>
      <w:pPr>
        <w:pStyle w:val="175"/>
        <w:numPr>
          <w:ilvl w:val="0"/>
          <w:numId w:val="86"/>
        </w:numPr>
      </w:pPr>
      <w:r>
        <w:rPr>
          <w:rFonts w:hint="eastAsia"/>
        </w:rPr>
        <w:t>施工密封胶前根据填缝的宽度，45°角切割胶嘴至合适的口径（建议口径为2～3 mm），将胶体置入胶枪中。</w:t>
      </w:r>
    </w:p>
    <w:p>
      <w:pPr>
        <w:pStyle w:val="175"/>
        <w:numPr>
          <w:ilvl w:val="0"/>
          <w:numId w:val="86"/>
        </w:numPr>
      </w:pPr>
      <w:r>
        <w:rPr>
          <w:rFonts w:hint="eastAsia"/>
        </w:rPr>
        <w:t>施打时将胶嘴探到接缝底部，保持合适的速度，连续打足够的密封胶并有少许外溢，避免胶体和胶条下产生空腔。</w:t>
      </w:r>
    </w:p>
    <w:p>
      <w:pPr>
        <w:pStyle w:val="175"/>
        <w:numPr>
          <w:ilvl w:val="0"/>
          <w:numId w:val="86"/>
        </w:numPr>
      </w:pPr>
      <w:r>
        <w:rPr>
          <w:rFonts w:hint="eastAsia"/>
        </w:rPr>
        <w:t>确保密封胶与粘接面结合良好，并保证设计好的宽深比。</w:t>
      </w:r>
    </w:p>
    <w:p>
      <w:pPr>
        <w:pStyle w:val="175"/>
        <w:numPr>
          <w:ilvl w:val="0"/>
          <w:numId w:val="86"/>
        </w:numPr>
      </w:pPr>
      <w:r>
        <w:rPr>
          <w:rFonts w:hint="eastAsia"/>
        </w:rPr>
        <w:t>当接缝大于30mm或为弧形缝底时，宜分2步施工，即打一半之后用刮刀或者刮片下压密封胶，然后再打另一半。</w:t>
      </w:r>
    </w:p>
    <w:p>
      <w:pPr>
        <w:pStyle w:val="175"/>
        <w:numPr>
          <w:ilvl w:val="0"/>
          <w:numId w:val="86"/>
        </w:numPr>
      </w:pPr>
      <w:r>
        <w:rPr>
          <w:rFonts w:hint="eastAsia"/>
        </w:rPr>
        <w:t>密封胶施工完成后，用压舌棒、刮片或其他工具将密封胶刮平压实，禁止来回反复刮胶动作，保持刮胶工具干净。</w:t>
      </w:r>
    </w:p>
    <w:p>
      <w:pPr>
        <w:pStyle w:val="175"/>
        <w:numPr>
          <w:ilvl w:val="0"/>
          <w:numId w:val="86"/>
        </w:numPr>
      </w:pPr>
      <w:r>
        <w:rPr>
          <w:rFonts w:hint="eastAsia"/>
        </w:rPr>
        <w:t>必要时可以用抹刀修饰出平整漂亮的凹型边缘。</w:t>
      </w:r>
    </w:p>
    <w:p>
      <w:pPr>
        <w:pStyle w:val="175"/>
        <w:numPr>
          <w:ilvl w:val="0"/>
          <w:numId w:val="86"/>
        </w:numPr>
      </w:pPr>
      <w:r>
        <w:rPr>
          <w:rFonts w:hint="eastAsia"/>
        </w:rPr>
        <w:t>美纹纸胶带必须在密封胶表干之前揭下。</w:t>
      </w:r>
    </w:p>
    <w:bookmarkEnd w:id="147"/>
    <w:p>
      <w:pPr>
        <w:pStyle w:val="105"/>
        <w:spacing w:before="312" w:after="312"/>
      </w:pPr>
      <w:bookmarkStart w:id="148" w:name="_Toc27017"/>
      <w:bookmarkStart w:id="149" w:name="_Toc76628821"/>
      <w:bookmarkStart w:id="150" w:name="_Toc76030271"/>
      <w:bookmarkStart w:id="151" w:name="_Toc76637904"/>
      <w:bookmarkStart w:id="152" w:name="_Toc76030278"/>
      <w:r>
        <w:rPr>
          <w:rFonts w:hint="eastAsia"/>
        </w:rPr>
        <w:t>质量控制</w:t>
      </w:r>
      <w:r>
        <w:rPr>
          <w:rFonts w:hint="eastAsia"/>
          <w:lang w:val="en-US" w:eastAsia="zh-CN"/>
        </w:rPr>
        <w:t>与</w:t>
      </w:r>
      <w:r>
        <w:rPr>
          <w:rFonts w:hint="eastAsia"/>
        </w:rPr>
        <w:t>验收</w:t>
      </w:r>
      <w:bookmarkEnd w:id="148"/>
      <w:bookmarkEnd w:id="149"/>
      <w:bookmarkEnd w:id="150"/>
      <w:bookmarkEnd w:id="151"/>
      <w:bookmarkStart w:id="153" w:name="_Toc76030272"/>
    </w:p>
    <w:p>
      <w:pPr>
        <w:pStyle w:val="106"/>
        <w:spacing w:before="156" w:after="156"/>
      </w:pPr>
      <w:bookmarkStart w:id="154" w:name="_Toc76628822"/>
      <w:bookmarkStart w:id="155" w:name="_Toc25383"/>
      <w:bookmarkStart w:id="156" w:name="_Toc76637905"/>
      <w:r>
        <w:rPr>
          <w:rFonts w:hint="eastAsia"/>
        </w:rPr>
        <w:t>构件进场及验收</w:t>
      </w:r>
      <w:bookmarkEnd w:id="153"/>
      <w:bookmarkEnd w:id="154"/>
      <w:bookmarkEnd w:id="155"/>
      <w:bookmarkEnd w:id="156"/>
    </w:p>
    <w:p>
      <w:pPr>
        <w:pStyle w:val="66"/>
        <w:numPr>
          <w:ilvl w:val="3"/>
          <w:numId w:val="87"/>
        </w:numPr>
        <w:spacing w:before="156" w:after="156"/>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构件入场时应进行质量检查验收，应检查构件外观质量，复核质量证明文件，严禁使用有严重缺陷的构件。</w:t>
      </w:r>
    </w:p>
    <w:p>
      <w:pPr>
        <w:pStyle w:val="66"/>
        <w:numPr>
          <w:ilvl w:val="3"/>
          <w:numId w:val="87"/>
        </w:numPr>
        <w:spacing w:before="156" w:after="156"/>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预制构件进入施工现场时，监理工程师必须检查质量证明文件和表面标识。</w:t>
      </w:r>
    </w:p>
    <w:p>
      <w:pPr>
        <w:pStyle w:val="66"/>
        <w:numPr>
          <w:ilvl w:val="3"/>
          <w:numId w:val="87"/>
        </w:numPr>
        <w:spacing w:before="156" w:after="156"/>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预制构件的质量、标识应符合本标准及国家现行相关标准的有关要求。对于检验不合格的预制构件监理工程师应及时安排问题构件进行退场。</w:t>
      </w:r>
    </w:p>
    <w:p>
      <w:pPr>
        <w:pStyle w:val="66"/>
        <w:numPr>
          <w:ilvl w:val="3"/>
          <w:numId w:val="87"/>
        </w:numPr>
        <w:spacing w:before="156" w:after="156"/>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预制构件的外观质量不应有严重缺陷，且不得有影响结构性能和使用功能的尺寸偏差。对超过尺寸允许偏差且影响结构性能和安装、使用功能的部位，应按技术处理方案进行处理，并重新检查验收。</w:t>
      </w:r>
    </w:p>
    <w:p>
      <w:pPr>
        <w:pStyle w:val="106"/>
        <w:spacing w:before="156" w:after="156"/>
      </w:pPr>
      <w:bookmarkStart w:id="157" w:name="_Toc29506"/>
      <w:bookmarkStart w:id="158" w:name="_Toc76628823"/>
      <w:bookmarkStart w:id="159" w:name="_Toc76637906"/>
      <w:bookmarkStart w:id="160" w:name="_Toc76030273"/>
      <w:r>
        <w:rPr>
          <w:rFonts w:hint="eastAsia"/>
        </w:rPr>
        <w:t>构件施工质量控制及验收</w:t>
      </w:r>
      <w:bookmarkEnd w:id="157"/>
      <w:bookmarkEnd w:id="158"/>
      <w:bookmarkEnd w:id="159"/>
      <w:bookmarkEnd w:id="160"/>
    </w:p>
    <w:p>
      <w:pPr>
        <w:pStyle w:val="66"/>
        <w:numPr>
          <w:ilvl w:val="3"/>
          <w:numId w:val="87"/>
        </w:numPr>
        <w:spacing w:before="156" w:after="156"/>
      </w:pPr>
      <w:r>
        <w:rPr>
          <w:rFonts w:hint="eastAsia"/>
        </w:rPr>
        <w:t>构件安装施工的允许偏差应符合国家现行有关标准的规定。</w:t>
      </w:r>
    </w:p>
    <w:p>
      <w:pPr>
        <w:pStyle w:val="175"/>
        <w:numPr>
          <w:ilvl w:val="0"/>
          <w:numId w:val="88"/>
        </w:numPr>
      </w:pPr>
      <w:r>
        <w:rPr>
          <w:rFonts w:hint="eastAsia"/>
        </w:rPr>
        <w:t>检查数量：按楼层、结构缝或施工段划分检验批。同一检验批内，对梁、柱，应抽查构件数量的10%，且不少于3 件；墙、板构件应按有代表性的自然间抽查10%，且不少于3间；对大空间结构，墙可按相邻轴线间高度5m左右划分检查面，板可按纵、横轴线划分检查面，抽查10%，且均不少于3面。</w:t>
      </w:r>
    </w:p>
    <w:p>
      <w:pPr>
        <w:pStyle w:val="175"/>
      </w:pPr>
      <w:r>
        <w:rPr>
          <w:rFonts w:hint="eastAsia"/>
        </w:rPr>
        <w:t>检验方法：观察及尺量检查。</w:t>
      </w:r>
    </w:p>
    <w:p>
      <w:pPr>
        <w:pStyle w:val="66"/>
        <w:numPr>
          <w:ilvl w:val="3"/>
          <w:numId w:val="87"/>
        </w:numPr>
        <w:spacing w:before="156" w:after="156"/>
      </w:pPr>
      <w:r>
        <w:rPr>
          <w:rFonts w:hint="eastAsia"/>
        </w:rPr>
        <w:t>预制构件临时固定措施应符合设计、专项施工方案要求及国家现行有关标准的规定。</w:t>
      </w:r>
    </w:p>
    <w:p>
      <w:pPr>
        <w:pStyle w:val="175"/>
        <w:numPr>
          <w:ilvl w:val="0"/>
          <w:numId w:val="89"/>
        </w:numPr>
      </w:pPr>
      <w:r>
        <w:rPr>
          <w:rFonts w:hint="eastAsia"/>
        </w:rPr>
        <w:t>检查数量：全数检查。</w:t>
      </w:r>
    </w:p>
    <w:p>
      <w:pPr>
        <w:pStyle w:val="175"/>
      </w:pPr>
      <w:r>
        <w:rPr>
          <w:rFonts w:hint="eastAsia"/>
        </w:rPr>
        <w:t>检验方法：观察检查，检查施工方案、施工记录或设计文件。</w:t>
      </w:r>
    </w:p>
    <w:p>
      <w:pPr>
        <w:pStyle w:val="66"/>
        <w:numPr>
          <w:ilvl w:val="3"/>
          <w:numId w:val="87"/>
        </w:numPr>
        <w:spacing w:before="156" w:after="156"/>
      </w:pPr>
      <w:r>
        <w:rPr>
          <w:rFonts w:hint="eastAsia"/>
        </w:rPr>
        <w:t>装配式结构采用后浇混凝土连接时，构件连接处后浇混凝土的强度应符合设计要求。</w:t>
      </w:r>
    </w:p>
    <w:p>
      <w:pPr>
        <w:pStyle w:val="175"/>
        <w:numPr>
          <w:ilvl w:val="0"/>
          <w:numId w:val="90"/>
        </w:numPr>
      </w:pPr>
      <w:r>
        <w:rPr>
          <w:rFonts w:hint="eastAsia"/>
        </w:rPr>
        <w:t>检查数量：按批检验。</w:t>
      </w:r>
    </w:p>
    <w:p>
      <w:pPr>
        <w:pStyle w:val="175"/>
      </w:pPr>
      <w:r>
        <w:rPr>
          <w:rFonts w:hint="eastAsia"/>
        </w:rPr>
        <w:t>检验方法：应符合现行国家标准《混凝土强度检验评定标准》GB/T 50107的有关规定。</w:t>
      </w:r>
    </w:p>
    <w:p>
      <w:pPr>
        <w:pStyle w:val="66"/>
        <w:numPr>
          <w:ilvl w:val="3"/>
          <w:numId w:val="87"/>
        </w:numPr>
        <w:spacing w:before="156" w:after="156"/>
      </w:pPr>
      <w:r>
        <w:rPr>
          <w:rFonts w:hint="eastAsia"/>
        </w:rPr>
        <w:t>钢筋采用套筒灌浆连接连接时，灌浆应饱满、密实，所有出浆口应出浆。</w:t>
      </w:r>
    </w:p>
    <w:p>
      <w:pPr>
        <w:pStyle w:val="175"/>
        <w:numPr>
          <w:ilvl w:val="0"/>
          <w:numId w:val="91"/>
        </w:numPr>
      </w:pPr>
      <w:r>
        <w:rPr>
          <w:rFonts w:hint="eastAsia"/>
        </w:rPr>
        <w:t>检查数量：全数检查。</w:t>
      </w:r>
    </w:p>
    <w:p>
      <w:pPr>
        <w:pStyle w:val="175"/>
      </w:pPr>
      <w:r>
        <w:rPr>
          <w:rFonts w:hint="eastAsia"/>
        </w:rPr>
        <w:t>检验方法：检查灌浆施工质量检查记录、有关检验报告。</w:t>
      </w:r>
    </w:p>
    <w:p>
      <w:pPr>
        <w:pStyle w:val="66"/>
        <w:numPr>
          <w:ilvl w:val="3"/>
          <w:numId w:val="87"/>
        </w:numPr>
        <w:spacing w:before="156" w:after="156"/>
      </w:pPr>
      <w:r>
        <w:rPr>
          <w:rFonts w:hint="eastAsia"/>
        </w:rPr>
        <w:t>灌浆料的质量应符合国家现行标准《水泥基灌浆材料应用技术规程》GB/T 50448、《钢筋连接用套筒灌浆料》JG/T 408的要求。</w:t>
      </w:r>
    </w:p>
    <w:p>
      <w:pPr>
        <w:pStyle w:val="175"/>
        <w:numPr>
          <w:ilvl w:val="0"/>
          <w:numId w:val="92"/>
        </w:numPr>
      </w:pPr>
      <w:r>
        <w:rPr>
          <w:rFonts w:hint="eastAsia"/>
        </w:rPr>
        <w:t>检查数量：全数检查。</w:t>
      </w:r>
    </w:p>
    <w:p>
      <w:pPr>
        <w:pStyle w:val="175"/>
      </w:pPr>
      <w:r>
        <w:rPr>
          <w:rFonts w:hint="eastAsia"/>
        </w:rPr>
        <w:t>检验方法：检查质量证明文件和抽样检验报告。</w:t>
      </w:r>
    </w:p>
    <w:p>
      <w:pPr>
        <w:pStyle w:val="66"/>
        <w:numPr>
          <w:ilvl w:val="3"/>
          <w:numId w:val="87"/>
        </w:numPr>
        <w:spacing w:before="156" w:after="156"/>
      </w:pPr>
      <w:r>
        <w:rPr>
          <w:rFonts w:hint="eastAsia"/>
        </w:rPr>
        <w:t>套筒灌浆连接用的灌浆料强度应符合国家现行有关标准的规定及设计要求。</w:t>
      </w:r>
    </w:p>
    <w:p>
      <w:pPr>
        <w:pStyle w:val="175"/>
        <w:numPr>
          <w:ilvl w:val="0"/>
          <w:numId w:val="93"/>
        </w:numPr>
      </w:pPr>
      <w:r>
        <w:rPr>
          <w:rFonts w:hint="eastAsia"/>
        </w:rPr>
        <w:t>检查数量：按批检验，以每层为一检验批；每工作班应制作1组且每层不应少于3组40mm×40mm×160mm的棱柱体试件，标准养护28d后进行抗压强度试验。</w:t>
      </w:r>
    </w:p>
    <w:p>
      <w:pPr>
        <w:pStyle w:val="175"/>
      </w:pPr>
      <w:r>
        <w:rPr>
          <w:rFonts w:hint="eastAsia"/>
        </w:rPr>
        <w:t>检验方法：检查灌浆料强度试验报告及评定记录。</w:t>
      </w:r>
    </w:p>
    <w:p>
      <w:pPr>
        <w:pStyle w:val="66"/>
        <w:numPr>
          <w:ilvl w:val="3"/>
          <w:numId w:val="87"/>
        </w:numPr>
        <w:spacing w:before="156" w:after="156"/>
      </w:pPr>
      <w:r>
        <w:rPr>
          <w:rFonts w:hint="eastAsia"/>
        </w:rPr>
        <w:t>预制构件底部接缝座浆强度应满足设计要求。</w:t>
      </w:r>
    </w:p>
    <w:p>
      <w:pPr>
        <w:pStyle w:val="175"/>
        <w:numPr>
          <w:ilvl w:val="0"/>
          <w:numId w:val="94"/>
        </w:numPr>
      </w:pPr>
      <w:r>
        <w:rPr>
          <w:rFonts w:hint="eastAsia"/>
        </w:rPr>
        <w:t>检查数量：按批检验，以每层为一检验批；每工作班同一配合比应制作1组且每层不应少于3组边长为70.7mm的立方体试件，标准养护28d后进行抗压强度试验。</w:t>
      </w:r>
    </w:p>
    <w:p>
      <w:pPr>
        <w:pStyle w:val="175"/>
      </w:pPr>
      <w:r>
        <w:rPr>
          <w:rFonts w:hint="eastAsia"/>
        </w:rPr>
        <w:t>检验方法：检查座浆材料强度试验报告及评定记录。</w:t>
      </w:r>
    </w:p>
    <w:p>
      <w:pPr>
        <w:pStyle w:val="66"/>
        <w:numPr>
          <w:ilvl w:val="3"/>
          <w:numId w:val="87"/>
        </w:numPr>
        <w:spacing w:before="156" w:after="156"/>
      </w:pPr>
      <w:r>
        <w:rPr>
          <w:rFonts w:hint="eastAsia"/>
        </w:rPr>
        <w:t>外墙板接缝的防水性能应符合设计要求。</w:t>
      </w:r>
    </w:p>
    <w:p>
      <w:pPr>
        <w:pStyle w:val="175"/>
        <w:numPr>
          <w:ilvl w:val="0"/>
          <w:numId w:val="95"/>
        </w:numPr>
      </w:pPr>
      <w:r>
        <w:rPr>
          <w:rFonts w:hint="eastAsia"/>
        </w:rPr>
        <w:t>检验数量：按批检验。每1000㎡外墙（含窗）面积应划分为一个检验批，不足1000㎡时也应划分为一个检验批；每个检验批应至少抽查一处，抽查部位应为相邻两层4块墙板形成的水平和竖向十字接缝区域，面积不得少于10㎡。</w:t>
      </w:r>
    </w:p>
    <w:p>
      <w:pPr>
        <w:pStyle w:val="175"/>
      </w:pPr>
      <w:r>
        <w:rPr>
          <w:rFonts w:hint="eastAsia"/>
        </w:rPr>
        <w:t>检验方法：检查现场淋水试验报告。</w:t>
      </w:r>
    </w:p>
    <w:p>
      <w:pPr>
        <w:pStyle w:val="106"/>
        <w:spacing w:before="156" w:after="156"/>
      </w:pPr>
      <w:bookmarkStart w:id="161" w:name="_Toc76030274"/>
      <w:bookmarkStart w:id="162" w:name="_Toc76637907"/>
      <w:bookmarkStart w:id="163" w:name="_Toc76628824"/>
      <w:bookmarkStart w:id="164" w:name="_Toc20125"/>
      <w:r>
        <w:rPr>
          <w:rFonts w:hint="eastAsia"/>
        </w:rPr>
        <w:t>成品保护</w:t>
      </w:r>
      <w:bookmarkEnd w:id="161"/>
      <w:bookmarkEnd w:id="162"/>
      <w:bookmarkEnd w:id="163"/>
      <w:bookmarkEnd w:id="164"/>
    </w:p>
    <w:p>
      <w:pPr>
        <w:pStyle w:val="66"/>
        <w:numPr>
          <w:ilvl w:val="3"/>
          <w:numId w:val="87"/>
        </w:numPr>
        <w:spacing w:before="156" w:after="156"/>
      </w:pPr>
      <w:r>
        <w:rPr>
          <w:rFonts w:hint="eastAsia"/>
        </w:rPr>
        <w:t>预制混凝土柱的成品保护，应符合下列规定：</w:t>
      </w:r>
    </w:p>
    <w:p>
      <w:pPr>
        <w:pStyle w:val="175"/>
        <w:numPr>
          <w:ilvl w:val="0"/>
          <w:numId w:val="96"/>
        </w:numPr>
      </w:pPr>
      <w:r>
        <w:rPr>
          <w:rFonts w:hint="eastAsia"/>
        </w:rPr>
        <w:t>进场及安装保护</w:t>
      </w:r>
    </w:p>
    <w:p>
      <w:pPr>
        <w:pStyle w:val="110"/>
      </w:pPr>
      <w:r>
        <w:rPr>
          <w:rFonts w:hint="eastAsia"/>
        </w:rPr>
        <w:t>预制混凝土柱应用专用货架放置，避免因构件碰撞造成损坏。</w:t>
      </w:r>
    </w:p>
    <w:p>
      <w:pPr>
        <w:pStyle w:val="110"/>
      </w:pPr>
      <w:r>
        <w:rPr>
          <w:rFonts w:hint="eastAsia"/>
        </w:rPr>
        <w:t>预制柱吊运过程中，应采取防止预制柱和柱上的预埋件、预埋吊件损伤或污染的保护措施；应在吊索与柱面，柱棱角之间垫木板，麻袋片或废轮胎等。</w:t>
      </w:r>
    </w:p>
    <w:p>
      <w:pPr>
        <w:pStyle w:val="110"/>
      </w:pPr>
      <w:r>
        <w:rPr>
          <w:rFonts w:hint="eastAsia"/>
        </w:rPr>
        <w:t>预制柱宜水平堆放，预埋吊装孔的表面朝上，且采用不少于两条垫木支撑，构件底层支垫高度不低于100mm，且应采取有效的防护措施。</w:t>
      </w:r>
    </w:p>
    <w:p>
      <w:pPr>
        <w:pStyle w:val="175"/>
        <w:numPr>
          <w:ilvl w:val="0"/>
          <w:numId w:val="96"/>
        </w:numPr>
      </w:pPr>
      <w:r>
        <w:rPr>
          <w:rFonts w:hint="eastAsia"/>
        </w:rPr>
        <w:t>安装后保护</w:t>
      </w:r>
    </w:p>
    <w:p>
      <w:pPr>
        <w:pStyle w:val="110"/>
      </w:pPr>
      <w:r>
        <w:rPr>
          <w:rFonts w:hint="eastAsia"/>
        </w:rPr>
        <w:t>预埋件和连接件等外露金属件应按不同环境类别进行封闭或防腐、防火、防锈处理，并应符合耐久性要求。</w:t>
      </w:r>
    </w:p>
    <w:p>
      <w:pPr>
        <w:pStyle w:val="110"/>
      </w:pPr>
      <w:r>
        <w:rPr>
          <w:rFonts w:hint="eastAsia"/>
        </w:rPr>
        <w:t>预制混凝土柱安装完成后应在柱脚设置保护措施。</w:t>
      </w:r>
    </w:p>
    <w:p>
      <w:pPr>
        <w:pStyle w:val="66"/>
        <w:numPr>
          <w:ilvl w:val="3"/>
          <w:numId w:val="87"/>
        </w:numPr>
        <w:spacing w:before="156" w:after="156"/>
      </w:pPr>
      <w:r>
        <w:rPr>
          <w:rFonts w:hint="eastAsia"/>
        </w:rPr>
        <w:t>预制混凝土夹心保温墙板的成品保护，应符合下列规定：</w:t>
      </w:r>
    </w:p>
    <w:p>
      <w:pPr>
        <w:pStyle w:val="175"/>
        <w:numPr>
          <w:ilvl w:val="0"/>
          <w:numId w:val="97"/>
        </w:numPr>
      </w:pPr>
      <w:r>
        <w:rPr>
          <w:rFonts w:hint="eastAsia"/>
        </w:rPr>
        <w:t>进场及安装保护</w:t>
      </w:r>
    </w:p>
    <w:p>
      <w:pPr>
        <w:pStyle w:val="110"/>
      </w:pPr>
      <w:r>
        <w:rPr>
          <w:rFonts w:hint="eastAsia"/>
        </w:rPr>
        <w:t>预制混凝土夹心保温墙板边角易破损处应采用柔性材料进行保护。</w:t>
      </w:r>
    </w:p>
    <w:p>
      <w:pPr>
        <w:pStyle w:val="110"/>
      </w:pPr>
      <w:r>
        <w:rPr>
          <w:rFonts w:hint="eastAsia"/>
        </w:rPr>
        <w:t>预制混凝土夹心保温墙板应用专用货架进行放置，货架上应有柔性保护装置。</w:t>
      </w:r>
    </w:p>
    <w:p>
      <w:pPr>
        <w:pStyle w:val="175"/>
        <w:numPr>
          <w:ilvl w:val="0"/>
          <w:numId w:val="97"/>
        </w:numPr>
      </w:pPr>
      <w:r>
        <w:rPr>
          <w:rFonts w:hint="eastAsia"/>
        </w:rPr>
        <w:t>安装后保护</w:t>
      </w:r>
    </w:p>
    <w:p>
      <w:pPr>
        <w:pStyle w:val="110"/>
      </w:pPr>
      <w:r>
        <w:rPr>
          <w:rFonts w:hint="eastAsia"/>
        </w:rPr>
        <w:t>预制混凝土夹心保温墙板施工完成后，阳角宜采用木条（板）包角或其他形式保护。</w:t>
      </w:r>
    </w:p>
    <w:p>
      <w:pPr>
        <w:pStyle w:val="110"/>
      </w:pPr>
      <w:r>
        <w:rPr>
          <w:rFonts w:hint="eastAsia"/>
        </w:rPr>
        <w:t>预制混凝土夹心保温墙板上暴露在空气中的预埋铁件应涂刷防锈漆，防止产生锈蚀。</w:t>
      </w:r>
    </w:p>
    <w:p>
      <w:pPr>
        <w:pStyle w:val="110"/>
      </w:pPr>
      <w:r>
        <w:rPr>
          <w:rFonts w:hint="eastAsia"/>
        </w:rPr>
        <w:t>预制混凝土夹心保温墙板的预埋螺栓孔应填塞海绵棒，避免堵塞。</w:t>
      </w:r>
    </w:p>
    <w:p>
      <w:pPr>
        <w:pStyle w:val="66"/>
        <w:numPr>
          <w:ilvl w:val="3"/>
          <w:numId w:val="87"/>
        </w:numPr>
        <w:spacing w:before="156" w:after="156"/>
      </w:pPr>
      <w:r>
        <w:rPr>
          <w:rFonts w:hint="eastAsia"/>
        </w:rPr>
        <w:t>预制混凝土叠合梁的成品保护，应符合下列规定：</w:t>
      </w:r>
    </w:p>
    <w:p>
      <w:pPr>
        <w:pStyle w:val="175"/>
        <w:numPr>
          <w:ilvl w:val="0"/>
          <w:numId w:val="98"/>
        </w:numPr>
      </w:pPr>
      <w:r>
        <w:rPr>
          <w:rFonts w:hint="eastAsia"/>
        </w:rPr>
        <w:t>进场及安装保护</w:t>
      </w:r>
    </w:p>
    <w:p>
      <w:pPr>
        <w:pStyle w:val="110"/>
      </w:pPr>
      <w:r>
        <w:rPr>
          <w:rFonts w:hint="eastAsia"/>
        </w:rPr>
        <w:t>预制混凝土叠合梁叠放层数不宜超过2 层。</w:t>
      </w:r>
    </w:p>
    <w:p>
      <w:pPr>
        <w:pStyle w:val="110"/>
      </w:pPr>
      <w:r>
        <w:rPr>
          <w:rFonts w:hint="eastAsia"/>
        </w:rPr>
        <w:t>吊装时应合理布置吊点，且应轻起轻落。</w:t>
      </w:r>
    </w:p>
    <w:p>
      <w:pPr>
        <w:pStyle w:val="110"/>
      </w:pPr>
      <w:r>
        <w:rPr>
          <w:rFonts w:hint="eastAsia"/>
        </w:rPr>
        <w:t>堆放场地要求平整、牢固、干净，各类预制构件分类堆放整齐，用枕木或方木支垫。</w:t>
      </w:r>
    </w:p>
    <w:p>
      <w:pPr>
        <w:pStyle w:val="175"/>
        <w:numPr>
          <w:ilvl w:val="0"/>
          <w:numId w:val="98"/>
        </w:numPr>
      </w:pPr>
      <w:r>
        <w:rPr>
          <w:rFonts w:hint="eastAsia"/>
        </w:rPr>
        <w:t>安装后保护</w:t>
      </w:r>
    </w:p>
    <w:p>
      <w:pPr>
        <w:pStyle w:val="110"/>
      </w:pPr>
      <w:r>
        <w:rPr>
          <w:rFonts w:hint="eastAsia"/>
        </w:rPr>
        <w:t>外露钢筋及预埋铁件应涂刷防锈漆，防止锈蚀。</w:t>
      </w:r>
    </w:p>
    <w:p>
      <w:pPr>
        <w:pStyle w:val="110"/>
      </w:pPr>
      <w:r>
        <w:rPr>
          <w:rFonts w:hint="eastAsia"/>
        </w:rPr>
        <w:t>预制混凝土叠合梁安装完成后禁止随意放置施工材料，避免因受力不均造成构件损坏。</w:t>
      </w:r>
    </w:p>
    <w:p>
      <w:pPr>
        <w:pStyle w:val="66"/>
        <w:numPr>
          <w:ilvl w:val="3"/>
          <w:numId w:val="87"/>
        </w:numPr>
        <w:spacing w:before="156" w:after="156"/>
      </w:pPr>
      <w:r>
        <w:rPr>
          <w:rFonts w:hint="eastAsia"/>
        </w:rPr>
        <w:t>预制混凝土叠合板的成品保护，应符合下列规定：</w:t>
      </w:r>
    </w:p>
    <w:p>
      <w:pPr>
        <w:pStyle w:val="175"/>
        <w:numPr>
          <w:ilvl w:val="0"/>
          <w:numId w:val="99"/>
        </w:numPr>
      </w:pPr>
      <w:r>
        <w:rPr>
          <w:rFonts w:hint="eastAsia"/>
        </w:rPr>
        <w:t>进场及安装保护</w:t>
      </w:r>
    </w:p>
    <w:p>
      <w:pPr>
        <w:pStyle w:val="110"/>
      </w:pPr>
      <w:r>
        <w:rPr>
          <w:rFonts w:hint="eastAsia"/>
        </w:rPr>
        <w:t>预制混凝土叠合楼板宜水平叠放，叠放层数不宜超过6 层。</w:t>
      </w:r>
    </w:p>
    <w:p>
      <w:pPr>
        <w:pStyle w:val="110"/>
      </w:pPr>
      <w:r>
        <w:rPr>
          <w:rFonts w:hint="eastAsia"/>
        </w:rPr>
        <w:t>吊装时应合理布置吊点，且应轻起轻落。</w:t>
      </w:r>
    </w:p>
    <w:p>
      <w:pPr>
        <w:pStyle w:val="110"/>
      </w:pPr>
      <w:r>
        <w:rPr>
          <w:rFonts w:hint="eastAsia"/>
        </w:rPr>
        <w:t>堆放场地要求平整、牢固、干净，各类预制构件分类堆放整齐，用枕木或方木支垫。</w:t>
      </w:r>
    </w:p>
    <w:p>
      <w:pPr>
        <w:pStyle w:val="175"/>
        <w:numPr>
          <w:ilvl w:val="0"/>
          <w:numId w:val="99"/>
        </w:numPr>
      </w:pPr>
      <w:r>
        <w:rPr>
          <w:rFonts w:hint="eastAsia"/>
        </w:rPr>
        <w:t>安装后保护</w:t>
      </w:r>
    </w:p>
    <w:p>
      <w:pPr>
        <w:pStyle w:val="110"/>
        <w:numPr>
          <w:ilvl w:val="0"/>
          <w:numId w:val="0"/>
        </w:numPr>
        <w:ind w:left="1276" w:hanging="425"/>
      </w:pPr>
      <w:r>
        <w:rPr>
          <w:rFonts w:hint="eastAsia"/>
        </w:rPr>
        <w:t>预制混凝土叠合板安装完成后禁止随意放置施工材料，避免因受力不均造成构件损坏。</w:t>
      </w:r>
    </w:p>
    <w:p>
      <w:pPr>
        <w:pStyle w:val="66"/>
        <w:numPr>
          <w:ilvl w:val="3"/>
          <w:numId w:val="87"/>
        </w:numPr>
        <w:spacing w:before="156" w:after="156"/>
      </w:pPr>
      <w:r>
        <w:rPr>
          <w:rFonts w:hint="eastAsia"/>
        </w:rPr>
        <w:t>预制混凝土楼梯的成品保护，应符合下列规定：</w:t>
      </w:r>
    </w:p>
    <w:p>
      <w:pPr>
        <w:pStyle w:val="175"/>
        <w:numPr>
          <w:ilvl w:val="0"/>
          <w:numId w:val="100"/>
        </w:numPr>
      </w:pPr>
      <w:r>
        <w:rPr>
          <w:rFonts w:hint="eastAsia"/>
        </w:rPr>
        <w:t>进场及安装保护</w:t>
      </w:r>
    </w:p>
    <w:p>
      <w:pPr>
        <w:pStyle w:val="110"/>
      </w:pPr>
      <w:r>
        <w:rPr>
          <w:rFonts w:hint="eastAsia"/>
        </w:rPr>
        <w:t>螺栓外露部分应采用塑料膜或油纸包裹严密，在楼梯吊装时方可拆除。</w:t>
      </w:r>
    </w:p>
    <w:p>
      <w:pPr>
        <w:pStyle w:val="110"/>
      </w:pPr>
      <w:r>
        <w:rPr>
          <w:rFonts w:hint="eastAsia"/>
        </w:rPr>
        <w:t>预埋螺栓固定时不得与钢筋网片连接，平台板混凝土浇筑时设专人看护螺栓，振捣时不得触碰预埋螺栓。</w:t>
      </w:r>
    </w:p>
    <w:p>
      <w:pPr>
        <w:pStyle w:val="110"/>
      </w:pPr>
      <w:r>
        <w:rPr>
          <w:rFonts w:hint="eastAsia"/>
        </w:rPr>
        <w:t>预制混凝土楼梯进场堆放时应用枕木或木方进行支垫，禁止预制混凝土楼梯无保护措施直接堆放。</w:t>
      </w:r>
    </w:p>
    <w:p>
      <w:pPr>
        <w:pStyle w:val="175"/>
        <w:numPr>
          <w:ilvl w:val="0"/>
          <w:numId w:val="100"/>
        </w:numPr>
      </w:pPr>
      <w:r>
        <w:rPr>
          <w:rFonts w:hint="eastAsia"/>
        </w:rPr>
        <w:t>安装后保护</w:t>
      </w:r>
    </w:p>
    <w:p>
      <w:pPr>
        <w:pStyle w:val="110"/>
      </w:pPr>
      <w:r>
        <w:rPr>
          <w:rFonts w:hint="eastAsia"/>
        </w:rPr>
        <w:t>楼梯连接节点施工完成后应及时覆盖，防止踩踏。</w:t>
      </w:r>
    </w:p>
    <w:p>
      <w:pPr>
        <w:pStyle w:val="110"/>
      </w:pPr>
      <w:r>
        <w:rPr>
          <w:rFonts w:hint="eastAsia"/>
        </w:rPr>
        <w:t>楼梯安装完成后，宜采用木板制作护角保护楼梯踏步。</w:t>
      </w:r>
    </w:p>
    <w:p>
      <w:pPr>
        <w:pStyle w:val="66"/>
        <w:numPr>
          <w:ilvl w:val="3"/>
          <w:numId w:val="87"/>
        </w:numPr>
        <w:spacing w:before="156" w:after="156"/>
      </w:pPr>
      <w:r>
        <w:rPr>
          <w:rFonts w:hint="eastAsia"/>
        </w:rPr>
        <w:t>预制混凝土阳台、空调板的成品保护，应符合下列规定：</w:t>
      </w:r>
    </w:p>
    <w:p>
      <w:pPr>
        <w:pStyle w:val="175"/>
        <w:numPr>
          <w:ilvl w:val="0"/>
          <w:numId w:val="101"/>
        </w:numPr>
      </w:pPr>
      <w:r>
        <w:rPr>
          <w:rFonts w:hint="eastAsia"/>
        </w:rPr>
        <w:t>进场及安装保护</w:t>
      </w:r>
    </w:p>
    <w:p>
      <w:pPr>
        <w:pStyle w:val="110"/>
      </w:pPr>
      <w:r>
        <w:rPr>
          <w:rFonts w:hint="eastAsia"/>
        </w:rPr>
        <w:t>阳台堆放应使用垫木，垫木必须上下对齐，沿长边向垫木间距不得大于1.5m，防止构件变形。</w:t>
      </w:r>
    </w:p>
    <w:p>
      <w:pPr>
        <w:pStyle w:val="110"/>
      </w:pPr>
      <w:r>
        <w:rPr>
          <w:rFonts w:hint="eastAsia"/>
        </w:rPr>
        <w:t>每堆阳台与阳台之间，应留出一定的距离，满足方便运输、吊运的要求。</w:t>
      </w:r>
    </w:p>
    <w:p>
      <w:pPr>
        <w:pStyle w:val="110"/>
      </w:pPr>
      <w:r>
        <w:rPr>
          <w:rFonts w:hint="eastAsia"/>
        </w:rPr>
        <w:t>阳台起吊和放下，必须轻起轻放。</w:t>
      </w:r>
    </w:p>
    <w:p>
      <w:pPr>
        <w:pStyle w:val="110"/>
      </w:pPr>
      <w:r>
        <w:rPr>
          <w:rFonts w:hint="eastAsia"/>
        </w:rPr>
        <w:t>安装垂直支撑时，不得用力敲打，防止造成阳台损伤。</w:t>
      </w:r>
    </w:p>
    <w:p>
      <w:pPr>
        <w:pStyle w:val="175"/>
        <w:numPr>
          <w:ilvl w:val="0"/>
          <w:numId w:val="101"/>
        </w:numPr>
      </w:pPr>
      <w:r>
        <w:rPr>
          <w:rFonts w:hint="eastAsia"/>
        </w:rPr>
        <w:t>安装后保护</w:t>
      </w:r>
    </w:p>
    <w:p>
      <w:pPr>
        <w:pStyle w:val="110"/>
      </w:pPr>
      <w:r>
        <w:rPr>
          <w:rFonts w:hint="eastAsia"/>
        </w:rPr>
        <w:t>阳台安装就位，采用撬棍时应加垫木块。</w:t>
      </w:r>
    </w:p>
    <w:p>
      <w:pPr>
        <w:pStyle w:val="110"/>
      </w:pPr>
      <w:r>
        <w:rPr>
          <w:rFonts w:hint="eastAsia"/>
        </w:rPr>
        <w:t>灌浆、浇筑混凝土后应及时将阳台表面及地面的废料进行清理。</w:t>
      </w:r>
    </w:p>
    <w:p>
      <w:pPr>
        <w:pStyle w:val="110"/>
      </w:pPr>
      <w:r>
        <w:rPr>
          <w:rFonts w:hint="eastAsia"/>
        </w:rPr>
        <w:t>阳台上不得堆放材料及其他重物。</w:t>
      </w:r>
    </w:p>
    <w:p>
      <w:pPr>
        <w:pStyle w:val="110"/>
      </w:pPr>
      <w:r>
        <w:rPr>
          <w:rFonts w:hint="eastAsia"/>
        </w:rPr>
        <w:t>搬运料具时应注意，不得磕碰阳台，避免阳台棱角损坏。</w:t>
      </w:r>
    </w:p>
    <w:p>
      <w:pPr>
        <w:pStyle w:val="110"/>
      </w:pPr>
      <w:r>
        <w:rPr>
          <w:rFonts w:hint="eastAsia"/>
        </w:rPr>
        <w:t>在阳台角部采用废旧多层板等做护角，防止棱角损坏。</w:t>
      </w:r>
    </w:p>
    <w:p>
      <w:pPr>
        <w:pStyle w:val="66"/>
        <w:numPr>
          <w:ilvl w:val="3"/>
          <w:numId w:val="87"/>
        </w:numPr>
        <w:spacing w:before="156" w:after="156"/>
      </w:pPr>
      <w:r>
        <w:rPr>
          <w:rFonts w:hint="eastAsia"/>
        </w:rPr>
        <w:t>预制混凝土装饰柱的成品保护，应符合下列规定：</w:t>
      </w:r>
    </w:p>
    <w:p>
      <w:pPr>
        <w:pStyle w:val="175"/>
        <w:numPr>
          <w:ilvl w:val="0"/>
          <w:numId w:val="102"/>
        </w:numPr>
      </w:pPr>
      <w:r>
        <w:rPr>
          <w:rFonts w:hint="eastAsia"/>
        </w:rPr>
        <w:t>进场及安装保护</w:t>
      </w:r>
    </w:p>
    <w:p>
      <w:pPr>
        <w:pStyle w:val="110"/>
      </w:pPr>
      <w:r>
        <w:rPr>
          <w:rFonts w:hint="eastAsia"/>
        </w:rPr>
        <w:t>装饰柱堆放应使用垫木，垫木必须上下对齐，沿长边向垫木间距不得大于1.5m，防止构件变形。</w:t>
      </w:r>
    </w:p>
    <w:p>
      <w:pPr>
        <w:pStyle w:val="110"/>
      </w:pPr>
      <w:r>
        <w:rPr>
          <w:rFonts w:hint="eastAsia"/>
        </w:rPr>
        <w:t>每堆装饰柱与装饰柱之间，应留出一定的距离，考虑运输、吊运等位置，防止车辆进出碰坏装饰柱。</w:t>
      </w:r>
    </w:p>
    <w:p>
      <w:pPr>
        <w:pStyle w:val="110"/>
      </w:pPr>
      <w:r>
        <w:rPr>
          <w:rFonts w:hint="eastAsia"/>
        </w:rPr>
        <w:t>装饰柱起吊和放下，必须轻起轻放，防止猛烈冲击导致构件损坏。</w:t>
      </w:r>
    </w:p>
    <w:p>
      <w:pPr>
        <w:pStyle w:val="110"/>
      </w:pPr>
      <w:r>
        <w:rPr>
          <w:rFonts w:hint="eastAsia"/>
        </w:rPr>
        <w:t>装饰柱安装就位，采用撬棍时应加设木块，防止撬坏装饰柱、棱角损伤。</w:t>
      </w:r>
    </w:p>
    <w:p>
      <w:pPr>
        <w:pStyle w:val="110"/>
      </w:pPr>
      <w:r>
        <w:rPr>
          <w:rFonts w:hint="eastAsia"/>
        </w:rPr>
        <w:t>安装斜支撑时，不得用力敲打，防止造成装饰柱损伤。</w:t>
      </w:r>
    </w:p>
    <w:p>
      <w:pPr>
        <w:pStyle w:val="110"/>
      </w:pPr>
      <w:r>
        <w:rPr>
          <w:rFonts w:hint="eastAsia"/>
        </w:rPr>
        <w:t>墙板开槽、孔时，必须用专用工具，不得随意用力敲打。</w:t>
      </w:r>
    </w:p>
    <w:p>
      <w:pPr>
        <w:pStyle w:val="110"/>
      </w:pPr>
      <w:r>
        <w:rPr>
          <w:rFonts w:hint="eastAsia"/>
        </w:rPr>
        <w:t>施工时防止碰撞隔墙和门口。</w:t>
      </w:r>
    </w:p>
    <w:p>
      <w:pPr>
        <w:pStyle w:val="175"/>
        <w:numPr>
          <w:ilvl w:val="0"/>
          <w:numId w:val="102"/>
        </w:numPr>
      </w:pPr>
      <w:r>
        <w:rPr>
          <w:rFonts w:hint="eastAsia"/>
        </w:rPr>
        <w:t>安装后保护</w:t>
      </w:r>
    </w:p>
    <w:p>
      <w:pPr>
        <w:pStyle w:val="110"/>
      </w:pPr>
      <w:r>
        <w:rPr>
          <w:rFonts w:hint="eastAsia"/>
        </w:rPr>
        <w:t>楼层内搬运料具时不得磕碰装饰柱，避免构件棱角损坏。</w:t>
      </w:r>
    </w:p>
    <w:p>
      <w:pPr>
        <w:pStyle w:val="110"/>
      </w:pPr>
      <w:r>
        <w:rPr>
          <w:rFonts w:hint="eastAsia"/>
        </w:rPr>
        <w:t>在装饰柱角部采用废旧多层板等做护角，防止棱角损坏。</w:t>
      </w:r>
    </w:p>
    <w:p>
      <w:pPr>
        <w:pStyle w:val="110"/>
      </w:pPr>
      <w:r>
        <w:rPr>
          <w:rFonts w:hint="eastAsia"/>
        </w:rPr>
        <w:t>不得将材料及重物靠放在装饰柱上。</w:t>
      </w:r>
    </w:p>
    <w:p>
      <w:pPr>
        <w:pStyle w:val="105"/>
        <w:numPr>
          <w:ilvl w:val="1"/>
          <w:numId w:val="87"/>
        </w:numPr>
        <w:spacing w:before="312" w:after="312"/>
      </w:pPr>
      <w:bookmarkStart w:id="165" w:name="_Toc1461"/>
      <w:bookmarkStart w:id="166" w:name="_Toc76637908"/>
      <w:bookmarkStart w:id="167" w:name="_Toc76628825"/>
      <w:bookmarkStart w:id="168" w:name="_Toc76030275"/>
      <w:r>
        <w:rPr>
          <w:rFonts w:hint="eastAsia"/>
        </w:rPr>
        <w:t>安全防护与环境保护</w:t>
      </w:r>
      <w:bookmarkEnd w:id="165"/>
      <w:bookmarkEnd w:id="166"/>
      <w:bookmarkEnd w:id="167"/>
      <w:bookmarkEnd w:id="168"/>
    </w:p>
    <w:p>
      <w:pPr>
        <w:pStyle w:val="106"/>
        <w:numPr>
          <w:ilvl w:val="2"/>
          <w:numId w:val="87"/>
        </w:numPr>
        <w:spacing w:before="156" w:after="156"/>
      </w:pPr>
      <w:bookmarkStart w:id="169" w:name="_Toc76637909"/>
      <w:bookmarkStart w:id="170" w:name="_Toc76030276"/>
      <w:bookmarkStart w:id="171" w:name="_Toc100"/>
      <w:bookmarkStart w:id="172" w:name="_Toc76628826"/>
      <w:r>
        <w:rPr>
          <w:rFonts w:hint="eastAsia"/>
        </w:rPr>
        <w:t>安全防护</w:t>
      </w:r>
      <w:bookmarkEnd w:id="169"/>
      <w:bookmarkEnd w:id="170"/>
      <w:bookmarkEnd w:id="171"/>
      <w:bookmarkEnd w:id="172"/>
    </w:p>
    <w:p>
      <w:pPr>
        <w:pStyle w:val="166"/>
        <w:numPr>
          <w:ilvl w:val="3"/>
          <w:numId w:val="87"/>
        </w:numPr>
      </w:pPr>
      <w:r>
        <w:rPr>
          <w:rFonts w:hint="eastAsia"/>
        </w:rPr>
        <w:t>应严格执行现行国家、地方、行业和企业的安全生产法规和规章制度，落实各级各类人员的安全生产责任制。</w:t>
      </w:r>
    </w:p>
    <w:p>
      <w:pPr>
        <w:pStyle w:val="166"/>
        <w:numPr>
          <w:ilvl w:val="3"/>
          <w:numId w:val="87"/>
        </w:numPr>
      </w:pPr>
      <w:r>
        <w:rPr>
          <w:rFonts w:hint="eastAsia"/>
        </w:rPr>
        <w:t>施工单位应对预制构件吊装的业及相关人员进行安全培训,成立安全责任机构,明确预制构件进场、卸车、存放、吊装、就位各环节作业风险,并制订防止危险情况的处理措施。</w:t>
      </w:r>
    </w:p>
    <w:p>
      <w:pPr>
        <w:pStyle w:val="166"/>
        <w:numPr>
          <w:ilvl w:val="3"/>
          <w:numId w:val="87"/>
        </w:numPr>
      </w:pPr>
      <w:r>
        <w:rPr>
          <w:rFonts w:hint="eastAsia"/>
        </w:rPr>
        <w:t>施工单位应严格落实项目经理带班制度，依据《现场施工安全生产管理规范》，落实各岗位的安全职责。</w:t>
      </w:r>
    </w:p>
    <w:p>
      <w:pPr>
        <w:pStyle w:val="166"/>
        <w:numPr>
          <w:ilvl w:val="3"/>
          <w:numId w:val="87"/>
        </w:numPr>
      </w:pPr>
      <w:r>
        <w:rPr>
          <w:rFonts w:hint="eastAsia"/>
        </w:rPr>
        <w:t>总分包合同中明确预制构件运输、机械设备等安全职责，协调督促各分包单位相互配合。</w:t>
      </w:r>
    </w:p>
    <w:p>
      <w:pPr>
        <w:pStyle w:val="166"/>
        <w:numPr>
          <w:ilvl w:val="3"/>
          <w:numId w:val="87"/>
        </w:numPr>
      </w:pPr>
      <w:r>
        <w:rPr>
          <w:rFonts w:hint="eastAsia"/>
        </w:rPr>
        <w:t>专项施工方案中应对重大危险源进行分析并予以公示，并制定相对应的安全生产应急预案。</w:t>
      </w:r>
    </w:p>
    <w:p>
      <w:pPr>
        <w:pStyle w:val="166"/>
        <w:numPr>
          <w:ilvl w:val="3"/>
          <w:numId w:val="87"/>
        </w:numPr>
      </w:pPr>
      <w:r>
        <w:rPr>
          <w:rFonts w:hint="eastAsia"/>
        </w:rPr>
        <w:t>施工单位应对从事预制构件吊装作业及相关人员进行安全培训与交底，识别预制构件进场、卸车、存放、吊装、就位各环节的作业风险，并制定防控措施。</w:t>
      </w:r>
    </w:p>
    <w:p>
      <w:pPr>
        <w:pStyle w:val="166"/>
        <w:numPr>
          <w:ilvl w:val="3"/>
          <w:numId w:val="87"/>
        </w:numPr>
      </w:pPr>
      <w:r>
        <w:rPr>
          <w:rFonts w:hint="eastAsia"/>
        </w:rPr>
        <w:t>安装作业开始前，应对安装作业区进行围护并作出明显的标识，拉警戒线，根据危险源级别安排旁站，严禁与安装作业无关的人员进入。</w:t>
      </w:r>
    </w:p>
    <w:p>
      <w:pPr>
        <w:pStyle w:val="166"/>
        <w:numPr>
          <w:ilvl w:val="3"/>
          <w:numId w:val="87"/>
        </w:numPr>
      </w:pPr>
      <w:r>
        <w:rPr>
          <w:rFonts w:hint="eastAsia"/>
        </w:rPr>
        <w:t>施工作业使用的专用吊具、吊索、定型工具式支撑、支架等，应进行安全验算，使用中进行定期、不定期检查，确保其安全状态。</w:t>
      </w:r>
    </w:p>
    <w:p>
      <w:pPr>
        <w:pStyle w:val="166"/>
        <w:numPr>
          <w:ilvl w:val="3"/>
          <w:numId w:val="87"/>
        </w:numPr>
      </w:pPr>
      <w:r>
        <w:rPr>
          <w:rFonts w:hint="eastAsia"/>
        </w:rPr>
        <w:t>塔式起重机、施工升降机等垂直运输的附墙点设置，应优先设置在现浇部位；当无现浇部位时，应在构件深化设计阶段考虑附着预留。</w:t>
      </w:r>
    </w:p>
    <w:p>
      <w:pPr>
        <w:pStyle w:val="166"/>
        <w:numPr>
          <w:ilvl w:val="3"/>
          <w:numId w:val="87"/>
        </w:numPr>
      </w:pPr>
      <w:r>
        <w:rPr>
          <w:rFonts w:hint="eastAsia"/>
        </w:rPr>
        <w:t>预制构件在安装吊具过程中，严禁拆除预制构件与存放架的安全固定装置，待起吊时方可拆除，避免构件由于自身重力或振动引起的构件倾斜和翻转。</w:t>
      </w:r>
    </w:p>
    <w:p>
      <w:pPr>
        <w:pStyle w:val="166"/>
        <w:numPr>
          <w:ilvl w:val="3"/>
          <w:numId w:val="87"/>
        </w:numPr>
      </w:pPr>
      <w:r>
        <w:rPr>
          <w:rFonts w:hint="eastAsia"/>
        </w:rPr>
        <w:t>吊装作业安全应符合下列规定：</w:t>
      </w:r>
    </w:p>
    <w:p>
      <w:pPr>
        <w:pStyle w:val="175"/>
        <w:numPr>
          <w:ilvl w:val="0"/>
          <w:numId w:val="103"/>
        </w:numPr>
      </w:pPr>
      <w:r>
        <w:rPr>
          <w:rFonts w:hint="eastAsia"/>
        </w:rPr>
        <w:t>预制构件起吊后，应先将预制构件提升300mm左右后，停稳构件，检查钢丝绳、吊具和预制构件状态，确认吊具安全且构件平稳后，方可缓慢提升构件；</w:t>
      </w:r>
    </w:p>
    <w:p>
      <w:pPr>
        <w:pStyle w:val="175"/>
        <w:numPr>
          <w:ilvl w:val="0"/>
          <w:numId w:val="102"/>
        </w:numPr>
      </w:pPr>
      <w:r>
        <w:rPr>
          <w:rFonts w:hint="eastAsia"/>
        </w:rPr>
        <w:t>吊机吊装区域内，非作业人员严禁进入；吊运预制构件时，构件下方严禁站人，应待预制构件降落至距地面1m以内方准作业人员靠近，就位固定后方可脱钩；</w:t>
      </w:r>
    </w:p>
    <w:p>
      <w:pPr>
        <w:pStyle w:val="175"/>
        <w:numPr>
          <w:ilvl w:val="0"/>
          <w:numId w:val="102"/>
        </w:numPr>
      </w:pPr>
      <w:r>
        <w:rPr>
          <w:rFonts w:hint="eastAsia"/>
        </w:rPr>
        <w:t>高空应通过缆风绳改变预制构件方向，严禁高空直接用手扶预制构件；</w:t>
      </w:r>
    </w:p>
    <w:p>
      <w:pPr>
        <w:pStyle w:val="175"/>
        <w:numPr>
          <w:ilvl w:val="0"/>
          <w:numId w:val="102"/>
        </w:numPr>
      </w:pPr>
      <w:r>
        <w:rPr>
          <w:rFonts w:hint="eastAsia"/>
        </w:rPr>
        <w:t>遇道雨、雪、雾天气，或者风力大于5级时，不得进行吊装作业。</w:t>
      </w:r>
    </w:p>
    <w:p>
      <w:pPr>
        <w:pStyle w:val="166"/>
        <w:numPr>
          <w:ilvl w:val="3"/>
          <w:numId w:val="87"/>
        </w:numPr>
      </w:pPr>
      <w:r>
        <w:rPr>
          <w:rFonts w:hint="eastAsia"/>
        </w:rPr>
        <w:t>施工现场使用吊车作业时应严格执行“十不吊”的原则，严禁违章作业，并符合现行行业标准《建筑施工起重吊装工程安全技术规范》JGJ 276的规定。</w:t>
      </w:r>
    </w:p>
    <w:p>
      <w:pPr>
        <w:pStyle w:val="166"/>
        <w:numPr>
          <w:ilvl w:val="3"/>
          <w:numId w:val="87"/>
        </w:numPr>
      </w:pPr>
      <w:r>
        <w:rPr>
          <w:rFonts w:hint="eastAsia"/>
        </w:rPr>
        <w:t>施工机械操作应符合现行行业标准《建筑机械使用安全技术规程》JGJ33的规定，应按操作规程进行使用，严防伤及自己和他人。</w:t>
      </w:r>
    </w:p>
    <w:p>
      <w:pPr>
        <w:pStyle w:val="166"/>
        <w:numPr>
          <w:ilvl w:val="3"/>
          <w:numId w:val="87"/>
        </w:numPr>
      </w:pPr>
      <w:r>
        <w:rPr>
          <w:rFonts w:hint="eastAsia"/>
        </w:rPr>
        <w:t>施工现场临时用电的安全应符合现行行业标准《施工现场临时用电安全技术规范》JGJ46和用电专项方案的规定。</w:t>
      </w:r>
    </w:p>
    <w:p>
      <w:pPr>
        <w:pStyle w:val="166"/>
        <w:numPr>
          <w:ilvl w:val="3"/>
          <w:numId w:val="87"/>
        </w:numPr>
      </w:pPr>
      <w:r>
        <w:rPr>
          <w:rFonts w:hint="eastAsia"/>
        </w:rPr>
        <w:t>进行高空作业时，应符合现行行业标准《建筑施工高处作业安全技术规范》JGJ80的规定。</w:t>
      </w:r>
    </w:p>
    <w:p>
      <w:pPr>
        <w:pStyle w:val="106"/>
        <w:numPr>
          <w:ilvl w:val="2"/>
          <w:numId w:val="87"/>
        </w:numPr>
        <w:spacing w:before="156" w:after="156"/>
      </w:pPr>
      <w:bookmarkStart w:id="173" w:name="_Toc76030277"/>
      <w:bookmarkStart w:id="174" w:name="_Toc76628827"/>
      <w:bookmarkStart w:id="175" w:name="_Toc76637910"/>
      <w:bookmarkStart w:id="176" w:name="_Toc32289"/>
      <w:r>
        <w:rPr>
          <w:rFonts w:hint="eastAsia"/>
        </w:rPr>
        <w:t>环境保护</w:t>
      </w:r>
      <w:bookmarkEnd w:id="173"/>
      <w:bookmarkEnd w:id="174"/>
      <w:bookmarkEnd w:id="175"/>
      <w:bookmarkEnd w:id="176"/>
    </w:p>
    <w:p>
      <w:pPr>
        <w:pStyle w:val="166"/>
        <w:numPr>
          <w:ilvl w:val="3"/>
          <w:numId w:val="104"/>
        </w:numPr>
      </w:pPr>
      <w:r>
        <w:rPr>
          <w:rFonts w:hint="eastAsia"/>
        </w:rPr>
        <w:t>预制构件吊装施工期间，应严格控制噪声和遵守现行国家标准《建筑施工场界环境噪声排放标准》GB12523的规定。</w:t>
      </w:r>
    </w:p>
    <w:p>
      <w:pPr>
        <w:pStyle w:val="166"/>
        <w:numPr>
          <w:ilvl w:val="3"/>
          <w:numId w:val="104"/>
        </w:numPr>
      </w:pPr>
      <w:r>
        <w:rPr>
          <w:rFonts w:hint="eastAsia"/>
        </w:rPr>
        <w:t>施工现场应加强对废水、污水的管理，现场应设置污水池和排水沟。废水、废弃涂料、胶料应统一处理，严禁未经处理而直接排入市政管网。</w:t>
      </w:r>
    </w:p>
    <w:p>
      <w:pPr>
        <w:pStyle w:val="166"/>
        <w:numPr>
          <w:ilvl w:val="3"/>
          <w:numId w:val="104"/>
        </w:numPr>
      </w:pPr>
      <w:r>
        <w:rPr>
          <w:rFonts w:hint="eastAsia"/>
        </w:rPr>
        <w:t>施工现场各种材料应分类堆放、码放整齐并悬挂标识牌，严禁乱堆乱放，不应占用临时道路和施工便道。</w:t>
      </w:r>
    </w:p>
    <w:p>
      <w:pPr>
        <w:pStyle w:val="166"/>
        <w:numPr>
          <w:ilvl w:val="3"/>
          <w:numId w:val="104"/>
        </w:numPr>
      </w:pPr>
      <w:r>
        <w:rPr>
          <w:rFonts w:hint="eastAsia"/>
        </w:rPr>
        <w:t>在夜间施工时，应采取措施防止现场照明灯、汽车前照灯光、电焊等产生的光污染对周边居民的影响。</w:t>
      </w:r>
    </w:p>
    <w:p>
      <w:pPr>
        <w:pStyle w:val="166"/>
        <w:numPr>
          <w:ilvl w:val="3"/>
          <w:numId w:val="104"/>
        </w:numPr>
      </w:pPr>
      <w:r>
        <w:rPr>
          <w:rFonts w:hint="eastAsia"/>
        </w:rPr>
        <w:t>预制构件运输过程中，应保持车辆整洁，防止对场内道路的污染，并减少扬尘。</w:t>
      </w:r>
    </w:p>
    <w:p>
      <w:pPr>
        <w:pStyle w:val="166"/>
        <w:numPr>
          <w:ilvl w:val="3"/>
          <w:numId w:val="104"/>
        </w:numPr>
      </w:pPr>
      <w:r>
        <w:rPr>
          <w:rFonts w:hint="eastAsia"/>
        </w:rPr>
        <w:t>预制构件安装过程中废弃物等应进行分类回收。施工中产生的胶粘剂、稀释剂等易燃易爆废弃物应及时收集送至制定储存器内并按规定回收，严禁</w:t>
      </w:r>
      <w:bookmarkEnd w:id="152"/>
      <w:r>
        <w:rPr>
          <w:rFonts w:hint="eastAsia"/>
        </w:rPr>
        <w:t>丢弃未经处理的废弃物。</w:t>
      </w:r>
    </w:p>
    <w:p>
      <w:pPr>
        <w:pStyle w:val="105"/>
        <w:numPr>
          <w:ilvl w:val="1"/>
          <w:numId w:val="104"/>
        </w:numPr>
        <w:spacing w:before="312" w:after="312"/>
      </w:pPr>
      <w:bookmarkStart w:id="177" w:name="_Toc76637911"/>
      <w:bookmarkStart w:id="178" w:name="_Toc4734"/>
      <w:bookmarkStart w:id="179" w:name="_Toc76628828"/>
      <w:r>
        <w:rPr>
          <w:rFonts w:hint="eastAsia"/>
        </w:rPr>
        <w:t>BIM及信息化技术</w:t>
      </w:r>
      <w:bookmarkEnd w:id="177"/>
      <w:bookmarkEnd w:id="178"/>
      <w:bookmarkEnd w:id="179"/>
    </w:p>
    <w:p>
      <w:pPr>
        <w:pStyle w:val="106"/>
        <w:numPr>
          <w:ilvl w:val="2"/>
          <w:numId w:val="104"/>
        </w:numPr>
        <w:spacing w:before="156" w:after="156"/>
      </w:pPr>
      <w:bookmarkStart w:id="180" w:name="_Toc76628829"/>
      <w:bookmarkStart w:id="181" w:name="_Toc26584"/>
      <w:bookmarkStart w:id="182" w:name="_Toc76030279"/>
      <w:bookmarkStart w:id="183" w:name="_Toc76637912"/>
      <w:r>
        <w:rPr>
          <w:rFonts w:hint="eastAsia"/>
        </w:rPr>
        <w:t>BIM应用</w:t>
      </w:r>
      <w:bookmarkEnd w:id="180"/>
      <w:bookmarkEnd w:id="181"/>
      <w:bookmarkEnd w:id="182"/>
      <w:bookmarkEnd w:id="183"/>
    </w:p>
    <w:p>
      <w:pPr>
        <w:pStyle w:val="166"/>
        <w:numPr>
          <w:ilvl w:val="3"/>
          <w:numId w:val="104"/>
        </w:numPr>
      </w:pPr>
      <w:r>
        <w:rPr>
          <w:rFonts w:hint="eastAsia"/>
        </w:rPr>
        <w:t>装配式建筑宜采用BIM技术，在设计、生产、采购、施工及运维阶段统筹管理，通过建造BIM模型及构件编码实现项目数据的归类、传递及追溯，在施工阶段应接收设计生产阶段模型和信息，做好施工阶段应用，保障装配式建筑的质量、建造效率和综合效益的高效提升。</w:t>
      </w:r>
    </w:p>
    <w:p>
      <w:pPr>
        <w:pStyle w:val="166"/>
      </w:pPr>
      <w:r>
        <w:rPr>
          <w:rFonts w:hint="eastAsia"/>
        </w:rPr>
        <w:t>装配式混凝土结构施工前宜采用BIM技术实施结构预装配，对结构布局、构件布置、构件连接等设计问题和构件碰撞进行检查。</w:t>
      </w:r>
    </w:p>
    <w:p>
      <w:pPr>
        <w:pStyle w:val="166"/>
      </w:pPr>
      <w:r>
        <w:rPr>
          <w:rFonts w:hint="eastAsia"/>
        </w:rPr>
        <w:t>预制构件安装前宜应用BIM技术对施工方案及吊装工序进行可视化及安装模拟，对安装过程进行优化分析及调整。</w:t>
      </w:r>
    </w:p>
    <w:p>
      <w:pPr>
        <w:pStyle w:val="166"/>
        <w:rPr>
          <w:rFonts w:ascii="黑体" w:eastAsia="黑体"/>
        </w:rPr>
      </w:pPr>
      <w:r>
        <w:rPr>
          <w:rFonts w:hint="eastAsia"/>
        </w:rPr>
        <w:t>装配式结构施工中可应用BIM进行工程量和构件数量进行统计和管理。</w:t>
      </w:r>
    </w:p>
    <w:p>
      <w:pPr>
        <w:pStyle w:val="166"/>
      </w:pPr>
      <w:r>
        <w:rPr>
          <w:rFonts w:hint="eastAsia"/>
        </w:rPr>
        <w:t>施工BIM模型应满足国家及省市地方建模标准，满足工程电子归档及项目运营维护需求。</w:t>
      </w:r>
    </w:p>
    <w:p>
      <w:pPr>
        <w:pStyle w:val="106"/>
        <w:numPr>
          <w:ilvl w:val="2"/>
          <w:numId w:val="104"/>
        </w:numPr>
        <w:spacing w:before="156" w:after="156"/>
      </w:pPr>
      <w:bookmarkStart w:id="184" w:name="_Toc76637913"/>
      <w:bookmarkStart w:id="185" w:name="_Toc18708"/>
      <w:bookmarkStart w:id="186" w:name="_Toc76628830"/>
      <w:bookmarkStart w:id="187" w:name="_Toc76030281"/>
      <w:r>
        <w:rPr>
          <w:rFonts w:hint="eastAsia"/>
        </w:rPr>
        <w:t>信息化管理</w:t>
      </w:r>
      <w:bookmarkEnd w:id="184"/>
      <w:bookmarkEnd w:id="185"/>
      <w:bookmarkEnd w:id="186"/>
      <w:bookmarkEnd w:id="187"/>
    </w:p>
    <w:p>
      <w:pPr>
        <w:pStyle w:val="166"/>
      </w:pPr>
      <w:r>
        <w:rPr>
          <w:rFonts w:hint="eastAsia"/>
        </w:rPr>
        <w:t>装配式混凝土工程项目宜建立一体化信息管理平台，实现对项目建造过程及各参与方的协同管理。</w:t>
      </w:r>
    </w:p>
    <w:p>
      <w:pPr>
        <w:pStyle w:val="166"/>
      </w:pPr>
      <w:r>
        <w:rPr>
          <w:rFonts w:hint="eastAsia"/>
        </w:rPr>
        <w:t>施工过程宜采用信息平台，</w:t>
      </w:r>
      <w:r>
        <w:t>按照构件安装顺序、安装工艺和安装操作规程对装配式建筑构件实现标准化模拟和精细化施工管理，实现基于构件的进场验收、堆场、吊装、安装、质量验收等全过程状态追踪。</w:t>
      </w:r>
    </w:p>
    <w:p>
      <w:pPr>
        <w:pStyle w:val="166"/>
      </w:pPr>
      <w:r>
        <w:rPr>
          <w:rFonts w:hint="eastAsia"/>
        </w:rPr>
        <w:t>宜应用物联网技术实现预制构件生产应用全过程</w:t>
      </w:r>
      <w:r>
        <w:t>质量追溯</w:t>
      </w:r>
      <w:r>
        <w:rPr>
          <w:rFonts w:hint="eastAsia"/>
        </w:rPr>
        <w:t>，</w:t>
      </w:r>
      <w:r>
        <w:t>实现基于物料和构件从采购、</w:t>
      </w:r>
      <w:r>
        <w:rPr>
          <w:rFonts w:hint="eastAsia"/>
        </w:rPr>
        <w:t>生产</w:t>
      </w:r>
      <w:r>
        <w:t>、运输、安装、交付全过程的质量验收和追溯管理</w:t>
      </w:r>
      <w:r>
        <w:rPr>
          <w:rFonts w:hint="eastAsia"/>
        </w:rPr>
        <w:t>。</w:t>
      </w:r>
    </w:p>
    <w:p>
      <w:pPr>
        <w:pStyle w:val="166"/>
      </w:pPr>
      <w:r>
        <w:rPr>
          <w:rFonts w:hint="eastAsia"/>
        </w:rPr>
        <w:t>装配式混凝土结构工程宜实施智慧工地应用，通过管理平台的视频监控、环境分析、塔吊布置、劳务分析等软硬件应用，提高项目现场的信息化应用程度，同时实施项目建造进度跟踪及安装质量预警。</w:t>
      </w:r>
    </w:p>
    <w:p>
      <w:pPr>
        <w:pStyle w:val="57"/>
        <w:ind w:firstLine="420"/>
      </w:pPr>
    </w:p>
    <w:p>
      <w:pPr>
        <w:ind w:firstLine="420"/>
      </w:pPr>
      <w:r>
        <w:rPr>
          <w:rFonts w:hint="eastAsia"/>
        </w:rPr>
        <w:br w:type="page"/>
      </w:r>
    </w:p>
    <w:p>
      <w:pPr>
        <w:jc w:val="center"/>
        <w:rPr>
          <w:rFonts w:ascii="宋体" w:hAnsi="宋体" w:cs="宋体"/>
          <w:color w:val="000000"/>
        </w:rPr>
      </w:pPr>
      <w:r>
        <w:rPr>
          <w:rFonts w:hint="eastAsia" w:ascii="黑体" w:hAnsi="黑体" w:eastAsia="黑体"/>
          <w:color w:val="000000"/>
        </w:rPr>
        <w:t>本文件用词说明</w:t>
      </w:r>
    </w:p>
    <w:p>
      <w:pPr>
        <w:ind w:firstLine="420" w:firstLineChars="200"/>
        <w:rPr>
          <w:rFonts w:hint="eastAsia" w:ascii="宋体" w:hAnsi="宋体" w:cs="宋体"/>
          <w:color w:val="000000"/>
        </w:rPr>
      </w:pPr>
    </w:p>
    <w:p>
      <w:pPr>
        <w:ind w:firstLine="420" w:firstLineChars="200"/>
        <w:rPr>
          <w:rFonts w:ascii="宋体" w:hAnsi="宋体" w:cs="宋体"/>
          <w:color w:val="000000"/>
        </w:rPr>
      </w:pPr>
      <w:r>
        <w:rPr>
          <w:rFonts w:hint="eastAsia" w:ascii="宋体" w:hAnsi="宋体" w:cs="宋体"/>
          <w:color w:val="000000"/>
        </w:rPr>
        <w:t>1 为便于在执行本文件条文时区别对待，对要求严格程度不同的用词说明如下：</w:t>
      </w:r>
    </w:p>
    <w:p>
      <w:pPr>
        <w:ind w:firstLine="840" w:firstLineChars="400"/>
        <w:rPr>
          <w:rFonts w:ascii="宋体" w:hAnsi="宋体" w:cs="宋体"/>
          <w:color w:val="000000"/>
        </w:rPr>
      </w:pPr>
      <w:r>
        <w:rPr>
          <w:rFonts w:hint="eastAsia" w:ascii="宋体" w:hAnsi="宋体" w:cs="宋体"/>
          <w:color w:val="000000"/>
        </w:rPr>
        <w:t>a）表示很严格，非这样做不可的用词：</w:t>
      </w:r>
    </w:p>
    <w:p>
      <w:pPr>
        <w:ind w:firstLine="1098" w:firstLineChars="523"/>
        <w:rPr>
          <w:rFonts w:ascii="宋体" w:hAnsi="宋体" w:cs="宋体"/>
          <w:color w:val="000000"/>
        </w:rPr>
      </w:pPr>
      <w:r>
        <w:rPr>
          <w:rFonts w:hint="eastAsia" w:ascii="宋体" w:hAnsi="宋体" w:cs="宋体"/>
          <w:color w:val="000000"/>
        </w:rPr>
        <w:t>正面词采用“必须”；反面词采用“严禁”。</w:t>
      </w:r>
    </w:p>
    <w:p>
      <w:pPr>
        <w:ind w:firstLine="840" w:firstLineChars="400"/>
        <w:rPr>
          <w:rFonts w:ascii="宋体" w:hAnsi="宋体" w:cs="宋体"/>
          <w:color w:val="000000"/>
        </w:rPr>
      </w:pPr>
      <w:r>
        <w:rPr>
          <w:rFonts w:hint="eastAsia" w:ascii="宋体" w:hAnsi="宋体" w:cs="宋体"/>
          <w:color w:val="000000"/>
        </w:rPr>
        <w:t>b）表示严格，在正常情况下均应这样做的用词：</w:t>
      </w:r>
    </w:p>
    <w:p>
      <w:pPr>
        <w:ind w:firstLine="1098" w:firstLineChars="523"/>
        <w:rPr>
          <w:rFonts w:ascii="宋体" w:hAnsi="宋体" w:cs="宋体"/>
          <w:color w:val="000000"/>
        </w:rPr>
      </w:pPr>
      <w:r>
        <w:rPr>
          <w:rFonts w:hint="eastAsia" w:ascii="宋体" w:hAnsi="宋体" w:cs="宋体"/>
          <w:color w:val="000000"/>
        </w:rPr>
        <w:t>正面词采用“应”；反面词采用“不应”或“不得”。</w:t>
      </w:r>
    </w:p>
    <w:p>
      <w:pPr>
        <w:ind w:firstLine="840" w:firstLineChars="400"/>
        <w:rPr>
          <w:rFonts w:ascii="宋体" w:hAnsi="宋体" w:cs="宋体"/>
          <w:color w:val="000000"/>
        </w:rPr>
      </w:pPr>
      <w:r>
        <w:rPr>
          <w:rFonts w:hint="eastAsia" w:ascii="宋体" w:hAnsi="宋体" w:cs="宋体"/>
          <w:color w:val="000000"/>
        </w:rPr>
        <w:t>c）表示允许稍有选择，在条件许可时首先这样做的用词：</w:t>
      </w:r>
    </w:p>
    <w:p>
      <w:pPr>
        <w:ind w:firstLine="1098" w:firstLineChars="523"/>
        <w:rPr>
          <w:rFonts w:ascii="宋体" w:hAnsi="宋体" w:cs="宋体"/>
          <w:color w:val="000000"/>
        </w:rPr>
      </w:pPr>
      <w:r>
        <w:rPr>
          <w:rFonts w:hint="eastAsia" w:ascii="宋体" w:hAnsi="宋体" w:cs="宋体"/>
          <w:color w:val="000000"/>
        </w:rPr>
        <w:t>正面词采用“宜”，反面词采用“不宜”。</w:t>
      </w:r>
    </w:p>
    <w:p>
      <w:pPr>
        <w:ind w:firstLine="840" w:firstLineChars="400"/>
        <w:rPr>
          <w:rFonts w:ascii="宋体" w:hAnsi="宋体" w:cs="宋体"/>
          <w:color w:val="000000"/>
        </w:rPr>
      </w:pPr>
      <w:r>
        <w:rPr>
          <w:rFonts w:hint="eastAsia" w:ascii="宋体" w:hAnsi="宋体" w:cs="宋体"/>
          <w:color w:val="000000"/>
        </w:rPr>
        <w:t>d）表示有选择，在一定条件下可以这样做的，采用“可”。</w:t>
      </w:r>
    </w:p>
    <w:p>
      <w:pPr>
        <w:pStyle w:val="57"/>
        <w:ind w:firstLine="420"/>
      </w:pPr>
      <w:r>
        <w:rPr>
          <w:rFonts w:hint="eastAsia" w:hAnsi="宋体" w:cs="宋体"/>
          <w:color w:val="000000"/>
        </w:rPr>
        <w:t>2 文件中指定应按其他有关标准、规范执行时，写法为：“应符合……有关规定（要求）”</w:t>
      </w:r>
      <w:r>
        <w:rPr>
          <w:rFonts w:hint="eastAsia"/>
        </w:rPr>
        <w:t xml:space="preserve"> </w:t>
      </w:r>
      <w:r>
        <w:rPr>
          <w:rFonts w:hint="eastAsia" w:hAnsi="宋体" w:cs="宋体"/>
          <w:color w:val="000000"/>
        </w:rPr>
        <w:t>或“应按……执行。</w:t>
      </w:r>
    </w:p>
    <w:p>
      <w:pPr>
        <w:pStyle w:val="57"/>
        <w:ind w:firstLine="420"/>
      </w:pPr>
    </w:p>
    <w:p>
      <w:pPr>
        <w:autoSpaceDE w:val="0"/>
        <w:autoSpaceDN w:val="0"/>
        <w:ind w:firstLine="960"/>
        <w:jc w:val="center"/>
        <w:rPr>
          <w:rFonts w:ascii="宋体" w:hAnsi="宋体" w:cs="宋体"/>
          <w:sz w:val="48"/>
          <w:szCs w:val="48"/>
        </w:rPr>
      </w:pPr>
      <w:r>
        <w:rPr>
          <w:rFonts w:hint="eastAsia"/>
        </w:rPr>
        <w:br w:type="page"/>
      </w:r>
      <w:bookmarkEnd w:id="21"/>
    </w:p>
    <w:p>
      <w:pPr>
        <w:autoSpaceDE w:val="0"/>
        <w:autoSpaceDN w:val="0"/>
        <w:adjustRightInd/>
        <w:spacing w:line="240" w:lineRule="auto"/>
        <w:ind w:firstLine="960" w:firstLineChars="200"/>
        <w:jc w:val="center"/>
        <w:rPr>
          <w:rFonts w:ascii="宋体" w:hAnsi="宋体" w:cs="宋体"/>
          <w:color w:val="000000"/>
          <w:kern w:val="0"/>
          <w:sz w:val="48"/>
          <w:szCs w:val="48"/>
        </w:rPr>
      </w:pPr>
      <w:r>
        <w:rPr>
          <w:rFonts w:hint="eastAsia" w:ascii="宋体" w:hAnsi="宋体" w:cs="宋体"/>
          <w:color w:val="000000"/>
          <w:kern w:val="0"/>
          <w:sz w:val="48"/>
          <w:szCs w:val="48"/>
        </w:rPr>
        <w:t>湖北省地方标准</w:t>
      </w:r>
    </w:p>
    <w:p>
      <w:pPr>
        <w:autoSpaceDE w:val="0"/>
        <w:autoSpaceDN w:val="0"/>
        <w:adjustRightInd/>
        <w:spacing w:line="240" w:lineRule="auto"/>
        <w:ind w:firstLine="420" w:firstLineChars="200"/>
        <w:jc w:val="center"/>
        <w:rPr>
          <w:rFonts w:ascii="宋体" w:hAnsi="宋体" w:cs="宋体"/>
          <w:color w:val="000000"/>
          <w:kern w:val="0"/>
          <w:szCs w:val="22"/>
        </w:rPr>
      </w:pPr>
    </w:p>
    <w:p>
      <w:pPr>
        <w:autoSpaceDE w:val="0"/>
        <w:autoSpaceDN w:val="0"/>
        <w:adjustRightInd/>
        <w:spacing w:line="240" w:lineRule="auto"/>
        <w:ind w:firstLine="420" w:firstLineChars="200"/>
        <w:jc w:val="center"/>
        <w:rPr>
          <w:rFonts w:ascii="宋体" w:hAnsi="宋体" w:cs="宋体"/>
          <w:color w:val="000000"/>
          <w:kern w:val="0"/>
          <w:szCs w:val="22"/>
        </w:rPr>
      </w:pPr>
    </w:p>
    <w:p>
      <w:pPr>
        <w:autoSpaceDE w:val="0"/>
        <w:autoSpaceDN w:val="0"/>
        <w:adjustRightInd/>
        <w:spacing w:line="240" w:lineRule="auto"/>
        <w:ind w:firstLine="420" w:firstLineChars="200"/>
        <w:jc w:val="center"/>
        <w:rPr>
          <w:rFonts w:ascii="宋体" w:hAnsi="宋体" w:cs="宋体"/>
          <w:color w:val="000000"/>
          <w:kern w:val="0"/>
          <w:szCs w:val="22"/>
        </w:rPr>
      </w:pPr>
    </w:p>
    <w:p>
      <w:pPr>
        <w:autoSpaceDE w:val="0"/>
        <w:autoSpaceDN w:val="0"/>
        <w:adjustRightInd/>
        <w:spacing w:line="240" w:lineRule="auto"/>
        <w:jc w:val="center"/>
        <w:rPr>
          <w:rFonts w:ascii="黑体" w:hAnsi="黑体" w:eastAsia="黑体" w:cs="黑体"/>
          <w:kern w:val="0"/>
          <w:sz w:val="48"/>
          <w:szCs w:val="48"/>
          <w:lang w:val="zh-CN"/>
        </w:rPr>
      </w:pPr>
      <w:r>
        <w:rPr>
          <w:rFonts w:hint="eastAsia" w:ascii="黑体" w:hAnsi="黑体" w:eastAsia="黑体" w:cs="黑体"/>
          <w:kern w:val="0"/>
          <w:sz w:val="48"/>
          <w:szCs w:val="48"/>
          <w:lang w:val="zh-CN"/>
        </w:rPr>
        <w:t>装配式混凝土结构工程施工工艺技术规程</w:t>
      </w:r>
    </w:p>
    <w:p>
      <w:pPr>
        <w:autoSpaceDE w:val="0"/>
        <w:autoSpaceDN w:val="0"/>
        <w:adjustRightInd/>
        <w:spacing w:line="240" w:lineRule="auto"/>
        <w:jc w:val="center"/>
        <w:rPr>
          <w:rFonts w:ascii="黑体" w:hAnsi="黑体" w:eastAsia="黑体" w:cs="黑体"/>
          <w:kern w:val="0"/>
          <w:sz w:val="28"/>
          <w:szCs w:val="28"/>
        </w:rPr>
      </w:pPr>
      <w:r>
        <w:rPr>
          <w:rFonts w:ascii="黑体" w:hAnsi="黑体" w:eastAsia="黑体" w:cs="黑体"/>
          <w:kern w:val="0"/>
          <w:sz w:val="28"/>
          <w:szCs w:val="28"/>
        </w:rPr>
        <w:t>Technical specification for construction technology of prefabricated concrete structure engineering</w:t>
      </w:r>
    </w:p>
    <w:p>
      <w:pPr>
        <w:autoSpaceDE w:val="0"/>
        <w:autoSpaceDN w:val="0"/>
        <w:adjustRightInd/>
        <w:spacing w:line="240" w:lineRule="auto"/>
        <w:jc w:val="left"/>
        <w:rPr>
          <w:rFonts w:ascii="宋体" w:hAnsi="宋体" w:cs="宋体"/>
          <w:color w:val="000000"/>
          <w:kern w:val="0"/>
          <w:szCs w:val="22"/>
        </w:rPr>
      </w:pPr>
    </w:p>
    <w:p>
      <w:pPr>
        <w:autoSpaceDE w:val="0"/>
        <w:autoSpaceDN w:val="0"/>
        <w:adjustRightInd/>
        <w:spacing w:line="240" w:lineRule="auto"/>
        <w:ind w:firstLine="420" w:firstLineChars="200"/>
        <w:jc w:val="left"/>
        <w:rPr>
          <w:rFonts w:ascii="宋体" w:hAnsi="宋体" w:cs="宋体"/>
          <w:color w:val="000000"/>
          <w:kern w:val="0"/>
          <w:szCs w:val="22"/>
        </w:rPr>
      </w:pPr>
    </w:p>
    <w:p>
      <w:pPr>
        <w:autoSpaceDE w:val="0"/>
        <w:autoSpaceDN w:val="0"/>
        <w:adjustRightInd/>
        <w:spacing w:line="240" w:lineRule="auto"/>
        <w:ind w:firstLine="420" w:firstLineChars="200"/>
        <w:jc w:val="center"/>
        <w:rPr>
          <w:rFonts w:ascii="黑体" w:hAnsi="黑体" w:eastAsia="黑体" w:cs="黑体"/>
          <w:color w:val="000000"/>
          <w:kern w:val="0"/>
          <w:szCs w:val="22"/>
        </w:rPr>
      </w:pPr>
      <w:r>
        <w:rPr>
          <w:rFonts w:hint="eastAsia" w:ascii="黑体" w:hAnsi="黑体" w:eastAsia="黑体" w:cs="黑体"/>
          <w:color w:val="000000"/>
          <w:kern w:val="0"/>
          <w:szCs w:val="22"/>
        </w:rPr>
        <w:t>条文说明</w:t>
      </w:r>
    </w:p>
    <w:p>
      <w:pPr>
        <w:rPr>
          <w:rFonts w:hint="eastAsia"/>
        </w:rPr>
      </w:pPr>
    </w:p>
    <w:sectPr>
      <w:pgSz w:w="11906" w:h="16838"/>
      <w:pgMar w:top="2410" w:right="1134" w:bottom="1134" w:left="1134" w:header="1418" w:footer="1134" w:gutter="284"/>
      <w:pgNumType w:start="1"/>
      <w:cols w:space="425" w:num="1"/>
      <w:formProt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FZHTJW--GB1-0">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fldChar w:fldCharType="begin"/>
    </w:r>
    <w:r>
      <w:instrText xml:space="preserve">PAGE   \* MERGEFORMAT</w:instrText>
    </w:r>
    <w:r>
      <w:fldChar w:fldCharType="separate"/>
    </w:r>
    <w:r>
      <w:rPr>
        <w:lang w:val="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ind w:right="720"/>
      <w:jc w:val="both"/>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3"/>
    </w:pPr>
    <w:r>
      <w:fldChar w:fldCharType="begin"/>
    </w:r>
    <w:r>
      <w:instrText xml:space="preserve">PAGE   \* MERGEFORMAT</w:instrText>
    </w:r>
    <w:r>
      <w:fldChar w:fldCharType="separate"/>
    </w:r>
    <w:r>
      <w:rPr>
        <w:lang w:val="zh-CN"/>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2"/>
    </w:pPr>
    <w:r>
      <w:fldChar w:fldCharType="begin"/>
    </w:r>
    <w:r>
      <w:instrText xml:space="preserve"> STYLEREF  标准文件_文件编号  \* MERGEFORMAT </w:instrText>
    </w:r>
    <w:r>
      <w:fldChar w:fldCharType="separate"/>
    </w:r>
    <w:r>
      <w:t>DB 42/T XXXX—2021</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right"/>
      <w:rPr>
        <w:lang w:val="fr-FR"/>
      </w:rPr>
    </w:pPr>
    <w:r>
      <w:fldChar w:fldCharType="begin"/>
    </w:r>
    <w:r>
      <w:rPr>
        <w:lang w:val="fr-FR"/>
      </w:rPr>
      <w:instrText xml:space="preserve"> STYLEREF  </w:instrText>
    </w:r>
    <w:r>
      <w:instrText xml:space="preserve">标准文件</w:instrText>
    </w:r>
    <w:r>
      <w:rPr>
        <w:lang w:val="fr-FR"/>
      </w:rPr>
      <w:instrText xml:space="preserve">_</w:instrText>
    </w:r>
    <w:r>
      <w:instrText xml:space="preserve">文件编号</w:instrText>
    </w:r>
    <w:r>
      <w:rPr>
        <w:lang w:val="fr-FR"/>
      </w:rPr>
      <w:instrText xml:space="preserve">  \* MERGEFORMAT </w:instrText>
    </w:r>
    <w:r>
      <w:fldChar w:fldCharType="separate"/>
    </w:r>
    <w:r>
      <w:rPr>
        <w:lang w:val="fr-FR"/>
      </w:rPr>
      <w:t>DB 42/T XXXX—2021</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5"/>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0"/>
      <w:suff w:val="nothing"/>
      <w:lvlText w:val="%1%2.%3　"/>
      <w:lvlJc w:val="left"/>
      <w:pPr>
        <w:ind w:left="0" w:firstLine="0"/>
      </w:pPr>
    </w:lvl>
    <w:lvl w:ilvl="3" w:tentative="0">
      <w:start w:val="1"/>
      <w:numFmt w:val="decimal"/>
      <w:pStyle w:val="119"/>
      <w:suff w:val="nothing"/>
      <w:lvlText w:val="%1%2.%3.%4　"/>
      <w:lvlJc w:val="left"/>
      <w:pPr>
        <w:ind w:left="0" w:firstLine="0"/>
      </w:pPr>
    </w:lvl>
    <w:lvl w:ilvl="4" w:tentative="0">
      <w:start w:val="1"/>
      <w:numFmt w:val="decimal"/>
      <w:pStyle w:val="154"/>
      <w:suff w:val="nothing"/>
      <w:lvlText w:val="%1%2.%3.%4.%5　"/>
      <w:lvlJc w:val="left"/>
      <w:pPr>
        <w:ind w:left="0" w:firstLine="0"/>
      </w:pPr>
    </w:lvl>
    <w:lvl w:ilvl="5" w:tentative="0">
      <w:start w:val="1"/>
      <w:numFmt w:val="decimal"/>
      <w:pStyle w:val="156"/>
      <w:suff w:val="nothing"/>
      <w:lvlText w:val="%1%2.%3.%4.%5.%6　"/>
      <w:lvlJc w:val="left"/>
      <w:pPr>
        <w:ind w:left="0" w:firstLine="0"/>
      </w:pPr>
    </w:lvl>
    <w:lvl w:ilvl="6" w:tentative="0">
      <w:start w:val="1"/>
      <w:numFmt w:val="decimal"/>
      <w:pStyle w:val="159"/>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1"/>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90"/>
      <w:lvlText w:val="%1"/>
      <w:lvlJc w:val="left"/>
      <w:pPr>
        <w:ind w:left="425" w:hanging="425"/>
      </w:pPr>
      <w:rPr>
        <w:rFonts w:hint="eastAsia"/>
      </w:rPr>
    </w:lvl>
    <w:lvl w:ilvl="1" w:tentative="0">
      <w:start w:val="1"/>
      <w:numFmt w:val="decimal"/>
      <w:pStyle w:val="201"/>
      <w:suff w:val="nothing"/>
      <w:lvlText w:val="%10.%2 "/>
      <w:lvlJc w:val="left"/>
      <w:pPr>
        <w:ind w:left="0" w:firstLine="0"/>
      </w:pPr>
      <w:rPr>
        <w:rFonts w:hint="eastAsia" w:ascii="黑体" w:eastAsia="黑体" w:hAnsiTheme="minorHAnsi"/>
        <w:b w:val="0"/>
        <w:i w:val="0"/>
        <w:sz w:val="21"/>
      </w:rPr>
    </w:lvl>
    <w:lvl w:ilvl="2" w:tentative="0">
      <w:start w:val="1"/>
      <w:numFmt w:val="decimal"/>
      <w:pStyle w:val="202"/>
      <w:suff w:val="nothing"/>
      <w:lvlText w:val="%10.%2.%3 "/>
      <w:lvlJc w:val="left"/>
      <w:pPr>
        <w:ind w:left="0" w:firstLine="0"/>
      </w:pPr>
      <w:rPr>
        <w:rFonts w:hint="eastAsia" w:ascii="黑体" w:eastAsia="黑体" w:hAnsiTheme="minorHAnsi"/>
        <w:b w:val="0"/>
        <w:i w:val="0"/>
        <w:sz w:val="21"/>
      </w:rPr>
    </w:lvl>
    <w:lvl w:ilvl="3" w:tentative="0">
      <w:start w:val="1"/>
      <w:numFmt w:val="decimal"/>
      <w:pStyle w:val="203"/>
      <w:suff w:val="nothing"/>
      <w:lvlText w:val="%10.%2.%3.%4 "/>
      <w:lvlJc w:val="left"/>
      <w:pPr>
        <w:ind w:left="0" w:firstLine="0"/>
      </w:pPr>
      <w:rPr>
        <w:rFonts w:hint="eastAsia" w:ascii="黑体" w:eastAsia="黑体" w:hAnsiTheme="minorHAnsi"/>
        <w:b w:val="0"/>
        <w:i w:val="0"/>
        <w:sz w:val="21"/>
      </w:rPr>
    </w:lvl>
    <w:lvl w:ilvl="4" w:tentative="0">
      <w:start w:val="1"/>
      <w:numFmt w:val="decimal"/>
      <w:pStyle w:val="204"/>
      <w:suff w:val="nothing"/>
      <w:lvlText w:val="%10.%2.%3.%4.%5 "/>
      <w:lvlJc w:val="left"/>
      <w:pPr>
        <w:ind w:left="0" w:firstLine="0"/>
      </w:pPr>
      <w:rPr>
        <w:rFonts w:hint="eastAsia" w:ascii="黑体" w:eastAsia="黑体" w:hAnsiTheme="minorHAnsi"/>
        <w:b w:val="0"/>
        <w:i w:val="0"/>
        <w:sz w:val="21"/>
      </w:rPr>
    </w:lvl>
    <w:lvl w:ilvl="5" w:tentative="0">
      <w:start w:val="1"/>
      <w:numFmt w:val="decimal"/>
      <w:pStyle w:val="205"/>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2"/>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68"/>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70"/>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1"/>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6"/>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3"/>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3"/>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8"/>
      <w:lvlText w:val=""/>
      <w:lvlJc w:val="left"/>
      <w:pPr>
        <w:ind w:left="851" w:hanging="431"/>
      </w:pPr>
      <w:rPr>
        <w:rFonts w:hint="default" w:ascii="Symbol" w:hAnsi="Symbol"/>
        <w:sz w:val="21"/>
      </w:rPr>
    </w:lvl>
    <w:lvl w:ilvl="2" w:tentative="0">
      <w:start w:val="1"/>
      <w:numFmt w:val="bullet"/>
      <w:pStyle w:val="173"/>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2"/>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5"/>
      <w:lvlText w:val="%1)"/>
      <w:lvlJc w:val="left"/>
      <w:pPr>
        <w:tabs>
          <w:tab w:val="left" w:pos="851"/>
        </w:tabs>
        <w:ind w:left="846" w:hanging="426"/>
      </w:pPr>
      <w:rPr>
        <w:rFonts w:hint="eastAsia" w:ascii="宋体" w:hAnsi="Times New Roman" w:eastAsia="宋体"/>
        <w:sz w:val="21"/>
      </w:rPr>
    </w:lvl>
    <w:lvl w:ilvl="1" w:tentative="0">
      <w:start w:val="1"/>
      <w:numFmt w:val="decimal"/>
      <w:pStyle w:val="110"/>
      <w:lvlText w:val="%2)"/>
      <w:lvlJc w:val="left"/>
      <w:pPr>
        <w:tabs>
          <w:tab w:val="left" w:pos="1276"/>
        </w:tabs>
        <w:ind w:left="1276" w:hanging="425"/>
      </w:pPr>
      <w:rPr>
        <w:rFonts w:hint="eastAsia" w:ascii="宋体" w:hAnsi="Times New Roman" w:eastAsia="宋体"/>
        <w:sz w:val="21"/>
      </w:rPr>
    </w:lvl>
    <w:lvl w:ilvl="2" w:tentative="0">
      <w:start w:val="1"/>
      <w:numFmt w:val="decimal"/>
      <w:pStyle w:val="118"/>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199"/>
      <w:lvlText w:val="%1"/>
      <w:lvlJc w:val="left"/>
      <w:pPr>
        <w:ind w:left="420" w:hanging="420"/>
      </w:pPr>
      <w:rPr>
        <w:rFonts w:hint="eastAsia"/>
      </w:rPr>
    </w:lvl>
    <w:lvl w:ilvl="1" w:tentative="0">
      <w:start w:val="1"/>
      <w:numFmt w:val="decimal"/>
      <w:pStyle w:val="84"/>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4"/>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17"/>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4"/>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15"/>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200"/>
      <w:suff w:val="space"/>
      <w:lvlText w:val="%1"/>
      <w:lvlJc w:val="left"/>
      <w:pPr>
        <w:ind w:left="425" w:hanging="425"/>
      </w:pPr>
      <w:rPr>
        <w:rFonts w:hint="eastAsia"/>
      </w:rPr>
    </w:lvl>
    <w:lvl w:ilvl="1" w:tentative="0">
      <w:start w:val="1"/>
      <w:numFmt w:val="decimal"/>
      <w:pStyle w:val="78"/>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2"/>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169"/>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13"/>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54A26C9"/>
    <w:multiLevelType w:val="multilevel"/>
    <w:tmpl w:val="654A26C9"/>
    <w:lvl w:ilvl="0" w:tentative="0">
      <w:start w:val="1"/>
      <w:numFmt w:val="none"/>
      <w:pStyle w:val="190"/>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pStyle w:val="77"/>
      <w:suff w:val="nothing"/>
      <w:lvlText w:val="附录%1"/>
      <w:lvlJc w:val="left"/>
      <w:pPr>
        <w:ind w:left="0" w:firstLine="0"/>
      </w:pPr>
      <w:rPr>
        <w:rFonts w:hint="eastAsia"/>
        <w:spacing w:val="100"/>
      </w:rPr>
    </w:lvl>
    <w:lvl w:ilvl="1" w:tentative="0">
      <w:start w:val="1"/>
      <w:numFmt w:val="decimal"/>
      <w:pStyle w:val="79"/>
      <w:suff w:val="nothing"/>
      <w:lvlText w:val="%1.%2　"/>
      <w:lvlJc w:val="left"/>
      <w:pPr>
        <w:ind w:left="0" w:firstLine="0"/>
      </w:pPr>
      <w:rPr>
        <w:rFonts w:hint="eastAsia" w:ascii="黑体" w:eastAsia="黑体"/>
        <w:b w:val="0"/>
        <w:i w:val="0"/>
        <w:sz w:val="21"/>
      </w:rPr>
    </w:lvl>
    <w:lvl w:ilvl="2" w:tentative="0">
      <w:start w:val="1"/>
      <w:numFmt w:val="decimal"/>
      <w:pStyle w:val="80"/>
      <w:suff w:val="nothing"/>
      <w:lvlText w:val="%1.%2.%3　"/>
      <w:lvlJc w:val="left"/>
      <w:pPr>
        <w:ind w:left="0" w:firstLine="0"/>
      </w:pPr>
      <w:rPr>
        <w:rFonts w:hint="eastAsia" w:ascii="黑体" w:eastAsia="黑体"/>
        <w:b w:val="0"/>
        <w:i w:val="0"/>
        <w:sz w:val="21"/>
      </w:rPr>
    </w:lvl>
    <w:lvl w:ilvl="3" w:tentative="0">
      <w:start w:val="1"/>
      <w:numFmt w:val="decimal"/>
      <w:pStyle w:val="82"/>
      <w:suff w:val="nothing"/>
      <w:lvlText w:val="%1.%2.%3.%4　"/>
      <w:lvlJc w:val="left"/>
      <w:pPr>
        <w:ind w:left="0" w:firstLine="0"/>
      </w:pPr>
      <w:rPr>
        <w:rFonts w:hint="eastAsia" w:ascii="黑体" w:eastAsia="黑体"/>
        <w:b w:val="0"/>
        <w:i w:val="0"/>
        <w:sz w:val="21"/>
      </w:rPr>
    </w:lvl>
    <w:lvl w:ilvl="4" w:tentative="0">
      <w:start w:val="1"/>
      <w:numFmt w:val="decimal"/>
      <w:pStyle w:val="83"/>
      <w:suff w:val="nothing"/>
      <w:lvlText w:val="%1.%2.%3.%4.%5　"/>
      <w:lvlJc w:val="left"/>
      <w:pPr>
        <w:ind w:left="0" w:firstLine="0"/>
      </w:pPr>
      <w:rPr>
        <w:rFonts w:hint="eastAsia" w:ascii="黑体" w:eastAsia="黑体"/>
        <w:b w:val="0"/>
        <w:i w:val="0"/>
        <w:sz w:val="21"/>
      </w:rPr>
    </w:lvl>
    <w:lvl w:ilvl="5" w:tentative="0">
      <w:start w:val="1"/>
      <w:numFmt w:val="decimal"/>
      <w:pStyle w:val="85"/>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tentative="0">
      <w:start w:val="1"/>
      <w:numFmt w:val="bullet"/>
      <w:pStyle w:val="189"/>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CA41985"/>
    <w:multiLevelType w:val="multilevel"/>
    <w:tmpl w:val="6CA41985"/>
    <w:lvl w:ilvl="0" w:tentative="0">
      <w:start w:val="1"/>
      <w:numFmt w:val="decimal"/>
      <w:pStyle w:val="98"/>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6CE42AC1"/>
    <w:multiLevelType w:val="multilevel"/>
    <w:tmpl w:val="6CE42AC1"/>
    <w:lvl w:ilvl="0" w:tentative="0">
      <w:start w:val="1"/>
      <w:numFmt w:val="lowerLetter"/>
      <w:pStyle w:val="174"/>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CEA2025"/>
    <w:multiLevelType w:val="multilevel"/>
    <w:tmpl w:val="6CEA2025"/>
    <w:lvl w:ilvl="0" w:tentative="0">
      <w:start w:val="1"/>
      <w:numFmt w:val="none"/>
      <w:pStyle w:val="153"/>
      <w:suff w:val="nothing"/>
      <w:lvlText w:val="%1"/>
      <w:lvlJc w:val="left"/>
      <w:pPr>
        <w:ind w:left="0" w:firstLine="0"/>
      </w:pPr>
      <w:rPr>
        <w:rFonts w:hint="eastAsia"/>
      </w:rPr>
    </w:lvl>
    <w:lvl w:ilvl="1" w:tentative="0">
      <w:start w:val="1"/>
      <w:numFmt w:val="decimal"/>
      <w:pStyle w:val="105"/>
      <w:suff w:val="nothing"/>
      <w:lvlText w:val="%1%2　"/>
      <w:lvlJc w:val="left"/>
      <w:pPr>
        <w:ind w:left="0" w:firstLine="0"/>
      </w:pPr>
      <w:rPr>
        <w:rFonts w:hint="eastAsia" w:ascii="黑体" w:eastAsia="黑体"/>
        <w:b w:val="0"/>
        <w:i w:val="0"/>
        <w:sz w:val="21"/>
      </w:rPr>
    </w:lvl>
    <w:lvl w:ilvl="2" w:tentative="0">
      <w:start w:val="1"/>
      <w:numFmt w:val="decimal"/>
      <w:pStyle w:val="106"/>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66"/>
      <w:suff w:val="nothing"/>
      <w:lvlText w:val="%1%2.%3.%4　"/>
      <w:lvlJc w:val="left"/>
      <w:pPr>
        <w:ind w:left="0" w:firstLine="0"/>
      </w:pPr>
      <w:rPr>
        <w:rFonts w:hint="eastAsia" w:ascii="黑体" w:eastAsia="黑体"/>
        <w:b w:val="0"/>
        <w:i w:val="0"/>
        <w:sz w:val="21"/>
      </w:rPr>
    </w:lvl>
    <w:lvl w:ilvl="4" w:tentative="0">
      <w:start w:val="1"/>
      <w:numFmt w:val="decimal"/>
      <w:pStyle w:val="95"/>
      <w:suff w:val="nothing"/>
      <w:lvlText w:val="%1%2.%3.%4.%5　"/>
      <w:lvlJc w:val="left"/>
      <w:pPr>
        <w:ind w:left="0" w:firstLine="0"/>
      </w:pPr>
      <w:rPr>
        <w:rFonts w:hint="eastAsia" w:ascii="黑体" w:eastAsia="黑体"/>
        <w:b w:val="0"/>
        <w:i w:val="0"/>
        <w:sz w:val="21"/>
      </w:rPr>
    </w:lvl>
    <w:lvl w:ilvl="5" w:tentative="0">
      <w:start w:val="1"/>
      <w:numFmt w:val="decimal"/>
      <w:pStyle w:val="99"/>
      <w:suff w:val="nothing"/>
      <w:lvlText w:val="%1%2.%3.%4.%5.%6　"/>
      <w:lvlJc w:val="left"/>
      <w:pPr>
        <w:ind w:left="0" w:firstLine="0"/>
      </w:pPr>
      <w:rPr>
        <w:rFonts w:hint="eastAsia" w:ascii="黑体" w:eastAsia="黑体"/>
        <w:b w:val="0"/>
        <w:i w:val="0"/>
        <w:sz w:val="21"/>
      </w:rPr>
    </w:lvl>
    <w:lvl w:ilvl="6" w:tentative="0">
      <w:start w:val="1"/>
      <w:numFmt w:val="decimal"/>
      <w:pStyle w:val="104"/>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tentative="0">
      <w:start w:val="1"/>
      <w:numFmt w:val="none"/>
      <w:pStyle w:val="180"/>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tentative="0">
      <w:start w:val="1"/>
      <w:numFmt w:val="decimal"/>
      <w:pStyle w:val="116"/>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0">
    <w:nsid w:val="76933334"/>
    <w:multiLevelType w:val="multilevel"/>
    <w:tmpl w:val="76933334"/>
    <w:lvl w:ilvl="0" w:tentative="0">
      <w:start w:val="1"/>
      <w:numFmt w:val="none"/>
      <w:pStyle w:val="140"/>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attachedTemplate r:id="rId1"/>
  <w:documentProtection w:edit="forms" w:enforcement="0"/>
  <w:defaultTabStop w:val="420"/>
  <w:drawingGridHorizontalSpacing w:val="105"/>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365"/>
    <w:rsid w:val="0000040A"/>
    <w:rsid w:val="00000A94"/>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F06E1"/>
    <w:rsid w:val="000F0E3C"/>
    <w:rsid w:val="000F19D5"/>
    <w:rsid w:val="000F4AEA"/>
    <w:rsid w:val="000F4C00"/>
    <w:rsid w:val="000F633F"/>
    <w:rsid w:val="000F67E9"/>
    <w:rsid w:val="00104926"/>
    <w:rsid w:val="00113B1E"/>
    <w:rsid w:val="0011711C"/>
    <w:rsid w:val="0012059C"/>
    <w:rsid w:val="00124E4F"/>
    <w:rsid w:val="001260B7"/>
    <w:rsid w:val="001265CB"/>
    <w:rsid w:val="001321C6"/>
    <w:rsid w:val="001325C4"/>
    <w:rsid w:val="00133010"/>
    <w:rsid w:val="001338EE"/>
    <w:rsid w:val="00133AAE"/>
    <w:rsid w:val="00135323"/>
    <w:rsid w:val="001356C4"/>
    <w:rsid w:val="00141114"/>
    <w:rsid w:val="00142969"/>
    <w:rsid w:val="001446C2"/>
    <w:rsid w:val="001457E7"/>
    <w:rsid w:val="00145D9D"/>
    <w:rsid w:val="00146388"/>
    <w:rsid w:val="001529E5"/>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40A8"/>
    <w:rsid w:val="001852C9"/>
    <w:rsid w:val="00190087"/>
    <w:rsid w:val="001913C4"/>
    <w:rsid w:val="0019348F"/>
    <w:rsid w:val="00193A07"/>
    <w:rsid w:val="00194C95"/>
    <w:rsid w:val="00195C34"/>
    <w:rsid w:val="00196EF5"/>
    <w:rsid w:val="001A0365"/>
    <w:rsid w:val="001A1A53"/>
    <w:rsid w:val="001A234A"/>
    <w:rsid w:val="001A4CF3"/>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4EE9"/>
    <w:rsid w:val="001F69B4"/>
    <w:rsid w:val="001F77C7"/>
    <w:rsid w:val="00200183"/>
    <w:rsid w:val="00200333"/>
    <w:rsid w:val="0020107D"/>
    <w:rsid w:val="00202AA4"/>
    <w:rsid w:val="002031F7"/>
    <w:rsid w:val="002040E6"/>
    <w:rsid w:val="0020527B"/>
    <w:rsid w:val="00205F2C"/>
    <w:rsid w:val="00210B15"/>
    <w:rsid w:val="002142EA"/>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1E1C"/>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A7E"/>
    <w:rsid w:val="00313B85"/>
    <w:rsid w:val="00317988"/>
    <w:rsid w:val="003221B4"/>
    <w:rsid w:val="0032258D"/>
    <w:rsid w:val="00322E62"/>
    <w:rsid w:val="00324D13"/>
    <w:rsid w:val="00324D2A"/>
    <w:rsid w:val="00324EDD"/>
    <w:rsid w:val="00325D1D"/>
    <w:rsid w:val="003331E4"/>
    <w:rsid w:val="00336C64"/>
    <w:rsid w:val="00337162"/>
    <w:rsid w:val="0034194F"/>
    <w:rsid w:val="00344605"/>
    <w:rsid w:val="003474AA"/>
    <w:rsid w:val="00350D1D"/>
    <w:rsid w:val="00352C83"/>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5700"/>
    <w:rsid w:val="003974EB"/>
    <w:rsid w:val="00397CC5"/>
    <w:rsid w:val="003A1582"/>
    <w:rsid w:val="003A4077"/>
    <w:rsid w:val="003B09AD"/>
    <w:rsid w:val="003B1F18"/>
    <w:rsid w:val="003B5BF0"/>
    <w:rsid w:val="003B60BF"/>
    <w:rsid w:val="003B6BE3"/>
    <w:rsid w:val="003C010C"/>
    <w:rsid w:val="003C0A6C"/>
    <w:rsid w:val="003C14F8"/>
    <w:rsid w:val="003C5A43"/>
    <w:rsid w:val="003D0519"/>
    <w:rsid w:val="003D0FF6"/>
    <w:rsid w:val="003D262C"/>
    <w:rsid w:val="003D6D61"/>
    <w:rsid w:val="003E091D"/>
    <w:rsid w:val="003E1C53"/>
    <w:rsid w:val="003E2A69"/>
    <w:rsid w:val="003E2D49"/>
    <w:rsid w:val="003E2FD4"/>
    <w:rsid w:val="003E49F6"/>
    <w:rsid w:val="003E660F"/>
    <w:rsid w:val="003F0841"/>
    <w:rsid w:val="003F23D3"/>
    <w:rsid w:val="003F3F08"/>
    <w:rsid w:val="003F49F1"/>
    <w:rsid w:val="003F6272"/>
    <w:rsid w:val="00400E72"/>
    <w:rsid w:val="00401347"/>
    <w:rsid w:val="00401400"/>
    <w:rsid w:val="00404869"/>
    <w:rsid w:val="00405884"/>
    <w:rsid w:val="00405EB1"/>
    <w:rsid w:val="00407D39"/>
    <w:rsid w:val="0041477A"/>
    <w:rsid w:val="004167A3"/>
    <w:rsid w:val="00432DAA"/>
    <w:rsid w:val="00434305"/>
    <w:rsid w:val="00435DF7"/>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7E6"/>
    <w:rsid w:val="004A1BA8"/>
    <w:rsid w:val="004A4B57"/>
    <w:rsid w:val="004A63FA"/>
    <w:rsid w:val="004B0272"/>
    <w:rsid w:val="004B2701"/>
    <w:rsid w:val="004B2E1B"/>
    <w:rsid w:val="004B3AA8"/>
    <w:rsid w:val="004B3E93"/>
    <w:rsid w:val="004C1FBC"/>
    <w:rsid w:val="004C3F1D"/>
    <w:rsid w:val="004C458D"/>
    <w:rsid w:val="004C7556"/>
    <w:rsid w:val="004C7E8B"/>
    <w:rsid w:val="004C7E9D"/>
    <w:rsid w:val="004C7F67"/>
    <w:rsid w:val="004D076D"/>
    <w:rsid w:val="004D0EF1"/>
    <w:rsid w:val="004D2253"/>
    <w:rsid w:val="004D4406"/>
    <w:rsid w:val="004D7C42"/>
    <w:rsid w:val="004E0465"/>
    <w:rsid w:val="004E127B"/>
    <w:rsid w:val="004E1C0A"/>
    <w:rsid w:val="004E2B06"/>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487B"/>
    <w:rsid w:val="00564FB9"/>
    <w:rsid w:val="00573D9E"/>
    <w:rsid w:val="005801E3"/>
    <w:rsid w:val="00581802"/>
    <w:rsid w:val="005836A8"/>
    <w:rsid w:val="0058409C"/>
    <w:rsid w:val="00584262"/>
    <w:rsid w:val="00586630"/>
    <w:rsid w:val="00587ADD"/>
    <w:rsid w:val="00591E27"/>
    <w:rsid w:val="00596160"/>
    <w:rsid w:val="005966E2"/>
    <w:rsid w:val="00597007"/>
    <w:rsid w:val="005A0966"/>
    <w:rsid w:val="005A11B7"/>
    <w:rsid w:val="005A260B"/>
    <w:rsid w:val="005A4A1B"/>
    <w:rsid w:val="005A7830"/>
    <w:rsid w:val="005A7FCE"/>
    <w:rsid w:val="005B0F3F"/>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6812"/>
    <w:rsid w:val="005E7881"/>
    <w:rsid w:val="005E78E0"/>
    <w:rsid w:val="005F0D9C"/>
    <w:rsid w:val="005F284E"/>
    <w:rsid w:val="005F4712"/>
    <w:rsid w:val="006015CE"/>
    <w:rsid w:val="00604784"/>
    <w:rsid w:val="00606419"/>
    <w:rsid w:val="00607D29"/>
    <w:rsid w:val="00612952"/>
    <w:rsid w:val="00614CC1"/>
    <w:rsid w:val="00615000"/>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1206"/>
    <w:rsid w:val="00662528"/>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5D22"/>
    <w:rsid w:val="006A07AA"/>
    <w:rsid w:val="006A12CC"/>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D04EA"/>
    <w:rsid w:val="006D16C4"/>
    <w:rsid w:val="006D3E96"/>
    <w:rsid w:val="006D4515"/>
    <w:rsid w:val="006D4BB1"/>
    <w:rsid w:val="006D6593"/>
    <w:rsid w:val="006E124A"/>
    <w:rsid w:val="006E23EA"/>
    <w:rsid w:val="006F03A8"/>
    <w:rsid w:val="006F2ACA"/>
    <w:rsid w:val="006F2ADC"/>
    <w:rsid w:val="006F2BFE"/>
    <w:rsid w:val="006F31E9"/>
    <w:rsid w:val="006F4C9A"/>
    <w:rsid w:val="006F6284"/>
    <w:rsid w:val="007002C5"/>
    <w:rsid w:val="00704387"/>
    <w:rsid w:val="00707669"/>
    <w:rsid w:val="00711CBA"/>
    <w:rsid w:val="00711FB5"/>
    <w:rsid w:val="00712A01"/>
    <w:rsid w:val="00714F58"/>
    <w:rsid w:val="00722FBF"/>
    <w:rsid w:val="00722FC2"/>
    <w:rsid w:val="00724879"/>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6FD9"/>
    <w:rsid w:val="007A7FFA"/>
    <w:rsid w:val="007B04EB"/>
    <w:rsid w:val="007B0D4F"/>
    <w:rsid w:val="007B5A3D"/>
    <w:rsid w:val="007B5B95"/>
    <w:rsid w:val="007B68EA"/>
    <w:rsid w:val="007B7453"/>
    <w:rsid w:val="007C1E8B"/>
    <w:rsid w:val="007C2D89"/>
    <w:rsid w:val="007C4593"/>
    <w:rsid w:val="007C5309"/>
    <w:rsid w:val="007C6069"/>
    <w:rsid w:val="007C67F1"/>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3303"/>
    <w:rsid w:val="008233B2"/>
    <w:rsid w:val="00823A9F"/>
    <w:rsid w:val="00823C85"/>
    <w:rsid w:val="00825138"/>
    <w:rsid w:val="008269DD"/>
    <w:rsid w:val="00830621"/>
    <w:rsid w:val="0083138B"/>
    <w:rsid w:val="0083348C"/>
    <w:rsid w:val="008373D3"/>
    <w:rsid w:val="00840617"/>
    <w:rsid w:val="00840F84"/>
    <w:rsid w:val="00842A47"/>
    <w:rsid w:val="00842D1E"/>
    <w:rsid w:val="00843C13"/>
    <w:rsid w:val="008454F8"/>
    <w:rsid w:val="0085173A"/>
    <w:rsid w:val="00856316"/>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893"/>
    <w:rsid w:val="008A3215"/>
    <w:rsid w:val="008A57E6"/>
    <w:rsid w:val="008A6F81"/>
    <w:rsid w:val="008A723A"/>
    <w:rsid w:val="008A769A"/>
    <w:rsid w:val="008B0C9C"/>
    <w:rsid w:val="008B166D"/>
    <w:rsid w:val="008B17F4"/>
    <w:rsid w:val="008B3615"/>
    <w:rsid w:val="008B4AC4"/>
    <w:rsid w:val="008B50C8"/>
    <w:rsid w:val="008B5281"/>
    <w:rsid w:val="008B7E05"/>
    <w:rsid w:val="008C0C8B"/>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23A5"/>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F5"/>
    <w:rsid w:val="009249EC"/>
    <w:rsid w:val="00926693"/>
    <w:rsid w:val="009273B3"/>
    <w:rsid w:val="009305B5"/>
    <w:rsid w:val="009429D5"/>
    <w:rsid w:val="00942BF1"/>
    <w:rsid w:val="00945180"/>
    <w:rsid w:val="00945428"/>
    <w:rsid w:val="0094607B"/>
    <w:rsid w:val="00953604"/>
    <w:rsid w:val="0095496B"/>
    <w:rsid w:val="009610DC"/>
    <w:rsid w:val="00961490"/>
    <w:rsid w:val="0096381A"/>
    <w:rsid w:val="00965E04"/>
    <w:rsid w:val="009674AD"/>
    <w:rsid w:val="00970CDC"/>
    <w:rsid w:val="009723B0"/>
    <w:rsid w:val="00977010"/>
    <w:rsid w:val="00977D02"/>
    <w:rsid w:val="009809BB"/>
    <w:rsid w:val="0098364B"/>
    <w:rsid w:val="009911AF"/>
    <w:rsid w:val="00991875"/>
    <w:rsid w:val="00991F92"/>
    <w:rsid w:val="00992985"/>
    <w:rsid w:val="00993889"/>
    <w:rsid w:val="0099551B"/>
    <w:rsid w:val="00997BF1"/>
    <w:rsid w:val="009A089C"/>
    <w:rsid w:val="009A118E"/>
    <w:rsid w:val="009A21CD"/>
    <w:rsid w:val="009A278C"/>
    <w:rsid w:val="009A2BC2"/>
    <w:rsid w:val="009A42C1"/>
    <w:rsid w:val="009A4436"/>
    <w:rsid w:val="009A5429"/>
    <w:rsid w:val="009A72AD"/>
    <w:rsid w:val="009B09E0"/>
    <w:rsid w:val="009B0BC5"/>
    <w:rsid w:val="009B1247"/>
    <w:rsid w:val="009B6029"/>
    <w:rsid w:val="009B6971"/>
    <w:rsid w:val="009C27F1"/>
    <w:rsid w:val="009C2888"/>
    <w:rsid w:val="009C3152"/>
    <w:rsid w:val="009C4CFA"/>
    <w:rsid w:val="009C5070"/>
    <w:rsid w:val="009C6A26"/>
    <w:rsid w:val="009D112C"/>
    <w:rsid w:val="009D47FA"/>
    <w:rsid w:val="009D4C5B"/>
    <w:rsid w:val="009D50D2"/>
    <w:rsid w:val="009D6BCA"/>
    <w:rsid w:val="009E0F62"/>
    <w:rsid w:val="009E4A58"/>
    <w:rsid w:val="009E5A2D"/>
    <w:rsid w:val="009E5AB2"/>
    <w:rsid w:val="009E6219"/>
    <w:rsid w:val="009F03B3"/>
    <w:rsid w:val="009F5E32"/>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278DB"/>
    <w:rsid w:val="00A30EFC"/>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661E"/>
    <w:rsid w:val="00A46BB7"/>
    <w:rsid w:val="00A52F61"/>
    <w:rsid w:val="00A55BD6"/>
    <w:rsid w:val="00A55D50"/>
    <w:rsid w:val="00A57142"/>
    <w:rsid w:val="00A648CD"/>
    <w:rsid w:val="00A6537A"/>
    <w:rsid w:val="00A67866"/>
    <w:rsid w:val="00A70B07"/>
    <w:rsid w:val="00A723F8"/>
    <w:rsid w:val="00A72BC1"/>
    <w:rsid w:val="00A77CCB"/>
    <w:rsid w:val="00A83D8D"/>
    <w:rsid w:val="00A8446B"/>
    <w:rsid w:val="00A8473F"/>
    <w:rsid w:val="00A862D6"/>
    <w:rsid w:val="00A8715E"/>
    <w:rsid w:val="00A9295B"/>
    <w:rsid w:val="00A93B09"/>
    <w:rsid w:val="00A94247"/>
    <w:rsid w:val="00A952D7"/>
    <w:rsid w:val="00A963F7"/>
    <w:rsid w:val="00A96AD8"/>
    <w:rsid w:val="00AA052C"/>
    <w:rsid w:val="00AA1E45"/>
    <w:rsid w:val="00AA4286"/>
    <w:rsid w:val="00AA456B"/>
    <w:rsid w:val="00AA57F5"/>
    <w:rsid w:val="00AA672E"/>
    <w:rsid w:val="00AA6EC9"/>
    <w:rsid w:val="00AB41D5"/>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37E5"/>
    <w:rsid w:val="00AE5EB4"/>
    <w:rsid w:val="00AF0C18"/>
    <w:rsid w:val="00AF47C5"/>
    <w:rsid w:val="00AF5398"/>
    <w:rsid w:val="00B049AF"/>
    <w:rsid w:val="00B07242"/>
    <w:rsid w:val="00B10534"/>
    <w:rsid w:val="00B113DB"/>
    <w:rsid w:val="00B11D8A"/>
    <w:rsid w:val="00B12981"/>
    <w:rsid w:val="00B147DD"/>
    <w:rsid w:val="00B15196"/>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4ABC"/>
    <w:rsid w:val="00B54DDE"/>
    <w:rsid w:val="00B56FBE"/>
    <w:rsid w:val="00B60ACF"/>
    <w:rsid w:val="00B62B58"/>
    <w:rsid w:val="00B65149"/>
    <w:rsid w:val="00B66567"/>
    <w:rsid w:val="00B66F52"/>
    <w:rsid w:val="00B66FE5"/>
    <w:rsid w:val="00B72880"/>
    <w:rsid w:val="00B758BF"/>
    <w:rsid w:val="00B77EC8"/>
    <w:rsid w:val="00B827A6"/>
    <w:rsid w:val="00B831CE"/>
    <w:rsid w:val="00B86677"/>
    <w:rsid w:val="00B87131"/>
    <w:rsid w:val="00B939B1"/>
    <w:rsid w:val="00B96D40"/>
    <w:rsid w:val="00B97386"/>
    <w:rsid w:val="00BA263B"/>
    <w:rsid w:val="00BA42B2"/>
    <w:rsid w:val="00BA58D4"/>
    <w:rsid w:val="00BA5B9E"/>
    <w:rsid w:val="00BA7C9A"/>
    <w:rsid w:val="00BB5F8F"/>
    <w:rsid w:val="00BB657A"/>
    <w:rsid w:val="00BC1A4E"/>
    <w:rsid w:val="00BC5DC7"/>
    <w:rsid w:val="00BC6B8B"/>
    <w:rsid w:val="00BC73D8"/>
    <w:rsid w:val="00BD52D7"/>
    <w:rsid w:val="00BD5AD2"/>
    <w:rsid w:val="00BD763A"/>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148"/>
    <w:rsid w:val="00C24C8D"/>
    <w:rsid w:val="00C25FE2"/>
    <w:rsid w:val="00C26B53"/>
    <w:rsid w:val="00C279B2"/>
    <w:rsid w:val="00C33E50"/>
    <w:rsid w:val="00C34C20"/>
    <w:rsid w:val="00C35A3E"/>
    <w:rsid w:val="00C42130"/>
    <w:rsid w:val="00C423A4"/>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CB8"/>
    <w:rsid w:val="00C819F8"/>
    <w:rsid w:val="00C8248C"/>
    <w:rsid w:val="00C84E33"/>
    <w:rsid w:val="00C86D6F"/>
    <w:rsid w:val="00C905FC"/>
    <w:rsid w:val="00C90E27"/>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4B65"/>
    <w:rsid w:val="00CC5233"/>
    <w:rsid w:val="00CC5DE6"/>
    <w:rsid w:val="00CC6E4E"/>
    <w:rsid w:val="00CC6FE8"/>
    <w:rsid w:val="00CC7202"/>
    <w:rsid w:val="00CD2808"/>
    <w:rsid w:val="00CD28BF"/>
    <w:rsid w:val="00CD3640"/>
    <w:rsid w:val="00CD4092"/>
    <w:rsid w:val="00CD4A20"/>
    <w:rsid w:val="00CD50A1"/>
    <w:rsid w:val="00CD519E"/>
    <w:rsid w:val="00CE0C4F"/>
    <w:rsid w:val="00CE30EA"/>
    <w:rsid w:val="00CF048A"/>
    <w:rsid w:val="00CF155A"/>
    <w:rsid w:val="00CF2947"/>
    <w:rsid w:val="00CF686F"/>
    <w:rsid w:val="00CF6E60"/>
    <w:rsid w:val="00CF7BCA"/>
    <w:rsid w:val="00D008FD"/>
    <w:rsid w:val="00D0321C"/>
    <w:rsid w:val="00D035EC"/>
    <w:rsid w:val="00D06AB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3457"/>
    <w:rsid w:val="00D352A2"/>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38EE"/>
    <w:rsid w:val="00DB498B"/>
    <w:rsid w:val="00DB66CA"/>
    <w:rsid w:val="00DB6BCA"/>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DF5F11"/>
    <w:rsid w:val="00E01138"/>
    <w:rsid w:val="00E02DFB"/>
    <w:rsid w:val="00E030F9"/>
    <w:rsid w:val="00E0311A"/>
    <w:rsid w:val="00E03138"/>
    <w:rsid w:val="00E06404"/>
    <w:rsid w:val="00E11A85"/>
    <w:rsid w:val="00E12495"/>
    <w:rsid w:val="00E15CCD"/>
    <w:rsid w:val="00E202EF"/>
    <w:rsid w:val="00E210B5"/>
    <w:rsid w:val="00E23D99"/>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6800"/>
    <w:rsid w:val="00E60C63"/>
    <w:rsid w:val="00E62FF9"/>
    <w:rsid w:val="00E635D6"/>
    <w:rsid w:val="00E639BC"/>
    <w:rsid w:val="00E664CC"/>
    <w:rsid w:val="00E70388"/>
    <w:rsid w:val="00E70F92"/>
    <w:rsid w:val="00E74C54"/>
    <w:rsid w:val="00E77A03"/>
    <w:rsid w:val="00E822E8"/>
    <w:rsid w:val="00E82554"/>
    <w:rsid w:val="00E82606"/>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7DE"/>
    <w:rsid w:val="00EB1E69"/>
    <w:rsid w:val="00EB2086"/>
    <w:rsid w:val="00EB5EDF"/>
    <w:rsid w:val="00EB60FE"/>
    <w:rsid w:val="00EB74DB"/>
    <w:rsid w:val="00EC5359"/>
    <w:rsid w:val="00EC562A"/>
    <w:rsid w:val="00ED067A"/>
    <w:rsid w:val="00ED2B50"/>
    <w:rsid w:val="00ED3375"/>
    <w:rsid w:val="00EE0350"/>
    <w:rsid w:val="00EE0719"/>
    <w:rsid w:val="00EE0E80"/>
    <w:rsid w:val="00EE54A6"/>
    <w:rsid w:val="00EE613F"/>
    <w:rsid w:val="00EE7295"/>
    <w:rsid w:val="00EE7869"/>
    <w:rsid w:val="00EF054A"/>
    <w:rsid w:val="00EF3235"/>
    <w:rsid w:val="00EF7E72"/>
    <w:rsid w:val="00F06D37"/>
    <w:rsid w:val="00F07B9D"/>
    <w:rsid w:val="00F11586"/>
    <w:rsid w:val="00F1183B"/>
    <w:rsid w:val="00F11C9F"/>
    <w:rsid w:val="00F12263"/>
    <w:rsid w:val="00F1409D"/>
    <w:rsid w:val="00F14214"/>
    <w:rsid w:val="00F157A9"/>
    <w:rsid w:val="00F25BB6"/>
    <w:rsid w:val="00F26B7E"/>
    <w:rsid w:val="00F27A3B"/>
    <w:rsid w:val="00F33817"/>
    <w:rsid w:val="00F420D5"/>
    <w:rsid w:val="00F447E7"/>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1141"/>
    <w:rsid w:val="00F833BA"/>
    <w:rsid w:val="00F84FD0"/>
    <w:rsid w:val="00F859A8"/>
    <w:rsid w:val="00F86D87"/>
    <w:rsid w:val="00F9108B"/>
    <w:rsid w:val="00F91349"/>
    <w:rsid w:val="00F92053"/>
    <w:rsid w:val="00F93A8A"/>
    <w:rsid w:val="00F95248"/>
    <w:rsid w:val="00F956A9"/>
    <w:rsid w:val="00F963ED"/>
    <w:rsid w:val="00F966CF"/>
    <w:rsid w:val="00F96CAE"/>
    <w:rsid w:val="00F97C99"/>
    <w:rsid w:val="00FA4DAC"/>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3AA1"/>
    <w:rsid w:val="00FD59EB"/>
    <w:rsid w:val="00FD7299"/>
    <w:rsid w:val="00FE1FBE"/>
    <w:rsid w:val="00FE3901"/>
    <w:rsid w:val="00FE39D3"/>
    <w:rsid w:val="00FE4BCE"/>
    <w:rsid w:val="00FE54AE"/>
    <w:rsid w:val="00FE576A"/>
    <w:rsid w:val="00FE7E79"/>
    <w:rsid w:val="00FF3E7D"/>
    <w:rsid w:val="00FF4859"/>
    <w:rsid w:val="00FF5B99"/>
    <w:rsid w:val="00FF730C"/>
    <w:rsid w:val="00FF73F4"/>
    <w:rsid w:val="00FF7CE4"/>
    <w:rsid w:val="00FF7E39"/>
    <w:rsid w:val="02F479A3"/>
    <w:rsid w:val="036D0CD1"/>
    <w:rsid w:val="037B1FF7"/>
    <w:rsid w:val="03881C45"/>
    <w:rsid w:val="04413F29"/>
    <w:rsid w:val="047533A9"/>
    <w:rsid w:val="06A4249D"/>
    <w:rsid w:val="091A0E4E"/>
    <w:rsid w:val="09D571F2"/>
    <w:rsid w:val="0B00406D"/>
    <w:rsid w:val="0B382ECD"/>
    <w:rsid w:val="0C0879AD"/>
    <w:rsid w:val="0CB60656"/>
    <w:rsid w:val="0CD15259"/>
    <w:rsid w:val="0DD52C06"/>
    <w:rsid w:val="0E4F6313"/>
    <w:rsid w:val="0F055B6C"/>
    <w:rsid w:val="0F422279"/>
    <w:rsid w:val="0F9431F4"/>
    <w:rsid w:val="0FEC35FA"/>
    <w:rsid w:val="12FC53C2"/>
    <w:rsid w:val="1834066A"/>
    <w:rsid w:val="1AA87F84"/>
    <w:rsid w:val="1B3A7B7B"/>
    <w:rsid w:val="1D0E72EC"/>
    <w:rsid w:val="1E3161DB"/>
    <w:rsid w:val="1EF32293"/>
    <w:rsid w:val="1F341670"/>
    <w:rsid w:val="1F6A7A7E"/>
    <w:rsid w:val="20BD4775"/>
    <w:rsid w:val="23162FC1"/>
    <w:rsid w:val="23C95391"/>
    <w:rsid w:val="240F2744"/>
    <w:rsid w:val="241F608F"/>
    <w:rsid w:val="26286A7B"/>
    <w:rsid w:val="26986A14"/>
    <w:rsid w:val="27383E61"/>
    <w:rsid w:val="295D3AE2"/>
    <w:rsid w:val="2A254147"/>
    <w:rsid w:val="2B8E7611"/>
    <w:rsid w:val="2BEB0515"/>
    <w:rsid w:val="2F925807"/>
    <w:rsid w:val="30BA2CC6"/>
    <w:rsid w:val="313D3DCB"/>
    <w:rsid w:val="316E7F48"/>
    <w:rsid w:val="3274152E"/>
    <w:rsid w:val="32E12B9C"/>
    <w:rsid w:val="34382BB7"/>
    <w:rsid w:val="35374963"/>
    <w:rsid w:val="36482D79"/>
    <w:rsid w:val="37C91182"/>
    <w:rsid w:val="383D47AD"/>
    <w:rsid w:val="38415062"/>
    <w:rsid w:val="38871B57"/>
    <w:rsid w:val="392E58F2"/>
    <w:rsid w:val="39FB5BC0"/>
    <w:rsid w:val="3AE816A7"/>
    <w:rsid w:val="3C6639F3"/>
    <w:rsid w:val="3C9B2EB2"/>
    <w:rsid w:val="41D9539A"/>
    <w:rsid w:val="43561741"/>
    <w:rsid w:val="43D3575B"/>
    <w:rsid w:val="44B618B9"/>
    <w:rsid w:val="45463E1F"/>
    <w:rsid w:val="465E1817"/>
    <w:rsid w:val="47095761"/>
    <w:rsid w:val="472C7ECA"/>
    <w:rsid w:val="47E83C12"/>
    <w:rsid w:val="48224FAE"/>
    <w:rsid w:val="4A7109DD"/>
    <w:rsid w:val="4B9806BE"/>
    <w:rsid w:val="4C201E83"/>
    <w:rsid w:val="4D1330B2"/>
    <w:rsid w:val="4F2301BA"/>
    <w:rsid w:val="4F5203DB"/>
    <w:rsid w:val="4FCB5F2C"/>
    <w:rsid w:val="4FE24E09"/>
    <w:rsid w:val="500F540B"/>
    <w:rsid w:val="51743C73"/>
    <w:rsid w:val="54CE2CFA"/>
    <w:rsid w:val="569226B3"/>
    <w:rsid w:val="57947E91"/>
    <w:rsid w:val="57E82D87"/>
    <w:rsid w:val="58005354"/>
    <w:rsid w:val="59FD4E64"/>
    <w:rsid w:val="5AD76644"/>
    <w:rsid w:val="5BD06946"/>
    <w:rsid w:val="5CED5646"/>
    <w:rsid w:val="603B6CBD"/>
    <w:rsid w:val="63C05162"/>
    <w:rsid w:val="64431511"/>
    <w:rsid w:val="64F06542"/>
    <w:rsid w:val="66493C70"/>
    <w:rsid w:val="68D04650"/>
    <w:rsid w:val="68F00838"/>
    <w:rsid w:val="697C3BCE"/>
    <w:rsid w:val="6AFF30D2"/>
    <w:rsid w:val="6C4A554D"/>
    <w:rsid w:val="6CA36817"/>
    <w:rsid w:val="6CEB6216"/>
    <w:rsid w:val="6D9A2EA2"/>
    <w:rsid w:val="6F6175C8"/>
    <w:rsid w:val="70DD2BE2"/>
    <w:rsid w:val="7173289F"/>
    <w:rsid w:val="724C6CE7"/>
    <w:rsid w:val="72D452A5"/>
    <w:rsid w:val="72DB1517"/>
    <w:rsid w:val="742261B1"/>
    <w:rsid w:val="747775DA"/>
    <w:rsid w:val="7865658B"/>
    <w:rsid w:val="7D43311D"/>
    <w:rsid w:val="7D5559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3">
    <w:name w:val="heading 1"/>
    <w:basedOn w:val="1"/>
    <w:next w:val="1"/>
    <w:link w:val="35"/>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36"/>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link w:val="37"/>
    <w:qFormat/>
    <w:uiPriority w:val="0"/>
    <w:pPr>
      <w:keepNext/>
      <w:keepLines/>
      <w:spacing w:before="260" w:after="260" w:line="416" w:lineRule="auto"/>
      <w:outlineLvl w:val="2"/>
    </w:pPr>
    <w:rPr>
      <w:b/>
      <w:bCs/>
      <w:sz w:val="32"/>
      <w:szCs w:val="32"/>
    </w:rPr>
  </w:style>
  <w:style w:type="paragraph" w:styleId="6">
    <w:name w:val="heading 4"/>
    <w:basedOn w:val="1"/>
    <w:next w:val="1"/>
    <w:link w:val="38"/>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link w:val="39"/>
    <w:qFormat/>
    <w:uiPriority w:val="0"/>
    <w:pPr>
      <w:keepNext/>
      <w:keepLines/>
      <w:adjustRightInd/>
      <w:spacing w:before="280" w:after="290" w:line="376" w:lineRule="auto"/>
      <w:outlineLvl w:val="4"/>
    </w:pPr>
    <w:rPr>
      <w:b/>
      <w:bCs/>
      <w:sz w:val="28"/>
      <w:szCs w:val="28"/>
    </w:rPr>
  </w:style>
  <w:style w:type="paragraph" w:styleId="8">
    <w:name w:val="heading 6"/>
    <w:basedOn w:val="1"/>
    <w:next w:val="1"/>
    <w:link w:val="40"/>
    <w:qFormat/>
    <w:uiPriority w:val="0"/>
    <w:pPr>
      <w:keepNext/>
      <w:keepLines/>
      <w:adjustRightInd/>
      <w:spacing w:before="240" w:after="64" w:line="320" w:lineRule="auto"/>
      <w:outlineLvl w:val="5"/>
    </w:pPr>
    <w:rPr>
      <w:rFonts w:ascii="Arial" w:hAnsi="Arial" w:eastAsia="黑体"/>
      <w:b/>
      <w:bCs/>
      <w:sz w:val="24"/>
      <w:szCs w:val="24"/>
    </w:rPr>
  </w:style>
  <w:style w:type="paragraph" w:styleId="9">
    <w:name w:val="heading 7"/>
    <w:basedOn w:val="1"/>
    <w:next w:val="1"/>
    <w:link w:val="41"/>
    <w:qFormat/>
    <w:uiPriority w:val="0"/>
    <w:pPr>
      <w:keepNext/>
      <w:keepLines/>
      <w:adjustRightInd/>
      <w:spacing w:before="240" w:after="64" w:line="320" w:lineRule="auto"/>
      <w:outlineLvl w:val="6"/>
    </w:pPr>
    <w:rPr>
      <w:b/>
      <w:bCs/>
      <w:sz w:val="24"/>
      <w:szCs w:val="24"/>
    </w:rPr>
  </w:style>
  <w:style w:type="paragraph" w:styleId="10">
    <w:name w:val="heading 8"/>
    <w:basedOn w:val="1"/>
    <w:next w:val="1"/>
    <w:link w:val="42"/>
    <w:qFormat/>
    <w:uiPriority w:val="0"/>
    <w:pPr>
      <w:keepNext/>
      <w:keepLines/>
      <w:adjustRightInd/>
      <w:spacing w:before="240" w:after="64" w:line="320" w:lineRule="auto"/>
      <w:outlineLvl w:val="7"/>
    </w:pPr>
    <w:rPr>
      <w:rFonts w:ascii="Arial" w:hAnsi="Arial" w:eastAsia="黑体"/>
      <w:sz w:val="24"/>
      <w:szCs w:val="24"/>
    </w:rPr>
  </w:style>
  <w:style w:type="paragraph" w:styleId="11">
    <w:name w:val="heading 9"/>
    <w:basedOn w:val="1"/>
    <w:next w:val="1"/>
    <w:link w:val="43"/>
    <w:qFormat/>
    <w:uiPriority w:val="0"/>
    <w:pPr>
      <w:keepNext/>
      <w:keepLines/>
      <w:adjustRightInd/>
      <w:spacing w:before="240" w:after="64" w:line="320" w:lineRule="auto"/>
      <w:outlineLvl w:val="8"/>
    </w:pPr>
    <w:rPr>
      <w:rFonts w:ascii="Arial" w:hAnsi="Arial" w:eastAsia="黑体"/>
    </w:rPr>
  </w:style>
  <w:style w:type="character" w:default="1" w:styleId="29">
    <w:name w:val="Default Paragraph Font"/>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87"/>
    <w:qFormat/>
    <w:uiPriority w:val="0"/>
    <w:pPr>
      <w:spacing w:after="120"/>
    </w:pPr>
  </w:style>
  <w:style w:type="paragraph" w:styleId="12">
    <w:name w:val="toc 7"/>
    <w:basedOn w:val="1"/>
    <w:next w:val="1"/>
    <w:unhideWhenUsed/>
    <w:qFormat/>
    <w:uiPriority w:val="39"/>
    <w:pPr>
      <w:tabs>
        <w:tab w:val="right" w:leader="dot" w:pos="9344"/>
      </w:tabs>
      <w:spacing w:line="300" w:lineRule="exact"/>
      <w:ind w:left="1259"/>
    </w:pPr>
    <w:rPr>
      <w:rFonts w:ascii="宋体"/>
    </w:rPr>
  </w:style>
  <w:style w:type="paragraph" w:styleId="13">
    <w:name w:val="Normal Indent"/>
    <w:basedOn w:val="1"/>
    <w:qFormat/>
    <w:uiPriority w:val="0"/>
    <w:pPr>
      <w:ind w:firstLine="420"/>
    </w:pPr>
  </w:style>
  <w:style w:type="paragraph" w:styleId="14">
    <w:name w:val="toc 5"/>
    <w:basedOn w:val="1"/>
    <w:next w:val="1"/>
    <w:unhideWhenUsed/>
    <w:qFormat/>
    <w:uiPriority w:val="39"/>
    <w:pPr>
      <w:ind w:left="839"/>
    </w:pPr>
    <w:rPr>
      <w:rFonts w:ascii="宋体"/>
    </w:rPr>
  </w:style>
  <w:style w:type="paragraph" w:styleId="15">
    <w:name w:val="toc 3"/>
    <w:basedOn w:val="1"/>
    <w:next w:val="1"/>
    <w:unhideWhenUsed/>
    <w:qFormat/>
    <w:uiPriority w:val="39"/>
    <w:pPr>
      <w:spacing w:line="300" w:lineRule="exact"/>
      <w:ind w:left="420"/>
    </w:pPr>
    <w:rPr>
      <w:rFonts w:ascii="宋体"/>
    </w:rPr>
  </w:style>
  <w:style w:type="paragraph" w:styleId="16">
    <w:name w:val="Balloon Text"/>
    <w:basedOn w:val="1"/>
    <w:link w:val="46"/>
    <w:semiHidden/>
    <w:unhideWhenUsed/>
    <w:qFormat/>
    <w:uiPriority w:val="99"/>
    <w:rPr>
      <w:sz w:val="18"/>
      <w:szCs w:val="18"/>
    </w:rPr>
  </w:style>
  <w:style w:type="paragraph" w:styleId="17">
    <w:name w:val="footer"/>
    <w:basedOn w:val="1"/>
    <w:link w:val="45"/>
    <w:qFormat/>
    <w:uiPriority w:val="99"/>
    <w:pPr>
      <w:tabs>
        <w:tab w:val="center" w:pos="4153"/>
        <w:tab w:val="right" w:pos="8306"/>
      </w:tabs>
      <w:adjustRightInd/>
      <w:snapToGrid w:val="0"/>
      <w:spacing w:line="240" w:lineRule="auto"/>
      <w:jc w:val="right"/>
    </w:pPr>
    <w:rPr>
      <w:rFonts w:ascii="宋体"/>
      <w:sz w:val="18"/>
      <w:szCs w:val="18"/>
    </w:rPr>
  </w:style>
  <w:style w:type="paragraph" w:styleId="18">
    <w:name w:val="header"/>
    <w:basedOn w:val="1"/>
    <w:link w:val="44"/>
    <w:qFormat/>
    <w:uiPriority w:val="99"/>
    <w:pPr>
      <w:tabs>
        <w:tab w:val="center" w:pos="4153"/>
        <w:tab w:val="right" w:pos="8306"/>
      </w:tabs>
      <w:adjustRightInd/>
      <w:snapToGrid w:val="0"/>
      <w:jc w:val="center"/>
    </w:pPr>
    <w:rPr>
      <w:sz w:val="18"/>
      <w:szCs w:val="18"/>
    </w:rPr>
  </w:style>
  <w:style w:type="paragraph" w:styleId="19">
    <w:name w:val="toc 1"/>
    <w:basedOn w:val="1"/>
    <w:next w:val="1"/>
    <w:unhideWhenUsed/>
    <w:qFormat/>
    <w:uiPriority w:val="39"/>
    <w:rPr>
      <w:rFonts w:ascii="宋体"/>
    </w:rPr>
  </w:style>
  <w:style w:type="paragraph" w:styleId="20">
    <w:name w:val="toc 4"/>
    <w:basedOn w:val="1"/>
    <w:next w:val="1"/>
    <w:unhideWhenUsed/>
    <w:qFormat/>
    <w:uiPriority w:val="39"/>
    <w:pPr>
      <w:tabs>
        <w:tab w:val="right" w:leader="dot" w:pos="9344"/>
      </w:tabs>
      <w:spacing w:line="300" w:lineRule="exact"/>
      <w:ind w:left="629"/>
    </w:pPr>
    <w:rPr>
      <w:rFonts w:ascii="宋体"/>
    </w:rPr>
  </w:style>
  <w:style w:type="paragraph" w:styleId="21">
    <w:name w:val="footnote text"/>
    <w:basedOn w:val="1"/>
    <w:next w:val="1"/>
    <w:link w:val="100"/>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2">
    <w:name w:val="toc 6"/>
    <w:basedOn w:val="1"/>
    <w:next w:val="1"/>
    <w:unhideWhenUsed/>
    <w:qFormat/>
    <w:uiPriority w:val="39"/>
    <w:pPr>
      <w:spacing w:line="300" w:lineRule="exact"/>
      <w:ind w:left="1049"/>
    </w:pPr>
    <w:rPr>
      <w:rFonts w:ascii="宋体"/>
    </w:rPr>
  </w:style>
  <w:style w:type="paragraph" w:styleId="23">
    <w:name w:val="table of figures"/>
    <w:basedOn w:val="1"/>
    <w:next w:val="1"/>
    <w:semiHidden/>
    <w:qFormat/>
    <w:uiPriority w:val="0"/>
    <w:pPr>
      <w:adjustRightInd/>
      <w:spacing w:line="240" w:lineRule="auto"/>
      <w:jc w:val="left"/>
    </w:pPr>
    <w:rPr>
      <w:szCs w:val="24"/>
    </w:rPr>
  </w:style>
  <w:style w:type="paragraph" w:styleId="24">
    <w:name w:val="toc 2"/>
    <w:basedOn w:val="1"/>
    <w:next w:val="1"/>
    <w:unhideWhenUsed/>
    <w:qFormat/>
    <w:uiPriority w:val="39"/>
    <w:pPr>
      <w:tabs>
        <w:tab w:val="right" w:leader="dot" w:pos="9344"/>
      </w:tabs>
      <w:spacing w:line="300" w:lineRule="exact"/>
      <w:ind w:left="210"/>
    </w:pPr>
    <w:rPr>
      <w:rFonts w:ascii="宋体"/>
    </w:rPr>
  </w:style>
  <w:style w:type="paragraph" w:styleId="25">
    <w:name w:val="Normal (Web)"/>
    <w:basedOn w:val="1"/>
    <w:qFormat/>
    <w:uiPriority w:val="0"/>
    <w:pPr>
      <w:spacing w:beforeAutospacing="1" w:afterAutospacing="1"/>
      <w:jc w:val="left"/>
    </w:pPr>
    <w:rPr>
      <w:kern w:val="0"/>
      <w:sz w:val="24"/>
    </w:rPr>
  </w:style>
  <w:style w:type="paragraph" w:styleId="26">
    <w:name w:val="Title"/>
    <w:basedOn w:val="1"/>
    <w:link w:val="49"/>
    <w:qFormat/>
    <w:uiPriority w:val="0"/>
    <w:pPr>
      <w:spacing w:before="240" w:after="60"/>
      <w:jc w:val="center"/>
      <w:outlineLvl w:val="0"/>
    </w:pPr>
    <w:rPr>
      <w:rFonts w:ascii="Arial" w:hAnsi="Arial" w:cs="Arial"/>
      <w:b/>
      <w:bCs/>
      <w:sz w:val="32"/>
      <w:szCs w:val="32"/>
    </w:rPr>
  </w:style>
  <w:style w:type="table" w:styleId="28">
    <w:name w:val="Table Grid"/>
    <w:basedOn w:val="2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qFormat/>
    <w:uiPriority w:val="22"/>
    <w:rPr>
      <w:b/>
      <w:bCs/>
    </w:rPr>
  </w:style>
  <w:style w:type="character" w:styleId="31">
    <w:name w:val="page number"/>
    <w:qFormat/>
    <w:uiPriority w:val="0"/>
    <w:rPr>
      <w:rFonts w:ascii="宋体" w:hAnsi="Times New Roman" w:eastAsia="宋体"/>
      <w:sz w:val="18"/>
    </w:rPr>
  </w:style>
  <w:style w:type="character" w:styleId="32">
    <w:name w:val="Emphasis"/>
    <w:qFormat/>
    <w:uiPriority w:val="20"/>
    <w:rPr>
      <w:i/>
      <w:iCs/>
    </w:rPr>
  </w:style>
  <w:style w:type="character" w:styleId="33">
    <w:name w:val="Hyperlink"/>
    <w:qFormat/>
    <w:uiPriority w:val="99"/>
    <w:rPr>
      <w:rFonts w:ascii="宋体" w:hAnsi="Times New Roman" w:eastAsia="宋体"/>
      <w:color w:val="auto"/>
      <w:spacing w:val="0"/>
      <w:w w:val="100"/>
      <w:position w:val="0"/>
      <w:sz w:val="21"/>
      <w:u w:val="none"/>
      <w:vertAlign w:val="baseline"/>
    </w:rPr>
  </w:style>
  <w:style w:type="character" w:styleId="34">
    <w:name w:val="footnote reference"/>
    <w:semiHidden/>
    <w:qFormat/>
    <w:uiPriority w:val="0"/>
    <w:rPr>
      <w:rFonts w:ascii="宋体" w:hAnsi="宋体" w:eastAsia="宋体" w:cs="Times New Roman"/>
      <w:spacing w:val="0"/>
      <w:sz w:val="18"/>
      <w:vertAlign w:val="superscript"/>
    </w:rPr>
  </w:style>
  <w:style w:type="character" w:customStyle="1" w:styleId="35">
    <w:name w:val="标题 1 字符"/>
    <w:link w:val="3"/>
    <w:qFormat/>
    <w:uiPriority w:val="0"/>
    <w:rPr>
      <w:rFonts w:ascii="Times New Roman" w:hAnsi="Times New Roman" w:eastAsia="宋体" w:cs="Times New Roman"/>
      <w:b/>
      <w:bCs/>
      <w:kern w:val="44"/>
      <w:sz w:val="44"/>
      <w:szCs w:val="44"/>
    </w:rPr>
  </w:style>
  <w:style w:type="character" w:customStyle="1" w:styleId="36">
    <w:name w:val="标题 2 字符"/>
    <w:link w:val="4"/>
    <w:qFormat/>
    <w:uiPriority w:val="0"/>
    <w:rPr>
      <w:rFonts w:ascii="Arial" w:hAnsi="Arial" w:eastAsia="黑体" w:cs="Times New Roman"/>
      <w:b/>
      <w:bCs/>
      <w:sz w:val="32"/>
      <w:szCs w:val="32"/>
    </w:rPr>
  </w:style>
  <w:style w:type="character" w:customStyle="1" w:styleId="37">
    <w:name w:val="标题 3 字符"/>
    <w:link w:val="5"/>
    <w:qFormat/>
    <w:uiPriority w:val="0"/>
    <w:rPr>
      <w:rFonts w:ascii="Times New Roman" w:hAnsi="Times New Roman" w:eastAsia="宋体" w:cs="Times New Roman"/>
      <w:b/>
      <w:bCs/>
      <w:sz w:val="32"/>
      <w:szCs w:val="32"/>
    </w:rPr>
  </w:style>
  <w:style w:type="character" w:customStyle="1" w:styleId="38">
    <w:name w:val="标题 4 字符"/>
    <w:link w:val="6"/>
    <w:qFormat/>
    <w:uiPriority w:val="0"/>
    <w:rPr>
      <w:rFonts w:ascii="Arial" w:hAnsi="Arial" w:eastAsia="黑体" w:cs="Times New Roman"/>
      <w:b/>
      <w:bCs/>
      <w:sz w:val="28"/>
      <w:szCs w:val="28"/>
    </w:rPr>
  </w:style>
  <w:style w:type="character" w:customStyle="1" w:styleId="39">
    <w:name w:val="标题 5 字符"/>
    <w:link w:val="7"/>
    <w:qFormat/>
    <w:uiPriority w:val="0"/>
    <w:rPr>
      <w:rFonts w:ascii="Times New Roman" w:hAnsi="Times New Roman" w:eastAsia="宋体" w:cs="Times New Roman"/>
      <w:b/>
      <w:bCs/>
      <w:sz w:val="28"/>
      <w:szCs w:val="28"/>
    </w:rPr>
  </w:style>
  <w:style w:type="character" w:customStyle="1" w:styleId="40">
    <w:name w:val="标题 6 字符"/>
    <w:link w:val="8"/>
    <w:qFormat/>
    <w:uiPriority w:val="0"/>
    <w:rPr>
      <w:rFonts w:ascii="Arial" w:hAnsi="Arial" w:eastAsia="黑体" w:cs="Times New Roman"/>
      <w:b/>
      <w:bCs/>
      <w:sz w:val="24"/>
      <w:szCs w:val="24"/>
    </w:rPr>
  </w:style>
  <w:style w:type="character" w:customStyle="1" w:styleId="41">
    <w:name w:val="标题 7 字符"/>
    <w:link w:val="9"/>
    <w:qFormat/>
    <w:uiPriority w:val="0"/>
    <w:rPr>
      <w:rFonts w:ascii="Times New Roman" w:hAnsi="Times New Roman" w:eastAsia="宋体" w:cs="Times New Roman"/>
      <w:b/>
      <w:bCs/>
      <w:sz w:val="24"/>
      <w:szCs w:val="24"/>
    </w:rPr>
  </w:style>
  <w:style w:type="character" w:customStyle="1" w:styleId="42">
    <w:name w:val="标题 8 字符"/>
    <w:link w:val="10"/>
    <w:qFormat/>
    <w:uiPriority w:val="0"/>
    <w:rPr>
      <w:rFonts w:ascii="Arial" w:hAnsi="Arial" w:eastAsia="黑体" w:cs="Times New Roman"/>
      <w:sz w:val="24"/>
      <w:szCs w:val="24"/>
    </w:rPr>
  </w:style>
  <w:style w:type="character" w:customStyle="1" w:styleId="43">
    <w:name w:val="标题 9 字符"/>
    <w:link w:val="11"/>
    <w:qFormat/>
    <w:uiPriority w:val="0"/>
    <w:rPr>
      <w:rFonts w:ascii="Arial" w:hAnsi="Arial" w:eastAsia="黑体" w:cs="Times New Roman"/>
      <w:szCs w:val="21"/>
    </w:rPr>
  </w:style>
  <w:style w:type="character" w:customStyle="1" w:styleId="44">
    <w:name w:val="页眉 字符"/>
    <w:link w:val="18"/>
    <w:qFormat/>
    <w:uiPriority w:val="99"/>
    <w:rPr>
      <w:rFonts w:ascii="Times New Roman" w:hAnsi="Times New Roman" w:eastAsia="宋体" w:cs="Times New Roman"/>
      <w:sz w:val="18"/>
      <w:szCs w:val="18"/>
    </w:rPr>
  </w:style>
  <w:style w:type="character" w:customStyle="1" w:styleId="45">
    <w:name w:val="页脚 字符"/>
    <w:link w:val="17"/>
    <w:qFormat/>
    <w:uiPriority w:val="99"/>
    <w:rPr>
      <w:rFonts w:ascii="宋体" w:hAnsi="Times New Roman" w:eastAsia="宋体" w:cs="Times New Roman"/>
      <w:sz w:val="18"/>
      <w:szCs w:val="18"/>
    </w:rPr>
  </w:style>
  <w:style w:type="character" w:customStyle="1" w:styleId="46">
    <w:name w:val="批注框文本 字符"/>
    <w:link w:val="16"/>
    <w:semiHidden/>
    <w:qFormat/>
    <w:uiPriority w:val="99"/>
    <w:rPr>
      <w:sz w:val="18"/>
      <w:szCs w:val="18"/>
    </w:rPr>
  </w:style>
  <w:style w:type="paragraph" w:styleId="47">
    <w:name w:val="Quote"/>
    <w:basedOn w:val="1"/>
    <w:next w:val="1"/>
    <w:link w:val="48"/>
    <w:qFormat/>
    <w:uiPriority w:val="29"/>
    <w:rPr>
      <w:i/>
      <w:iCs/>
      <w:color w:val="000000"/>
    </w:rPr>
  </w:style>
  <w:style w:type="character" w:customStyle="1" w:styleId="48">
    <w:name w:val="引用 字符"/>
    <w:link w:val="47"/>
    <w:qFormat/>
    <w:uiPriority w:val="29"/>
    <w:rPr>
      <w:i/>
      <w:iCs/>
      <w:color w:val="000000"/>
    </w:rPr>
  </w:style>
  <w:style w:type="character" w:customStyle="1" w:styleId="49">
    <w:name w:val="标题 字符"/>
    <w:link w:val="26"/>
    <w:qFormat/>
    <w:uiPriority w:val="0"/>
    <w:rPr>
      <w:rFonts w:ascii="Arial" w:hAnsi="Arial" w:eastAsia="宋体" w:cs="Arial"/>
      <w:b/>
      <w:bCs/>
      <w:sz w:val="32"/>
      <w:szCs w:val="32"/>
    </w:rPr>
  </w:style>
  <w:style w:type="paragraph" w:customStyle="1" w:styleId="50">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1">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2">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3">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4">
    <w:name w:val="标准书眉一"/>
    <w:qFormat/>
    <w:uiPriority w:val="0"/>
    <w:pPr>
      <w:jc w:val="both"/>
    </w:pPr>
    <w:rPr>
      <w:rFonts w:ascii="Times New Roman" w:hAnsi="Times New Roman" w:eastAsia="宋体" w:cs="Times New Roman"/>
      <w:lang w:val="en-US" w:eastAsia="zh-CN" w:bidi="ar-SA"/>
    </w:rPr>
  </w:style>
  <w:style w:type="paragraph" w:customStyle="1" w:styleId="55">
    <w:name w:val="标准文件_ICS"/>
    <w:basedOn w:val="1"/>
    <w:qFormat/>
    <w:uiPriority w:val="0"/>
    <w:pPr>
      <w:spacing w:line="0" w:lineRule="atLeast"/>
    </w:pPr>
    <w:rPr>
      <w:rFonts w:ascii="黑体" w:hAnsi="宋体" w:eastAsia="黑体"/>
    </w:rPr>
  </w:style>
  <w:style w:type="paragraph" w:customStyle="1" w:styleId="56">
    <w:name w:val="标准文件_标准正文"/>
    <w:basedOn w:val="1"/>
    <w:next w:val="57"/>
    <w:qFormat/>
    <w:uiPriority w:val="0"/>
    <w:pPr>
      <w:snapToGrid w:val="0"/>
      <w:ind w:firstLine="200" w:firstLineChars="200"/>
    </w:pPr>
    <w:rPr>
      <w:kern w:val="0"/>
    </w:rPr>
  </w:style>
  <w:style w:type="paragraph" w:customStyle="1" w:styleId="57">
    <w:name w:val="标准文件_段"/>
    <w:link w:val="185"/>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8">
    <w:name w:val="标准文件_版本"/>
    <w:basedOn w:val="56"/>
    <w:qFormat/>
    <w:uiPriority w:val="0"/>
    <w:pPr>
      <w:adjustRightInd/>
      <w:snapToGrid/>
      <w:ind w:firstLine="0" w:firstLineChars="0"/>
    </w:pPr>
    <w:rPr>
      <w:rFonts w:ascii="宋体" w:hAnsi="宋体"/>
      <w:kern w:val="2"/>
    </w:rPr>
  </w:style>
  <w:style w:type="paragraph" w:customStyle="1" w:styleId="59">
    <w:name w:val="标准文件_标准部门"/>
    <w:basedOn w:val="1"/>
    <w:qFormat/>
    <w:uiPriority w:val="0"/>
    <w:pPr>
      <w:jc w:val="center"/>
    </w:pPr>
    <w:rPr>
      <w:rFonts w:ascii="黑体" w:eastAsia="黑体"/>
      <w:kern w:val="0"/>
      <w:sz w:val="44"/>
    </w:rPr>
  </w:style>
  <w:style w:type="paragraph" w:customStyle="1" w:styleId="60">
    <w:name w:val="标准文件_标准代替"/>
    <w:basedOn w:val="1"/>
    <w:next w:val="1"/>
    <w:qFormat/>
    <w:uiPriority w:val="0"/>
    <w:pPr>
      <w:spacing w:line="310" w:lineRule="exact"/>
      <w:jc w:val="right"/>
    </w:pPr>
    <w:rPr>
      <w:rFonts w:ascii="宋体" w:hAnsi="宋体"/>
      <w:kern w:val="0"/>
    </w:rPr>
  </w:style>
  <w:style w:type="paragraph" w:customStyle="1" w:styleId="61">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2">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3">
    <w:name w:val="标准文件_页眉偶数页"/>
    <w:basedOn w:val="62"/>
    <w:next w:val="1"/>
    <w:qFormat/>
    <w:uiPriority w:val="0"/>
    <w:pPr>
      <w:jc w:val="left"/>
    </w:pPr>
  </w:style>
  <w:style w:type="paragraph" w:customStyle="1" w:styleId="64">
    <w:name w:val="标准文件_参考文献标题"/>
    <w:basedOn w:val="1"/>
    <w:next w:val="1"/>
    <w:qFormat/>
    <w:uiPriority w:val="0"/>
    <w:pPr>
      <w:widowControl/>
      <w:shd w:val="clear" w:color="FFFFFF" w:fill="FFFFFF"/>
      <w:adjustRightInd/>
      <w:spacing w:before="40" w:beforeLines="40" w:after="50" w:afterLines="50" w:line="240" w:lineRule="auto"/>
      <w:jc w:val="center"/>
      <w:outlineLvl w:val="0"/>
    </w:pPr>
    <w:rPr>
      <w:rFonts w:ascii="黑体" w:eastAsia="黑体"/>
      <w:kern w:val="0"/>
    </w:rPr>
  </w:style>
  <w:style w:type="paragraph" w:customStyle="1" w:styleId="65">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6">
    <w:name w:val="标准文件_二级条标题"/>
    <w:next w:val="57"/>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7">
    <w:name w:val="标准文件_发布"/>
    <w:qFormat/>
    <w:uiPriority w:val="0"/>
    <w:rPr>
      <w:rFonts w:ascii="黑体" w:eastAsia="黑体"/>
      <w:spacing w:val="0"/>
      <w:w w:val="100"/>
      <w:position w:val="3"/>
      <w:sz w:val="28"/>
    </w:rPr>
  </w:style>
  <w:style w:type="paragraph" w:customStyle="1" w:styleId="68">
    <w:name w:val="标准文件_方框数字列项"/>
    <w:basedOn w:val="57"/>
    <w:qFormat/>
    <w:uiPriority w:val="0"/>
    <w:pPr>
      <w:numPr>
        <w:ilvl w:val="0"/>
        <w:numId w:val="3"/>
      </w:numPr>
      <w:ind w:firstLine="0" w:firstLineChars="0"/>
    </w:pPr>
  </w:style>
  <w:style w:type="paragraph" w:customStyle="1" w:styleId="69">
    <w:name w:val="标准文件_封面标准编号"/>
    <w:basedOn w:val="1"/>
    <w:next w:val="60"/>
    <w:qFormat/>
    <w:uiPriority w:val="0"/>
    <w:pPr>
      <w:spacing w:line="310" w:lineRule="exact"/>
      <w:jc w:val="right"/>
    </w:pPr>
    <w:rPr>
      <w:rFonts w:ascii="黑体" w:eastAsia="黑体"/>
      <w:kern w:val="0"/>
      <w:sz w:val="28"/>
    </w:rPr>
  </w:style>
  <w:style w:type="paragraph" w:customStyle="1" w:styleId="70">
    <w:name w:val="标准文件_封面标准分类号"/>
    <w:basedOn w:val="1"/>
    <w:qFormat/>
    <w:uiPriority w:val="0"/>
    <w:rPr>
      <w:rFonts w:ascii="黑体" w:eastAsia="黑体"/>
      <w:b/>
      <w:kern w:val="0"/>
      <w:sz w:val="28"/>
    </w:rPr>
  </w:style>
  <w:style w:type="paragraph" w:customStyle="1" w:styleId="71">
    <w:name w:val="标准文件_封面标准名称"/>
    <w:basedOn w:val="1"/>
    <w:qFormat/>
    <w:uiPriority w:val="0"/>
    <w:pPr>
      <w:spacing w:line="240" w:lineRule="auto"/>
      <w:jc w:val="center"/>
    </w:pPr>
    <w:rPr>
      <w:rFonts w:ascii="黑体" w:eastAsia="黑体"/>
      <w:kern w:val="0"/>
      <w:sz w:val="52"/>
    </w:rPr>
  </w:style>
  <w:style w:type="paragraph" w:customStyle="1" w:styleId="72">
    <w:name w:val="标准文件_封面标准英文名称"/>
    <w:basedOn w:val="1"/>
    <w:qFormat/>
    <w:uiPriority w:val="0"/>
    <w:pPr>
      <w:spacing w:line="240" w:lineRule="auto"/>
      <w:jc w:val="center"/>
    </w:pPr>
    <w:rPr>
      <w:rFonts w:ascii="黑体" w:eastAsia="黑体"/>
      <w:b/>
      <w:sz w:val="28"/>
    </w:rPr>
  </w:style>
  <w:style w:type="paragraph" w:customStyle="1" w:styleId="73">
    <w:name w:val="标准文件_封面发布日期"/>
    <w:basedOn w:val="1"/>
    <w:qFormat/>
    <w:uiPriority w:val="0"/>
    <w:pPr>
      <w:spacing w:line="310" w:lineRule="exact"/>
    </w:pPr>
    <w:rPr>
      <w:rFonts w:ascii="黑体" w:eastAsia="黑体"/>
      <w:kern w:val="0"/>
      <w:sz w:val="28"/>
    </w:rPr>
  </w:style>
  <w:style w:type="paragraph" w:customStyle="1" w:styleId="74">
    <w:name w:val="标准文件_封面密级"/>
    <w:basedOn w:val="1"/>
    <w:qFormat/>
    <w:uiPriority w:val="0"/>
    <w:rPr>
      <w:rFonts w:eastAsia="黑体"/>
      <w:sz w:val="32"/>
    </w:rPr>
  </w:style>
  <w:style w:type="paragraph" w:customStyle="1" w:styleId="75">
    <w:name w:val="标准文件_封面实施日期"/>
    <w:basedOn w:val="1"/>
    <w:qFormat/>
    <w:uiPriority w:val="0"/>
    <w:pPr>
      <w:spacing w:line="310" w:lineRule="exact"/>
      <w:jc w:val="right"/>
    </w:pPr>
    <w:rPr>
      <w:rFonts w:ascii="黑体" w:eastAsia="黑体"/>
      <w:sz w:val="28"/>
    </w:rPr>
  </w:style>
  <w:style w:type="paragraph" w:customStyle="1" w:styleId="76">
    <w:name w:val="标准文件_封面抬头"/>
    <w:basedOn w:val="57"/>
    <w:qFormat/>
    <w:uiPriority w:val="0"/>
    <w:pPr>
      <w:adjustRightInd w:val="0"/>
      <w:spacing w:line="800" w:lineRule="exact"/>
      <w:ind w:firstLine="0" w:firstLineChars="0"/>
      <w:jc w:val="distribute"/>
    </w:pPr>
    <w:rPr>
      <w:rFonts w:ascii="黑体" w:eastAsia="黑体"/>
      <w:b/>
      <w:sz w:val="64"/>
    </w:rPr>
  </w:style>
  <w:style w:type="paragraph" w:customStyle="1" w:styleId="77">
    <w:name w:val="标准文件_附录标识"/>
    <w:next w:val="57"/>
    <w:qFormat/>
    <w:uiPriority w:val="0"/>
    <w:pPr>
      <w:numPr>
        <w:ilvl w:val="0"/>
        <w:numId w:val="4"/>
      </w:numPr>
      <w:shd w:val="clear" w:color="FFFFFF" w:fill="FFFFFF"/>
      <w:tabs>
        <w:tab w:val="left" w:pos="6406"/>
      </w:tabs>
      <w:spacing w:before="25" w:beforeLines="25" w:after="50" w:afterLines="50"/>
      <w:jc w:val="center"/>
      <w:outlineLvl w:val="0"/>
    </w:pPr>
    <w:rPr>
      <w:rFonts w:ascii="黑体" w:hAnsi="Times New Roman" w:eastAsia="黑体" w:cs="Times New Roman"/>
      <w:sz w:val="21"/>
      <w:lang w:val="en-US" w:eastAsia="zh-CN" w:bidi="ar-SA"/>
    </w:rPr>
  </w:style>
  <w:style w:type="paragraph" w:customStyle="1" w:styleId="78">
    <w:name w:val="标准文件_附录表标题"/>
    <w:next w:val="57"/>
    <w:qFormat/>
    <w:uiPriority w:val="0"/>
    <w:pPr>
      <w:numPr>
        <w:ilvl w:val="1"/>
        <w:numId w:val="5"/>
      </w:numPr>
      <w:adjustRightInd w:val="0"/>
      <w:snapToGrid w:val="0"/>
      <w:spacing w:before="50" w:beforeLines="50" w:after="50" w:afterLines="50"/>
      <w:ind w:firstLine="420"/>
      <w:jc w:val="center"/>
      <w:textAlignment w:val="baseline"/>
    </w:pPr>
    <w:rPr>
      <w:rFonts w:ascii="黑体" w:hAnsi="Times New Roman" w:eastAsia="黑体" w:cs="Times New Roman"/>
      <w:kern w:val="21"/>
      <w:sz w:val="21"/>
      <w:lang w:val="en-US" w:eastAsia="zh-CN" w:bidi="ar-SA"/>
    </w:rPr>
  </w:style>
  <w:style w:type="paragraph" w:customStyle="1" w:styleId="79">
    <w:name w:val="标准文件_附录一级条标题"/>
    <w:next w:val="57"/>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80">
    <w:name w:val="标准文件_附录二级条标题"/>
    <w:basedOn w:val="79"/>
    <w:next w:val="57"/>
    <w:qFormat/>
    <w:uiPriority w:val="0"/>
    <w:pPr>
      <w:widowControl/>
      <w:numPr>
        <w:ilvl w:val="2"/>
      </w:numPr>
      <w:wordWrap w:val="0"/>
      <w:overflowPunct w:val="0"/>
      <w:autoSpaceDE w:val="0"/>
      <w:autoSpaceDN w:val="0"/>
      <w:textAlignment w:val="baseline"/>
      <w:outlineLvl w:val="3"/>
    </w:pPr>
  </w:style>
  <w:style w:type="paragraph" w:customStyle="1" w:styleId="81">
    <w:name w:val="标准文件_附录公式"/>
    <w:basedOn w:val="56"/>
    <w:next w:val="56"/>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2">
    <w:name w:val="标准文件_附录三级条标题"/>
    <w:next w:val="57"/>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3">
    <w:name w:val="标准文件_附录四级条标题"/>
    <w:next w:val="57"/>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4">
    <w:name w:val="标准文件_附录图标题"/>
    <w:next w:val="57"/>
    <w:qFormat/>
    <w:uiPriority w:val="0"/>
    <w:pPr>
      <w:numPr>
        <w:ilvl w:val="1"/>
        <w:numId w:val="6"/>
      </w:numPr>
      <w:adjustRightInd w:val="0"/>
      <w:snapToGrid w:val="0"/>
      <w:spacing w:before="50" w:beforeLines="50" w:after="50" w:afterLines="50"/>
      <w:ind w:firstLine="420"/>
      <w:jc w:val="center"/>
    </w:pPr>
    <w:rPr>
      <w:rFonts w:ascii="黑体" w:hAnsi="Times New Roman" w:eastAsia="黑体" w:cs="Times New Roman"/>
      <w:sz w:val="21"/>
      <w:lang w:val="en-US" w:eastAsia="zh-CN" w:bidi="ar-SA"/>
    </w:rPr>
  </w:style>
  <w:style w:type="paragraph" w:customStyle="1" w:styleId="85">
    <w:name w:val="标准文件_附录五级条标题"/>
    <w:next w:val="57"/>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6">
    <w:name w:val="标准文件_附录英文标识"/>
    <w:next w:val="2"/>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7">
    <w:name w:val="正文文本 字符"/>
    <w:link w:val="2"/>
    <w:qFormat/>
    <w:uiPriority w:val="0"/>
    <w:rPr>
      <w:rFonts w:ascii="Times New Roman" w:hAnsi="Times New Roman" w:eastAsia="宋体" w:cs="Times New Roman"/>
      <w:szCs w:val="20"/>
    </w:rPr>
  </w:style>
  <w:style w:type="paragraph" w:customStyle="1" w:styleId="88">
    <w:name w:val="标准文件_附录章标题"/>
    <w:next w:val="57"/>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9">
    <w:name w:val="标准文件_公式后的破折号"/>
    <w:basedOn w:val="57"/>
    <w:next w:val="57"/>
    <w:qFormat/>
    <w:uiPriority w:val="0"/>
    <w:pPr>
      <w:ind w:left="488" w:leftChars="200" w:hanging="289" w:hangingChars="290"/>
    </w:pPr>
  </w:style>
  <w:style w:type="paragraph" w:customStyle="1" w:styleId="90">
    <w:name w:val="标准文件_前言、引言标题"/>
    <w:next w:val="1"/>
    <w:qFormat/>
    <w:uiPriority w:val="0"/>
    <w:pPr>
      <w:numPr>
        <w:ilvl w:val="0"/>
        <w:numId w:val="8"/>
      </w:numPr>
      <w:shd w:val="clear" w:color="FFFFFF" w:fill="FFFFFF"/>
      <w:spacing w:after="150" w:afterLines="150"/>
      <w:ind w:left="0" w:firstLine="0"/>
      <w:jc w:val="center"/>
      <w:outlineLvl w:val="0"/>
    </w:pPr>
    <w:rPr>
      <w:rFonts w:ascii="黑体" w:hAnsi="Times New Roman" w:eastAsia="黑体" w:cs="Times New Roman"/>
      <w:sz w:val="32"/>
      <w:lang w:val="en-US" w:eastAsia="zh-CN" w:bidi="ar-SA"/>
    </w:rPr>
  </w:style>
  <w:style w:type="paragraph" w:customStyle="1" w:styleId="91">
    <w:name w:val="标准文件_目次、标准名称标题"/>
    <w:basedOn w:val="90"/>
    <w:next w:val="57"/>
    <w:qFormat/>
    <w:uiPriority w:val="0"/>
    <w:pPr>
      <w:spacing w:line="460" w:lineRule="exact"/>
    </w:pPr>
  </w:style>
  <w:style w:type="paragraph" w:customStyle="1" w:styleId="92">
    <w:name w:val="标准文件_目录标题"/>
    <w:basedOn w:val="1"/>
    <w:qFormat/>
    <w:uiPriority w:val="0"/>
    <w:pPr>
      <w:spacing w:after="150" w:afterLines="150" w:line="240" w:lineRule="auto"/>
      <w:jc w:val="center"/>
    </w:pPr>
    <w:rPr>
      <w:rFonts w:ascii="黑体" w:eastAsia="黑体"/>
      <w:sz w:val="32"/>
    </w:rPr>
  </w:style>
  <w:style w:type="paragraph" w:customStyle="1" w:styleId="93">
    <w:name w:val="标准文件_破折号列项"/>
    <w:qFormat/>
    <w:uiPriority w:val="0"/>
    <w:pPr>
      <w:numPr>
        <w:ilvl w:val="0"/>
        <w:numId w:val="9"/>
      </w:numPr>
      <w:adjustRightInd w:val="0"/>
      <w:snapToGrid w:val="0"/>
      <w:ind w:left="0" w:firstLine="200" w:firstLineChars="200"/>
    </w:pPr>
    <w:rPr>
      <w:rFonts w:ascii="Times New Roman" w:hAnsi="Times New Roman" w:eastAsia="宋体" w:cs="Times New Roman"/>
      <w:sz w:val="21"/>
      <w:lang w:val="en-US" w:eastAsia="zh-CN" w:bidi="ar-SA"/>
    </w:rPr>
  </w:style>
  <w:style w:type="paragraph" w:customStyle="1" w:styleId="94">
    <w:name w:val="标准文件_破折号列项（二级）"/>
    <w:basedOn w:val="93"/>
    <w:qFormat/>
    <w:uiPriority w:val="0"/>
    <w:pPr>
      <w:numPr>
        <w:numId w:val="10"/>
      </w:numPr>
      <w:ind w:left="0" w:firstLine="200"/>
    </w:pPr>
  </w:style>
  <w:style w:type="paragraph" w:customStyle="1" w:styleId="95">
    <w:name w:val="标准文件_三级条标题"/>
    <w:basedOn w:val="66"/>
    <w:next w:val="57"/>
    <w:qFormat/>
    <w:uiPriority w:val="0"/>
    <w:pPr>
      <w:widowControl/>
      <w:numPr>
        <w:ilvl w:val="4"/>
      </w:numPr>
      <w:outlineLvl w:val="3"/>
    </w:pPr>
  </w:style>
  <w:style w:type="character" w:customStyle="1" w:styleId="96">
    <w:name w:val="不明显参考1"/>
    <w:qFormat/>
    <w:uiPriority w:val="31"/>
    <w:rPr>
      <w:smallCaps/>
      <w:color w:val="C0504D"/>
      <w:u w:val="single"/>
    </w:rPr>
  </w:style>
  <w:style w:type="paragraph" w:customStyle="1" w:styleId="97">
    <w:name w:val="标准文件_示例后续"/>
    <w:basedOn w:val="1"/>
    <w:qFormat/>
    <w:uiPriority w:val="0"/>
    <w:pPr>
      <w:adjustRightInd/>
      <w:spacing w:line="240" w:lineRule="auto"/>
      <w:ind w:firstLine="200" w:firstLineChars="200"/>
    </w:pPr>
    <w:rPr>
      <w:sz w:val="18"/>
      <w:szCs w:val="24"/>
    </w:rPr>
  </w:style>
  <w:style w:type="paragraph" w:customStyle="1" w:styleId="98">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99">
    <w:name w:val="标准文件_四级条标题"/>
    <w:next w:val="57"/>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100">
    <w:name w:val="脚注文本 字符"/>
    <w:link w:val="21"/>
    <w:semiHidden/>
    <w:qFormat/>
    <w:uiPriority w:val="0"/>
    <w:rPr>
      <w:rFonts w:ascii="宋体" w:hAnsi="Times New Roman" w:eastAsia="宋体" w:cs="Times New Roman"/>
      <w:sz w:val="18"/>
      <w:szCs w:val="18"/>
    </w:rPr>
  </w:style>
  <w:style w:type="paragraph" w:customStyle="1" w:styleId="101">
    <w:name w:val="标准文件_条文脚注"/>
    <w:basedOn w:val="21"/>
    <w:qFormat/>
    <w:uiPriority w:val="0"/>
    <w:pPr>
      <w:adjustRightInd w:val="0"/>
      <w:spacing w:line="240" w:lineRule="auto"/>
      <w:ind w:left="0" w:leftChars="0" w:firstLine="200" w:firstLineChars="200"/>
      <w:jc w:val="both"/>
    </w:pPr>
    <w:rPr>
      <w:rFonts w:hAnsi="宋体"/>
    </w:rPr>
  </w:style>
  <w:style w:type="paragraph" w:customStyle="1" w:styleId="102">
    <w:name w:val="标准文件_图表脚注"/>
    <w:basedOn w:val="1"/>
    <w:next w:val="57"/>
    <w:qFormat/>
    <w:uiPriority w:val="0"/>
    <w:pPr>
      <w:numPr>
        <w:ilvl w:val="0"/>
        <w:numId w:val="12"/>
      </w:numPr>
      <w:spacing w:line="240" w:lineRule="auto"/>
      <w:jc w:val="left"/>
    </w:pPr>
    <w:rPr>
      <w:rFonts w:ascii="宋体" w:hAnsi="宋体"/>
      <w:sz w:val="18"/>
    </w:rPr>
  </w:style>
  <w:style w:type="character" w:customStyle="1" w:styleId="103">
    <w:name w:val="标准文件_图表脚注内容"/>
    <w:qFormat/>
    <w:uiPriority w:val="0"/>
    <w:rPr>
      <w:rFonts w:ascii="宋体" w:hAnsi="宋体" w:eastAsia="宋体" w:cs="Times New Roman"/>
      <w:spacing w:val="0"/>
      <w:sz w:val="18"/>
      <w:vertAlign w:val="superscript"/>
    </w:rPr>
  </w:style>
  <w:style w:type="paragraph" w:customStyle="1" w:styleId="104">
    <w:name w:val="标准文件_五级条标题"/>
    <w:next w:val="57"/>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5">
    <w:name w:val="标准文件_章标题"/>
    <w:next w:val="57"/>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6">
    <w:name w:val="标准文件_一级条标题"/>
    <w:basedOn w:val="105"/>
    <w:next w:val="57"/>
    <w:qFormat/>
    <w:uiPriority w:val="0"/>
    <w:pPr>
      <w:numPr>
        <w:ilvl w:val="2"/>
      </w:numPr>
      <w:spacing w:before="50" w:beforeLines="50" w:after="50" w:afterLines="50"/>
      <w:outlineLvl w:val="1"/>
    </w:pPr>
  </w:style>
  <w:style w:type="paragraph" w:customStyle="1" w:styleId="107">
    <w:name w:val="标准文件_一致程度"/>
    <w:basedOn w:val="1"/>
    <w:qFormat/>
    <w:uiPriority w:val="0"/>
    <w:pPr>
      <w:spacing w:line="440" w:lineRule="exact"/>
      <w:jc w:val="center"/>
    </w:pPr>
    <w:rPr>
      <w:sz w:val="28"/>
    </w:rPr>
  </w:style>
  <w:style w:type="paragraph" w:customStyle="1" w:styleId="108">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09">
    <w:name w:val="标准文件_英文图表脚注"/>
    <w:basedOn w:val="56"/>
    <w:qFormat/>
    <w:uiPriority w:val="0"/>
    <w:pPr>
      <w:widowControl/>
      <w:adjustRightInd/>
      <w:snapToGrid/>
      <w:spacing w:line="240" w:lineRule="auto"/>
      <w:ind w:left="79" w:hanging="79" w:hangingChars="80"/>
    </w:pPr>
    <w:rPr>
      <w:rFonts w:ascii="宋体" w:hAnsi="宋体"/>
    </w:rPr>
  </w:style>
  <w:style w:type="paragraph" w:customStyle="1" w:styleId="110">
    <w:name w:val="标准文件_数字编号列项（二级）"/>
    <w:qFormat/>
    <w:uiPriority w:val="0"/>
    <w:pPr>
      <w:numPr>
        <w:ilvl w:val="1"/>
        <w:numId w:val="13"/>
      </w:numPr>
      <w:tabs>
        <w:tab w:val="left" w:pos="851"/>
      </w:tabs>
      <w:jc w:val="both"/>
    </w:pPr>
    <w:rPr>
      <w:rFonts w:ascii="宋体" w:hAnsi="Times New Roman" w:eastAsia="宋体" w:cs="Times New Roman"/>
      <w:sz w:val="21"/>
      <w:lang w:val="en-US" w:eastAsia="zh-CN" w:bidi="ar-SA"/>
    </w:rPr>
  </w:style>
  <w:style w:type="paragraph" w:customStyle="1" w:styleId="111">
    <w:name w:val="标准文件_英文注："/>
    <w:basedOn w:val="1"/>
    <w:next w:val="57"/>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2">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3">
    <w:name w:val="标准文件_正文表标题"/>
    <w:next w:val="57"/>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4">
    <w:name w:val="标准文件_正文公式"/>
    <w:basedOn w:val="1"/>
    <w:next w:val="56"/>
    <w:qFormat/>
    <w:uiPriority w:val="0"/>
    <w:pPr>
      <w:tabs>
        <w:tab w:val="center" w:pos="4678"/>
        <w:tab w:val="right" w:leader="middleDot" w:pos="9356"/>
      </w:tabs>
      <w:spacing w:line="240" w:lineRule="auto"/>
    </w:pPr>
    <w:rPr>
      <w:rFonts w:ascii="宋体" w:hAnsi="宋体"/>
    </w:rPr>
  </w:style>
  <w:style w:type="paragraph" w:customStyle="1" w:styleId="115">
    <w:name w:val="标准文件_正文图标题"/>
    <w:next w:val="57"/>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6">
    <w:name w:val="标准文件_正文英文表标题"/>
    <w:next w:val="57"/>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7">
    <w:name w:val="标准文件_正文英文图标题"/>
    <w:next w:val="57"/>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8">
    <w:name w:val="标准文件_编号列项（三级）"/>
    <w:qFormat/>
    <w:uiPriority w:val="0"/>
    <w:pPr>
      <w:numPr>
        <w:ilvl w:val="2"/>
        <w:numId w:val="13"/>
      </w:numPr>
      <w:tabs>
        <w:tab w:val="left" w:pos="851"/>
      </w:tabs>
    </w:pPr>
    <w:rPr>
      <w:rFonts w:ascii="宋体" w:hAnsi="Times New Roman" w:eastAsia="宋体" w:cs="Times New Roman"/>
      <w:sz w:val="21"/>
      <w:lang w:val="en-US" w:eastAsia="zh-CN" w:bidi="ar-SA"/>
    </w:rPr>
  </w:style>
  <w:style w:type="paragraph" w:customStyle="1" w:styleId="119">
    <w:name w:val="二级无标题条"/>
    <w:basedOn w:val="1"/>
    <w:qFormat/>
    <w:uiPriority w:val="0"/>
    <w:pPr>
      <w:numPr>
        <w:ilvl w:val="3"/>
        <w:numId w:val="20"/>
      </w:numPr>
      <w:adjustRightInd/>
      <w:spacing w:line="240" w:lineRule="auto"/>
    </w:pPr>
    <w:rPr>
      <w:rFonts w:ascii="宋体" w:hAnsi="宋体"/>
      <w:szCs w:val="24"/>
    </w:rPr>
  </w:style>
  <w:style w:type="paragraph" w:customStyle="1" w:styleId="120">
    <w:name w:val="发布部门"/>
    <w:next w:val="57"/>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1">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2">
    <w:name w:val="封面标准代替信息"/>
    <w:basedOn w:val="1"/>
    <w:qFormat/>
    <w:uiPriority w:val="0"/>
    <w:pPr>
      <w:framePr w:w="9138" w:h="1244" w:hRule="exact" w:wrap="around"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3">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4">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5">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6">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7">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8">
    <w:name w:val="封面正文"/>
    <w:qFormat/>
    <w:uiPriority w:val="0"/>
    <w:pPr>
      <w:jc w:val="both"/>
    </w:pPr>
    <w:rPr>
      <w:rFonts w:ascii="Times New Roman" w:hAnsi="Times New Roman" w:eastAsia="宋体" w:cs="Times New Roman"/>
      <w:lang w:val="en-US" w:eastAsia="zh-CN" w:bidi="ar-SA"/>
    </w:rPr>
  </w:style>
  <w:style w:type="paragraph" w:customStyle="1" w:styleId="129">
    <w:name w:val="附录二级无标题条"/>
    <w:basedOn w:val="1"/>
    <w:next w:val="57"/>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0">
    <w:name w:val="附录三级无标题条"/>
    <w:basedOn w:val="129"/>
    <w:next w:val="57"/>
    <w:qFormat/>
    <w:uiPriority w:val="0"/>
    <w:pPr>
      <w:outlineLvl w:val="4"/>
    </w:pPr>
  </w:style>
  <w:style w:type="paragraph" w:customStyle="1" w:styleId="131">
    <w:name w:val="附录四级无标题条"/>
    <w:basedOn w:val="130"/>
    <w:next w:val="57"/>
    <w:qFormat/>
    <w:uiPriority w:val="0"/>
    <w:pPr>
      <w:outlineLvl w:val="5"/>
    </w:pPr>
  </w:style>
  <w:style w:type="paragraph" w:customStyle="1" w:styleId="132">
    <w:name w:val="附录图"/>
    <w:next w:val="57"/>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3">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4">
    <w:name w:val="附录五级无标题条"/>
    <w:basedOn w:val="131"/>
    <w:next w:val="57"/>
    <w:qFormat/>
    <w:uiPriority w:val="0"/>
    <w:pPr>
      <w:outlineLvl w:val="6"/>
    </w:pPr>
  </w:style>
  <w:style w:type="paragraph" w:customStyle="1" w:styleId="135">
    <w:name w:val="附录性质"/>
    <w:basedOn w:val="1"/>
    <w:qFormat/>
    <w:uiPriority w:val="0"/>
    <w:pPr>
      <w:widowControl/>
      <w:adjustRightInd/>
      <w:jc w:val="center"/>
    </w:pPr>
    <w:rPr>
      <w:rFonts w:ascii="黑体" w:eastAsia="黑体"/>
    </w:rPr>
  </w:style>
  <w:style w:type="paragraph" w:customStyle="1" w:styleId="136">
    <w:name w:val="附录一级无标题条"/>
    <w:basedOn w:val="88"/>
    <w:next w:val="57"/>
    <w:qFormat/>
    <w:uiPriority w:val="0"/>
    <w:pPr>
      <w:autoSpaceDN w:val="0"/>
      <w:outlineLvl w:val="2"/>
    </w:pPr>
    <w:rPr>
      <w:rFonts w:ascii="宋体" w:hAnsi="宋体" w:eastAsia="宋体"/>
    </w:rPr>
  </w:style>
  <w:style w:type="character" w:customStyle="1" w:styleId="137">
    <w:name w:val="个人答复风格"/>
    <w:qFormat/>
    <w:uiPriority w:val="0"/>
    <w:rPr>
      <w:rFonts w:ascii="Arial" w:hAnsi="Arial" w:eastAsia="宋体" w:cs="Arial"/>
      <w:color w:val="auto"/>
      <w:spacing w:val="0"/>
      <w:sz w:val="20"/>
    </w:rPr>
  </w:style>
  <w:style w:type="character" w:customStyle="1" w:styleId="138">
    <w:name w:val="个人撰写风格"/>
    <w:qFormat/>
    <w:uiPriority w:val="0"/>
    <w:rPr>
      <w:rFonts w:ascii="Arial" w:hAnsi="Arial" w:eastAsia="宋体" w:cs="Arial"/>
      <w:color w:val="auto"/>
      <w:spacing w:val="0"/>
      <w:sz w:val="20"/>
    </w:rPr>
  </w:style>
  <w:style w:type="paragraph" w:customStyle="1" w:styleId="139">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0">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1">
    <w:name w:val="列项·"/>
    <w:basedOn w:val="57"/>
    <w:qFormat/>
    <w:uiPriority w:val="0"/>
    <w:pPr>
      <w:tabs>
        <w:tab w:val="left" w:pos="840"/>
      </w:tabs>
    </w:pPr>
  </w:style>
  <w:style w:type="paragraph" w:customStyle="1" w:styleId="142">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3">
    <w:name w:val="目录 21"/>
    <w:basedOn w:val="1"/>
    <w:next w:val="1"/>
    <w:semiHidden/>
    <w:qFormat/>
    <w:uiPriority w:val="0"/>
    <w:pPr>
      <w:adjustRightInd/>
      <w:spacing w:line="240" w:lineRule="auto"/>
      <w:jc w:val="left"/>
    </w:pPr>
    <w:rPr>
      <w:bCs/>
      <w:iCs/>
    </w:rPr>
  </w:style>
  <w:style w:type="paragraph" w:customStyle="1" w:styleId="144">
    <w:name w:val="目录 31"/>
    <w:basedOn w:val="1"/>
    <w:next w:val="1"/>
    <w:semiHidden/>
    <w:qFormat/>
    <w:uiPriority w:val="0"/>
    <w:pPr>
      <w:spacing w:line="240" w:lineRule="auto"/>
    </w:pPr>
    <w:rPr>
      <w:rFonts w:ascii="宋体" w:hAnsi="宋体"/>
      <w:iCs/>
    </w:rPr>
  </w:style>
  <w:style w:type="paragraph" w:customStyle="1" w:styleId="145">
    <w:name w:val="目录 41"/>
    <w:basedOn w:val="1"/>
    <w:next w:val="1"/>
    <w:semiHidden/>
    <w:qFormat/>
    <w:uiPriority w:val="0"/>
    <w:pPr>
      <w:adjustRightInd/>
      <w:spacing w:line="240" w:lineRule="auto"/>
      <w:jc w:val="left"/>
    </w:pPr>
  </w:style>
  <w:style w:type="paragraph" w:customStyle="1" w:styleId="146">
    <w:name w:val="目录 51"/>
    <w:basedOn w:val="1"/>
    <w:next w:val="1"/>
    <w:semiHidden/>
    <w:qFormat/>
    <w:uiPriority w:val="0"/>
    <w:pPr>
      <w:spacing w:line="240" w:lineRule="auto"/>
    </w:pPr>
    <w:rPr>
      <w:rFonts w:ascii="宋体" w:hAnsi="宋体"/>
    </w:rPr>
  </w:style>
  <w:style w:type="paragraph" w:customStyle="1" w:styleId="147">
    <w:name w:val="目录 61"/>
    <w:basedOn w:val="1"/>
    <w:next w:val="1"/>
    <w:semiHidden/>
    <w:qFormat/>
    <w:uiPriority w:val="0"/>
    <w:pPr>
      <w:adjustRightInd/>
      <w:spacing w:line="240" w:lineRule="auto"/>
      <w:jc w:val="left"/>
    </w:pPr>
  </w:style>
  <w:style w:type="paragraph" w:customStyle="1" w:styleId="148">
    <w:name w:val="目录 71"/>
    <w:basedOn w:val="147"/>
    <w:semiHidden/>
    <w:qFormat/>
    <w:uiPriority w:val="0"/>
    <w:pPr>
      <w:ind w:left="1260"/>
    </w:pPr>
  </w:style>
  <w:style w:type="paragraph" w:customStyle="1" w:styleId="149">
    <w:name w:val="目录 81"/>
    <w:basedOn w:val="148"/>
    <w:semiHidden/>
    <w:qFormat/>
    <w:uiPriority w:val="0"/>
    <w:pPr>
      <w:ind w:left="1470"/>
    </w:pPr>
  </w:style>
  <w:style w:type="paragraph" w:customStyle="1" w:styleId="150">
    <w:name w:val="目录 91"/>
    <w:basedOn w:val="149"/>
    <w:semiHidden/>
    <w:qFormat/>
    <w:uiPriority w:val="0"/>
    <w:pPr>
      <w:ind w:left="1680"/>
    </w:pPr>
  </w:style>
  <w:style w:type="paragraph" w:customStyle="1" w:styleId="151">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2">
    <w:name w:val="其他发布部门"/>
    <w:basedOn w:val="120"/>
    <w:qFormat/>
    <w:uiPriority w:val="0"/>
    <w:pPr>
      <w:framePr w:wrap="around"/>
      <w:spacing w:line="0" w:lineRule="atLeast"/>
    </w:pPr>
    <w:rPr>
      <w:rFonts w:ascii="黑体" w:eastAsia="黑体"/>
      <w:b w:val="0"/>
    </w:rPr>
  </w:style>
  <w:style w:type="paragraph" w:customStyle="1" w:styleId="153">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4">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5">
    <w:name w:val="实施日期"/>
    <w:basedOn w:val="121"/>
    <w:qFormat/>
    <w:uiPriority w:val="0"/>
    <w:pPr>
      <w:framePr w:hSpace="0" w:wrap="around" w:xAlign="right"/>
      <w:jc w:val="right"/>
    </w:pPr>
  </w:style>
  <w:style w:type="paragraph" w:customStyle="1" w:styleId="156">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7">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8">
    <w:name w:val="无标题条"/>
    <w:next w:val="57"/>
    <w:qFormat/>
    <w:uiPriority w:val="0"/>
    <w:pPr>
      <w:jc w:val="both"/>
    </w:pPr>
    <w:rPr>
      <w:rFonts w:ascii="宋体" w:hAnsi="宋体" w:eastAsia="宋体" w:cs="Times New Roman"/>
      <w:sz w:val="21"/>
      <w:lang w:val="en-US" w:eastAsia="zh-CN" w:bidi="ar-SA"/>
    </w:rPr>
  </w:style>
  <w:style w:type="paragraph" w:customStyle="1" w:styleId="159">
    <w:name w:val="五级无标题条"/>
    <w:basedOn w:val="1"/>
    <w:qFormat/>
    <w:uiPriority w:val="0"/>
    <w:pPr>
      <w:numPr>
        <w:ilvl w:val="6"/>
        <w:numId w:val="20"/>
      </w:numPr>
      <w:adjustRightInd/>
    </w:pPr>
    <w:rPr>
      <w:szCs w:val="24"/>
    </w:rPr>
  </w:style>
  <w:style w:type="paragraph" w:customStyle="1" w:styleId="160">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1">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2">
    <w:name w:val="注×:后续"/>
    <w:basedOn w:val="161"/>
    <w:qFormat/>
    <w:uiPriority w:val="0"/>
    <w:pPr>
      <w:ind w:left="1406" w:leftChars="0" w:hanging="499" w:firstLineChars="0"/>
    </w:pPr>
  </w:style>
  <w:style w:type="paragraph" w:customStyle="1" w:styleId="163">
    <w:name w:val="标准文件_一级无标题"/>
    <w:basedOn w:val="106"/>
    <w:qFormat/>
    <w:uiPriority w:val="0"/>
    <w:pPr>
      <w:spacing w:before="0" w:beforeLines="0" w:after="0" w:afterLines="0"/>
      <w:outlineLvl w:val="9"/>
    </w:pPr>
    <w:rPr>
      <w:rFonts w:ascii="宋体" w:eastAsia="宋体"/>
    </w:rPr>
  </w:style>
  <w:style w:type="paragraph" w:customStyle="1" w:styleId="164">
    <w:name w:val="标准文件_五级无标题"/>
    <w:basedOn w:val="104"/>
    <w:qFormat/>
    <w:uiPriority w:val="0"/>
    <w:pPr>
      <w:spacing w:before="0" w:beforeLines="0" w:after="0" w:afterLines="0"/>
      <w:outlineLvl w:val="9"/>
    </w:pPr>
    <w:rPr>
      <w:rFonts w:ascii="宋体" w:eastAsia="宋体"/>
    </w:rPr>
  </w:style>
  <w:style w:type="paragraph" w:customStyle="1" w:styleId="165">
    <w:name w:val="标准文件_三级无标题"/>
    <w:basedOn w:val="95"/>
    <w:qFormat/>
    <w:uiPriority w:val="0"/>
    <w:pPr>
      <w:spacing w:before="0" w:beforeLines="0" w:after="0" w:afterLines="0"/>
      <w:outlineLvl w:val="9"/>
    </w:pPr>
    <w:rPr>
      <w:rFonts w:ascii="宋体" w:eastAsia="宋体"/>
    </w:rPr>
  </w:style>
  <w:style w:type="paragraph" w:customStyle="1" w:styleId="166">
    <w:name w:val="标准文件_二级无标题"/>
    <w:basedOn w:val="66"/>
    <w:qFormat/>
    <w:uiPriority w:val="0"/>
    <w:pPr>
      <w:spacing w:before="0" w:beforeLines="0" w:after="0" w:afterLines="0"/>
      <w:outlineLvl w:val="9"/>
    </w:pPr>
    <w:rPr>
      <w:rFonts w:ascii="宋体" w:eastAsia="宋体"/>
    </w:rPr>
  </w:style>
  <w:style w:type="paragraph" w:customStyle="1" w:styleId="167">
    <w:name w:val="标准_四级无标题"/>
    <w:basedOn w:val="99"/>
    <w:next w:val="57"/>
    <w:qFormat/>
    <w:uiPriority w:val="0"/>
    <w:rPr>
      <w:rFonts w:eastAsia="宋体"/>
    </w:rPr>
  </w:style>
  <w:style w:type="paragraph" w:customStyle="1" w:styleId="168">
    <w:name w:val="标准文件_四级无标题"/>
    <w:basedOn w:val="99"/>
    <w:qFormat/>
    <w:uiPriority w:val="0"/>
    <w:pPr>
      <w:spacing w:before="0" w:beforeLines="0" w:after="0" w:afterLines="0"/>
      <w:outlineLvl w:val="9"/>
    </w:pPr>
    <w:rPr>
      <w:rFonts w:ascii="宋体" w:hAnsi="黑体" w:eastAsia="宋体"/>
      <w:szCs w:val="52"/>
    </w:rPr>
  </w:style>
  <w:style w:type="paragraph" w:customStyle="1" w:styleId="169">
    <w:name w:val="标准文件_大写罗马数字编号列项"/>
    <w:basedOn w:val="57"/>
    <w:qFormat/>
    <w:uiPriority w:val="0"/>
    <w:pPr>
      <w:numPr>
        <w:ilvl w:val="0"/>
        <w:numId w:val="23"/>
      </w:numPr>
      <w:ind w:firstLine="0" w:firstLineChars="0"/>
    </w:pPr>
    <w:rPr>
      <w:rFonts w:ascii="Times New Roman" w:cs="Arial"/>
      <w:szCs w:val="28"/>
    </w:rPr>
  </w:style>
  <w:style w:type="paragraph" w:customStyle="1" w:styleId="170">
    <w:name w:val="标准文件_小写罗马数字编号列项"/>
    <w:basedOn w:val="57"/>
    <w:qFormat/>
    <w:uiPriority w:val="0"/>
    <w:pPr>
      <w:numPr>
        <w:ilvl w:val="0"/>
        <w:numId w:val="24"/>
      </w:numPr>
      <w:ind w:firstLine="0" w:firstLineChars="0"/>
    </w:pPr>
    <w:rPr>
      <w:rFonts w:cs="Arial"/>
      <w:szCs w:val="28"/>
    </w:rPr>
  </w:style>
  <w:style w:type="paragraph" w:customStyle="1" w:styleId="171">
    <w:name w:val="标准文件_附录标题"/>
    <w:basedOn w:val="77"/>
    <w:qFormat/>
    <w:uiPriority w:val="0"/>
    <w:pPr>
      <w:numPr>
        <w:numId w:val="0"/>
      </w:numPr>
      <w:spacing w:after="280"/>
      <w:outlineLvl w:val="9"/>
    </w:pPr>
  </w:style>
  <w:style w:type="paragraph" w:customStyle="1" w:styleId="172">
    <w:name w:val="标准文件_二级项"/>
    <w:qFormat/>
    <w:uiPriority w:val="0"/>
    <w:rPr>
      <w:rFonts w:ascii="宋体" w:hAnsi="Times New Roman" w:eastAsia="宋体" w:cs="Times New Roman"/>
      <w:sz w:val="21"/>
      <w:lang w:val="en-US" w:eastAsia="zh-CN" w:bidi="ar-SA"/>
    </w:rPr>
  </w:style>
  <w:style w:type="paragraph" w:customStyle="1" w:styleId="173">
    <w:name w:val="标准文件_三级项"/>
    <w:basedOn w:val="1"/>
    <w:qFormat/>
    <w:uiPriority w:val="0"/>
    <w:pPr>
      <w:numPr>
        <w:ilvl w:val="2"/>
        <w:numId w:val="21"/>
      </w:numPr>
      <w:spacing w:line="536870612" w:lineRule="auto"/>
    </w:pPr>
    <w:rPr>
      <w:rFonts w:ascii="Times New Roman" w:hAnsi="Times New Roman"/>
    </w:rPr>
  </w:style>
  <w:style w:type="paragraph" w:customStyle="1" w:styleId="174">
    <w:name w:val="图表脚注说明"/>
    <w:basedOn w:val="1"/>
    <w:next w:val="57"/>
    <w:qFormat/>
    <w:uiPriority w:val="0"/>
    <w:pPr>
      <w:numPr>
        <w:ilvl w:val="0"/>
        <w:numId w:val="25"/>
      </w:numPr>
      <w:adjustRightInd/>
      <w:spacing w:line="240" w:lineRule="auto"/>
      <w:ind w:left="783"/>
    </w:pPr>
    <w:rPr>
      <w:rFonts w:ascii="宋体" w:hAnsi="Times New Roman"/>
      <w:sz w:val="18"/>
      <w:szCs w:val="18"/>
    </w:rPr>
  </w:style>
  <w:style w:type="paragraph" w:customStyle="1" w:styleId="175">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6">
    <w:name w:val="标准文件_索引字母"/>
    <w:next w:val="57"/>
    <w:qFormat/>
    <w:uiPriority w:val="0"/>
    <w:pPr>
      <w:jc w:val="center"/>
    </w:pPr>
    <w:rPr>
      <w:rFonts w:ascii="宋体" w:hAnsi="宋体" w:eastAsia="Times New Roman" w:cs="Times New Roman"/>
      <w:b/>
      <w:kern w:val="2"/>
      <w:sz w:val="21"/>
      <w:lang w:val="en-US" w:eastAsia="zh-CN" w:bidi="ar-SA"/>
    </w:rPr>
  </w:style>
  <w:style w:type="paragraph" w:customStyle="1" w:styleId="177">
    <w:name w:val="标准文件_附录前"/>
    <w:next w:val="57"/>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8">
    <w:name w:val="标准文件_正文标准名称"/>
    <w:qFormat/>
    <w:uiPriority w:val="0"/>
    <w:pPr>
      <w:spacing w:before="20" w:beforeLines="20" w:after="640" w:line="400" w:lineRule="exact"/>
      <w:jc w:val="center"/>
    </w:pPr>
    <w:rPr>
      <w:rFonts w:ascii="黑体" w:hAnsi="黑体" w:eastAsia="黑体" w:cs="Times New Roman"/>
      <w:kern w:val="2"/>
      <w:sz w:val="32"/>
      <w:szCs w:val="32"/>
      <w:lang w:val="en-US" w:eastAsia="zh-CN" w:bidi="ar-SA"/>
    </w:rPr>
  </w:style>
  <w:style w:type="paragraph" w:customStyle="1" w:styleId="179">
    <w:name w:val="标准文件_表格"/>
    <w:basedOn w:val="57"/>
    <w:qFormat/>
    <w:uiPriority w:val="0"/>
    <w:pPr>
      <w:ind w:firstLine="0" w:firstLineChars="0"/>
      <w:jc w:val="center"/>
    </w:pPr>
    <w:rPr>
      <w:sz w:val="18"/>
    </w:rPr>
  </w:style>
  <w:style w:type="paragraph" w:customStyle="1" w:styleId="180">
    <w:name w:val="标准文件_注："/>
    <w:next w:val="57"/>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1">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2">
    <w:name w:val="标准文件_示例："/>
    <w:next w:val="183"/>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3">
    <w:name w:val="标准文件_示例内容"/>
    <w:basedOn w:val="57"/>
    <w:qFormat/>
    <w:uiPriority w:val="0"/>
    <w:pPr>
      <w:ind w:firstLine="420"/>
    </w:pPr>
    <w:rPr>
      <w:sz w:val="18"/>
    </w:rPr>
  </w:style>
  <w:style w:type="paragraph" w:customStyle="1" w:styleId="184">
    <w:name w:val="标准文件_示例×："/>
    <w:basedOn w:val="1"/>
    <w:next w:val="183"/>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5">
    <w:name w:val="标准文件_段 Char"/>
    <w:link w:val="57"/>
    <w:qFormat/>
    <w:uiPriority w:val="0"/>
    <w:rPr>
      <w:rFonts w:ascii="宋体" w:hAnsi="Times New Roman"/>
      <w:sz w:val="21"/>
    </w:rPr>
  </w:style>
  <w:style w:type="paragraph" w:customStyle="1" w:styleId="186">
    <w:name w:val="标准文件_表格续"/>
    <w:basedOn w:val="57"/>
    <w:next w:val="57"/>
    <w:qFormat/>
    <w:uiPriority w:val="0"/>
    <w:pPr>
      <w:jc w:val="center"/>
    </w:pPr>
    <w:rPr>
      <w:rFonts w:ascii="黑体" w:hAnsi="黑体" w:eastAsia="黑体"/>
    </w:rPr>
  </w:style>
  <w:style w:type="character" w:styleId="187">
    <w:name w:val="Placeholder Text"/>
    <w:basedOn w:val="29"/>
    <w:semiHidden/>
    <w:qFormat/>
    <w:uiPriority w:val="99"/>
    <w:rPr>
      <w:color w:val="808080"/>
    </w:rPr>
  </w:style>
  <w:style w:type="paragraph" w:customStyle="1" w:styleId="188">
    <w:name w:val="标准文件_二级项2"/>
    <w:basedOn w:val="57"/>
    <w:qFormat/>
    <w:uiPriority w:val="0"/>
    <w:pPr>
      <w:numPr>
        <w:ilvl w:val="1"/>
        <w:numId w:val="21"/>
      </w:numPr>
      <w:ind w:left="1271" w:hanging="420" w:firstLineChars="0"/>
    </w:pPr>
  </w:style>
  <w:style w:type="paragraph" w:customStyle="1" w:styleId="189">
    <w:name w:val="标准文件_三级项2"/>
    <w:basedOn w:val="57"/>
    <w:qFormat/>
    <w:uiPriority w:val="0"/>
    <w:pPr>
      <w:numPr>
        <w:ilvl w:val="0"/>
        <w:numId w:val="30"/>
      </w:numPr>
      <w:spacing w:line="300" w:lineRule="exact"/>
      <w:ind w:left="1276" w:hanging="425" w:firstLineChars="0"/>
    </w:pPr>
    <w:rPr>
      <w:rFonts w:ascii="Times New Roman"/>
    </w:rPr>
  </w:style>
  <w:style w:type="paragraph" w:customStyle="1" w:styleId="190">
    <w:name w:val="标准文件_一级项2"/>
    <w:basedOn w:val="57"/>
    <w:qFormat/>
    <w:uiPriority w:val="0"/>
    <w:pPr>
      <w:numPr>
        <w:ilvl w:val="0"/>
        <w:numId w:val="31"/>
      </w:numPr>
      <w:spacing w:line="300" w:lineRule="exact"/>
      <w:ind w:left="1271" w:hanging="420" w:firstLineChars="0"/>
    </w:pPr>
    <w:rPr>
      <w:rFonts w:ascii="Times New Roman"/>
    </w:rPr>
  </w:style>
  <w:style w:type="paragraph" w:customStyle="1" w:styleId="191">
    <w:name w:val="标准文件_提示"/>
    <w:basedOn w:val="57"/>
    <w:next w:val="57"/>
    <w:qFormat/>
    <w:uiPriority w:val="0"/>
    <w:pPr>
      <w:ind w:firstLine="420"/>
    </w:pPr>
    <w:rPr>
      <w:rFonts w:ascii="黑体" w:eastAsia="黑体"/>
    </w:rPr>
  </w:style>
  <w:style w:type="character" w:customStyle="1" w:styleId="192">
    <w:name w:val="标准文件_来源"/>
    <w:basedOn w:val="29"/>
    <w:qFormat/>
    <w:uiPriority w:val="1"/>
    <w:rPr>
      <w:rFonts w:eastAsia="宋体"/>
      <w:sz w:val="21"/>
    </w:rPr>
  </w:style>
  <w:style w:type="paragraph" w:customStyle="1" w:styleId="193">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4">
    <w:name w:val="其他发布日期"/>
    <w:basedOn w:val="121"/>
    <w:uiPriority w:val="0"/>
    <w:pPr>
      <w:framePr w:w="3997" w:h="471" w:hRule="exact" w:hSpace="0" w:vSpace="181" w:wrap="around" w:vAnchor="page" w:hAnchor="page" w:x="1419" w:y="14097"/>
    </w:pPr>
  </w:style>
  <w:style w:type="paragraph" w:customStyle="1" w:styleId="195">
    <w:name w:val="其他实施日期"/>
    <w:basedOn w:val="155"/>
    <w:qFormat/>
    <w:uiPriority w:val="0"/>
    <w:pPr>
      <w:framePr w:w="3997" w:h="471" w:hRule="exact" w:vSpace="181" w:wrap="around" w:vAnchor="page" w:hAnchor="page" w:x="7089" w:y="14097"/>
    </w:pPr>
  </w:style>
  <w:style w:type="paragraph" w:customStyle="1" w:styleId="196">
    <w:name w:val="标准文件_文件编号"/>
    <w:basedOn w:val="57"/>
    <w:qFormat/>
    <w:uiPriority w:val="0"/>
    <w:pPr>
      <w:framePr w:w="9356" w:h="624" w:hRule="exact" w:hSpace="181" w:vSpace="181" w:wrap="around" w:vAnchor="page" w:hAnchor="page" w:x="1419" w:y="3284"/>
      <w:wordWrap w:val="0"/>
      <w:spacing w:line="280" w:lineRule="exact"/>
      <w:ind w:firstLine="0" w:firstLineChars="0"/>
      <w:jc w:val="right"/>
    </w:pPr>
    <w:rPr>
      <w:rFonts w:ascii="黑体" w:eastAsia="黑体"/>
      <w:bCs/>
      <w:sz w:val="28"/>
      <w:szCs w:val="28"/>
    </w:rPr>
  </w:style>
  <w:style w:type="paragraph" w:customStyle="1" w:styleId="197">
    <w:name w:val="标准文件_替换文件编号"/>
    <w:basedOn w:val="196"/>
    <w:qFormat/>
    <w:uiPriority w:val="0"/>
    <w:pPr>
      <w:framePr w:wrap="around"/>
      <w:spacing w:before="57"/>
    </w:pPr>
    <w:rPr>
      <w:sz w:val="21"/>
    </w:rPr>
  </w:style>
  <w:style w:type="paragraph" w:customStyle="1" w:styleId="198">
    <w:name w:val="标准文件_文件名称"/>
    <w:basedOn w:val="57"/>
    <w:next w:val="57"/>
    <w:qFormat/>
    <w:uiPriority w:val="0"/>
    <w:pPr>
      <w:framePr w:w="9639" w:h="6976" w:hRule="exact" w:wrap="around" w:vAnchor="page" w:hAnchor="page" w:y="6408"/>
      <w:autoSpaceDE/>
      <w:autoSpaceDN/>
      <w:spacing w:line="700" w:lineRule="exact"/>
      <w:ind w:firstLine="0" w:firstLineChars="0"/>
      <w:jc w:val="center"/>
    </w:pPr>
    <w:rPr>
      <w:rFonts w:ascii="黑体" w:hAnsi="黑体" w:eastAsia="黑体"/>
      <w:bCs/>
      <w:sz w:val="52"/>
    </w:rPr>
  </w:style>
  <w:style w:type="paragraph" w:customStyle="1" w:styleId="199">
    <w:name w:val="标准文件_附录图标号"/>
    <w:basedOn w:val="57"/>
    <w:next w:val="57"/>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200">
    <w:name w:val="标准文件_附录表标号"/>
    <w:basedOn w:val="57"/>
    <w:next w:val="57"/>
    <w:qFormat/>
    <w:uiPriority w:val="0"/>
    <w:pPr>
      <w:numPr>
        <w:ilvl w:val="0"/>
        <w:numId w:val="5"/>
      </w:numPr>
      <w:spacing w:line="14" w:lineRule="exact"/>
      <w:ind w:firstLine="0" w:firstLineChars="0"/>
      <w:jc w:val="center"/>
    </w:pPr>
    <w:rPr>
      <w:rFonts w:eastAsia="黑体"/>
      <w:vanish/>
      <w:sz w:val="2"/>
    </w:rPr>
  </w:style>
  <w:style w:type="paragraph" w:customStyle="1" w:styleId="201">
    <w:name w:val="标准文件_引言一级条标题"/>
    <w:basedOn w:val="57"/>
    <w:next w:val="57"/>
    <w:qFormat/>
    <w:uiPriority w:val="0"/>
    <w:pPr>
      <w:numPr>
        <w:ilvl w:val="1"/>
        <w:numId w:val="8"/>
      </w:numPr>
      <w:spacing w:before="50" w:beforeLines="50" w:after="50" w:afterLines="50"/>
      <w:ind w:firstLineChars="0"/>
    </w:pPr>
    <w:rPr>
      <w:rFonts w:ascii="黑体" w:eastAsia="黑体"/>
    </w:rPr>
  </w:style>
  <w:style w:type="paragraph" w:customStyle="1" w:styleId="202">
    <w:name w:val="标准文件_引言二级条标题"/>
    <w:basedOn w:val="57"/>
    <w:next w:val="57"/>
    <w:qFormat/>
    <w:uiPriority w:val="0"/>
    <w:pPr>
      <w:numPr>
        <w:ilvl w:val="2"/>
        <w:numId w:val="8"/>
      </w:numPr>
      <w:spacing w:before="50" w:beforeLines="50" w:after="50" w:afterLines="50"/>
      <w:ind w:firstLineChars="0"/>
    </w:pPr>
    <w:rPr>
      <w:rFonts w:ascii="黑体" w:eastAsia="黑体"/>
    </w:rPr>
  </w:style>
  <w:style w:type="paragraph" w:customStyle="1" w:styleId="203">
    <w:name w:val="标准文件_引言三级条标题"/>
    <w:basedOn w:val="57"/>
    <w:next w:val="57"/>
    <w:qFormat/>
    <w:uiPriority w:val="0"/>
    <w:pPr>
      <w:numPr>
        <w:ilvl w:val="3"/>
        <w:numId w:val="8"/>
      </w:numPr>
      <w:spacing w:before="50" w:beforeLines="50" w:after="50" w:afterLines="50"/>
      <w:ind w:firstLineChars="0"/>
    </w:pPr>
    <w:rPr>
      <w:rFonts w:ascii="黑体" w:eastAsia="黑体"/>
    </w:rPr>
  </w:style>
  <w:style w:type="paragraph" w:customStyle="1" w:styleId="204">
    <w:name w:val="标准文件_引言四级条标题"/>
    <w:basedOn w:val="57"/>
    <w:next w:val="57"/>
    <w:qFormat/>
    <w:uiPriority w:val="0"/>
    <w:pPr>
      <w:numPr>
        <w:ilvl w:val="4"/>
        <w:numId w:val="8"/>
      </w:numPr>
      <w:spacing w:before="50" w:beforeLines="50" w:after="50" w:afterLines="50"/>
      <w:ind w:firstLineChars="0"/>
    </w:pPr>
    <w:rPr>
      <w:rFonts w:ascii="黑体" w:eastAsia="黑体"/>
    </w:rPr>
  </w:style>
  <w:style w:type="paragraph" w:customStyle="1" w:styleId="205">
    <w:name w:val="标准文件_引言五级条标题"/>
    <w:basedOn w:val="57"/>
    <w:next w:val="57"/>
    <w:qFormat/>
    <w:uiPriority w:val="0"/>
    <w:pPr>
      <w:numPr>
        <w:ilvl w:val="5"/>
        <w:numId w:val="8"/>
      </w:numPr>
      <w:spacing w:before="50" w:beforeLines="50" w:after="50" w:afterLines="50"/>
      <w:ind w:firstLineChars="0"/>
    </w:pPr>
    <w:rPr>
      <w:rFonts w:ascii="黑体" w:eastAsia="黑体"/>
    </w:rPr>
  </w:style>
  <w:style w:type="paragraph" w:customStyle="1" w:styleId="206">
    <w:name w:val="标准文件_注后"/>
    <w:basedOn w:val="57"/>
    <w:qFormat/>
    <w:uiPriority w:val="0"/>
    <w:pPr>
      <w:ind w:left="811" w:firstLine="0" w:firstLineChars="0"/>
    </w:pPr>
    <w:rPr>
      <w:sz w:val="18"/>
    </w:rPr>
  </w:style>
  <w:style w:type="paragraph" w:customStyle="1" w:styleId="207">
    <w:name w:val="标准文件_注X后"/>
    <w:basedOn w:val="57"/>
    <w:qFormat/>
    <w:uiPriority w:val="0"/>
    <w:pPr>
      <w:ind w:left="811" w:firstLine="0" w:firstLineChars="0"/>
    </w:pPr>
    <w:rPr>
      <w:sz w:val="18"/>
    </w:rPr>
  </w:style>
  <w:style w:type="paragraph" w:customStyle="1" w:styleId="208">
    <w:name w:val="标准文件_示例后"/>
    <w:basedOn w:val="57"/>
    <w:qFormat/>
    <w:uiPriority w:val="0"/>
    <w:pPr>
      <w:ind w:left="964" w:firstLine="0" w:firstLineChars="0"/>
    </w:pPr>
    <w:rPr>
      <w:sz w:val="18"/>
    </w:rPr>
  </w:style>
  <w:style w:type="paragraph" w:customStyle="1" w:styleId="209">
    <w:name w:val="标准文件_示例X后"/>
    <w:basedOn w:val="57"/>
    <w:link w:val="210"/>
    <w:qFormat/>
    <w:uiPriority w:val="0"/>
    <w:pPr>
      <w:ind w:left="1049" w:firstLine="0" w:firstLineChars="0"/>
    </w:pPr>
    <w:rPr>
      <w:sz w:val="18"/>
    </w:rPr>
  </w:style>
  <w:style w:type="character" w:customStyle="1" w:styleId="210">
    <w:name w:val="标准文件_示例X后 字符"/>
    <w:basedOn w:val="185"/>
    <w:link w:val="209"/>
    <w:qFormat/>
    <w:uiPriority w:val="0"/>
    <w:rPr>
      <w:rFonts w:ascii="宋体" w:hAnsi="Times New Roman"/>
      <w:sz w:val="18"/>
    </w:rPr>
  </w:style>
  <w:style w:type="paragraph" w:customStyle="1" w:styleId="211">
    <w:name w:val="标准文件_索引项"/>
    <w:basedOn w:val="57"/>
    <w:next w:val="57"/>
    <w:qFormat/>
    <w:uiPriority w:val="0"/>
    <w:pPr>
      <w:tabs>
        <w:tab w:val="right" w:leader="dot" w:pos="9356"/>
      </w:tabs>
      <w:ind w:left="210" w:hanging="210" w:firstLineChars="0"/>
      <w:jc w:val="left"/>
    </w:pPr>
  </w:style>
  <w:style w:type="paragraph" w:customStyle="1" w:styleId="212">
    <w:name w:val="标准文件_附录一级无标题"/>
    <w:basedOn w:val="79"/>
    <w:qFormat/>
    <w:uiPriority w:val="0"/>
    <w:pPr>
      <w:spacing w:before="0" w:beforeLines="0" w:after="0" w:afterLines="0" w:line="276" w:lineRule="auto"/>
      <w:outlineLvl w:val="9"/>
    </w:pPr>
    <w:rPr>
      <w:rFonts w:ascii="宋体" w:eastAsia="宋体"/>
    </w:rPr>
  </w:style>
  <w:style w:type="paragraph" w:customStyle="1" w:styleId="213">
    <w:name w:val="标准文件_附录二级无标题"/>
    <w:basedOn w:val="80"/>
    <w:qFormat/>
    <w:uiPriority w:val="0"/>
    <w:pPr>
      <w:spacing w:before="0" w:beforeLines="0" w:after="0" w:afterLines="0" w:line="276" w:lineRule="auto"/>
      <w:outlineLvl w:val="9"/>
    </w:pPr>
    <w:rPr>
      <w:rFonts w:ascii="宋体" w:eastAsia="宋体"/>
    </w:rPr>
  </w:style>
  <w:style w:type="paragraph" w:customStyle="1" w:styleId="214">
    <w:name w:val="标准文件_附录三级无标题"/>
    <w:basedOn w:val="82"/>
    <w:qFormat/>
    <w:uiPriority w:val="0"/>
    <w:pPr>
      <w:spacing w:before="0" w:beforeLines="0" w:after="0" w:afterLines="0" w:line="276" w:lineRule="auto"/>
      <w:outlineLvl w:val="9"/>
    </w:pPr>
    <w:rPr>
      <w:rFonts w:ascii="宋体" w:eastAsia="宋体"/>
    </w:rPr>
  </w:style>
  <w:style w:type="paragraph" w:customStyle="1" w:styleId="215">
    <w:name w:val="标准文件_附录四级无标题"/>
    <w:basedOn w:val="83"/>
    <w:qFormat/>
    <w:uiPriority w:val="0"/>
    <w:pPr>
      <w:spacing w:before="0" w:beforeLines="0" w:after="0" w:afterLines="0" w:line="276" w:lineRule="auto"/>
      <w:outlineLvl w:val="9"/>
    </w:pPr>
    <w:rPr>
      <w:rFonts w:ascii="宋体" w:eastAsia="宋体"/>
    </w:rPr>
  </w:style>
  <w:style w:type="paragraph" w:customStyle="1" w:styleId="216">
    <w:name w:val="标准文件_附录五级无标题"/>
    <w:basedOn w:val="85"/>
    <w:qFormat/>
    <w:uiPriority w:val="0"/>
    <w:pPr>
      <w:spacing w:before="0" w:beforeLines="0" w:after="0" w:afterLines="0" w:line="276" w:lineRule="auto"/>
      <w:outlineLvl w:val="9"/>
    </w:pPr>
    <w:rPr>
      <w:rFonts w:ascii="宋体" w:eastAsia="宋体"/>
    </w:rPr>
  </w:style>
  <w:style w:type="paragraph" w:customStyle="1" w:styleId="217">
    <w:name w:val="标准文件_引言一级无标题"/>
    <w:basedOn w:val="201"/>
    <w:next w:val="57"/>
    <w:qFormat/>
    <w:uiPriority w:val="0"/>
    <w:pPr>
      <w:spacing w:before="0" w:beforeLines="0" w:after="0" w:afterLines="0" w:line="276" w:lineRule="auto"/>
    </w:pPr>
    <w:rPr>
      <w:rFonts w:ascii="宋体" w:eastAsia="宋体"/>
    </w:rPr>
  </w:style>
  <w:style w:type="paragraph" w:customStyle="1" w:styleId="218">
    <w:name w:val="标准文件_引言二级无标题"/>
    <w:basedOn w:val="202"/>
    <w:next w:val="57"/>
    <w:qFormat/>
    <w:uiPriority w:val="0"/>
    <w:pPr>
      <w:spacing w:before="0" w:beforeLines="0" w:after="0" w:afterLines="0" w:line="276" w:lineRule="auto"/>
    </w:pPr>
    <w:rPr>
      <w:rFonts w:ascii="宋体" w:eastAsia="宋体"/>
    </w:rPr>
  </w:style>
  <w:style w:type="paragraph" w:customStyle="1" w:styleId="219">
    <w:name w:val="标准文件_引言三级无标题"/>
    <w:basedOn w:val="203"/>
    <w:next w:val="57"/>
    <w:qFormat/>
    <w:uiPriority w:val="0"/>
    <w:pPr>
      <w:spacing w:before="0" w:beforeLines="0" w:after="0" w:afterLines="0" w:line="276" w:lineRule="auto"/>
    </w:pPr>
    <w:rPr>
      <w:rFonts w:ascii="宋体" w:eastAsia="宋体"/>
    </w:rPr>
  </w:style>
  <w:style w:type="paragraph" w:customStyle="1" w:styleId="220">
    <w:name w:val="标准文件_引言四级无标题"/>
    <w:basedOn w:val="204"/>
    <w:next w:val="57"/>
    <w:qFormat/>
    <w:uiPriority w:val="0"/>
    <w:pPr>
      <w:spacing w:before="0" w:beforeLines="0" w:after="0" w:afterLines="0" w:line="276" w:lineRule="auto"/>
    </w:pPr>
    <w:rPr>
      <w:rFonts w:ascii="宋体" w:eastAsia="宋体"/>
    </w:rPr>
  </w:style>
  <w:style w:type="paragraph" w:customStyle="1" w:styleId="221">
    <w:name w:val="标准文件_引言五级无标题"/>
    <w:basedOn w:val="205"/>
    <w:next w:val="57"/>
    <w:qFormat/>
    <w:uiPriority w:val="0"/>
    <w:pPr>
      <w:spacing w:before="0" w:beforeLines="0" w:after="0" w:afterLines="0" w:line="276" w:lineRule="auto"/>
    </w:pPr>
    <w:rPr>
      <w:rFonts w:ascii="宋体" w:eastAsia="宋体"/>
    </w:rPr>
  </w:style>
  <w:style w:type="paragraph" w:customStyle="1" w:styleId="222">
    <w:name w:val="标准文件_索引标题"/>
    <w:basedOn w:val="64"/>
    <w:next w:val="57"/>
    <w:qFormat/>
    <w:uiPriority w:val="0"/>
    <w:rPr>
      <w:rFonts w:hAnsi="黑体"/>
    </w:rPr>
  </w:style>
  <w:style w:type="paragraph" w:customStyle="1" w:styleId="223">
    <w:name w:val="标准文件_脚注内容"/>
    <w:basedOn w:val="57"/>
    <w:qFormat/>
    <w:uiPriority w:val="0"/>
    <w:pPr>
      <w:ind w:left="400" w:leftChars="200" w:hanging="200" w:hangingChars="200"/>
    </w:pPr>
    <w:rPr>
      <w:sz w:val="15"/>
    </w:rPr>
  </w:style>
  <w:style w:type="paragraph" w:customStyle="1" w:styleId="224">
    <w:name w:val="标准文件_术语条一"/>
    <w:basedOn w:val="163"/>
    <w:next w:val="57"/>
    <w:qFormat/>
    <w:uiPriority w:val="0"/>
  </w:style>
  <w:style w:type="paragraph" w:customStyle="1" w:styleId="225">
    <w:name w:val="标准文件_术语条二"/>
    <w:basedOn w:val="166"/>
    <w:next w:val="57"/>
    <w:qFormat/>
    <w:uiPriority w:val="0"/>
  </w:style>
  <w:style w:type="paragraph" w:customStyle="1" w:styleId="226">
    <w:name w:val="标准文件_术语条三"/>
    <w:basedOn w:val="165"/>
    <w:next w:val="57"/>
    <w:qFormat/>
    <w:uiPriority w:val="0"/>
  </w:style>
  <w:style w:type="paragraph" w:customStyle="1" w:styleId="227">
    <w:name w:val="标准文件_术语条四"/>
    <w:basedOn w:val="168"/>
    <w:next w:val="57"/>
    <w:qFormat/>
    <w:uiPriority w:val="0"/>
  </w:style>
  <w:style w:type="paragraph" w:customStyle="1" w:styleId="228">
    <w:name w:val="标准文件_术语条五"/>
    <w:basedOn w:val="164"/>
    <w:next w:val="57"/>
    <w:qFormat/>
    <w:uiPriority w:val="0"/>
  </w:style>
  <w:style w:type="paragraph" w:customStyle="1" w:styleId="229">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0">
    <w:name w:val="发布"/>
    <w:basedOn w:val="29"/>
    <w:qFormat/>
    <w:uiPriority w:val="0"/>
    <w:rPr>
      <w:rFonts w:ascii="黑体" w:eastAsia="黑体"/>
      <w:spacing w:val="85"/>
      <w:w w:val="100"/>
      <w:position w:val="3"/>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glossaryDocument" Target="glossary/document.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tiff"/><Relationship Id="rId13" Type="http://schemas.openxmlformats.org/officeDocument/2006/relationships/theme" Target="theme/theme1.xml"/><Relationship Id="rId12" Type="http://schemas.openxmlformats.org/officeDocument/2006/relationships/footer" Target="footer3.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EE2F0ACE9CD24C068116B4594184CBBC"/>
        <w:style w:val=""/>
        <w:category>
          <w:name w:val="常规"/>
          <w:gallery w:val="placeholder"/>
        </w:category>
        <w:types>
          <w:type w:val="bbPlcHdr"/>
        </w:types>
        <w:behaviors>
          <w:behavior w:val="content"/>
        </w:behaviors>
        <w:description w:val=""/>
        <w:guid w:val="{4FDAD17E-4861-49B4-91F7-1B995F6C8A59}"/>
      </w:docPartPr>
      <w:docPartBody>
        <w:p>
          <w:pPr>
            <w:pStyle w:val="5"/>
          </w:pPr>
          <w:r>
            <w:rPr>
              <w:rStyle w:val="4"/>
              <w:rFonts w:hint="eastAsia"/>
            </w:rPr>
            <w:t>单击或点击此处输入文字。</w:t>
          </w:r>
        </w:p>
      </w:docPartBody>
    </w:docPart>
    <w:docPart>
      <w:docPartPr>
        <w:name w:val="ED617B49F1E0452D9001D5DDF5D0DD91"/>
        <w:style w:val=""/>
        <w:category>
          <w:name w:val="常规"/>
          <w:gallery w:val="placeholder"/>
        </w:category>
        <w:types>
          <w:type w:val="bbPlcHdr"/>
        </w:types>
        <w:behaviors>
          <w:behavior w:val="content"/>
        </w:behaviors>
        <w:description w:val=""/>
        <w:guid w:val="{2721D716-A64E-4678-89D5-E06E3E133074}"/>
      </w:docPartPr>
      <w:docPartBody>
        <w:p>
          <w:pPr>
            <w:pStyle w:val="6"/>
          </w:pPr>
          <w:r>
            <w:rPr>
              <w:rStyle w:val="4"/>
              <w:rFonts w:hint="eastAsia"/>
            </w:rPr>
            <w:t>选择一项。</w:t>
          </w:r>
        </w:p>
      </w:docPartBody>
    </w:docPart>
    <w:docPart>
      <w:docPartPr>
        <w:name w:val="BD386E937FC340F69B0DCF4F91BCDE12"/>
        <w:style w:val=""/>
        <w:category>
          <w:name w:val="常规"/>
          <w:gallery w:val="placeholder"/>
        </w:category>
        <w:types>
          <w:type w:val="bbPlcHdr"/>
        </w:types>
        <w:behaviors>
          <w:behavior w:val="content"/>
        </w:behaviors>
        <w:description w:val=""/>
        <w:guid w:val="{82F412B7-D1B6-4900-88D2-9EA6BFD8E92D}"/>
      </w:docPartPr>
      <w:docPartBody>
        <w:p>
          <w:pPr>
            <w:pStyle w:val="7"/>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50C7"/>
    <w:rsid w:val="00033AA2"/>
    <w:rsid w:val="00494431"/>
    <w:rsid w:val="00AD50C7"/>
    <w:rsid w:val="00E97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EE2F0ACE9CD24C068116B4594184CBBC"/>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ED617B49F1E0452D9001D5DDF5D0DD91"/>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7">
    <w:name w:val="BD386E937FC340F69B0DCF4F91BCDE12"/>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51EF73D-4A18-4DC4-92AD-9A8E6783CED4}">
  <ds:schemaRefs/>
</ds:datastoreItem>
</file>

<file path=docProps/app.xml><?xml version="1.0" encoding="utf-8"?>
<Properties xmlns="http://schemas.openxmlformats.org/officeDocument/2006/extended-properties" xmlns:vt="http://schemas.openxmlformats.org/officeDocument/2006/docPropsVTypes">
  <Template>地方标准</Template>
  <Company>PCMI</Company>
  <Pages>29</Pages>
  <Words>10108</Words>
  <Characters>12635</Characters>
  <Lines>2105</Lines>
  <Paragraphs>1895</Paragraphs>
  <TotalTime>0</TotalTime>
  <ScaleCrop>false</ScaleCrop>
  <LinksUpToDate>false</LinksUpToDate>
  <CharactersWithSpaces>20848</CharactersWithSpaces>
  <Application>WPS Office_11.1.0.10640_F1E327BC-269C-435d-A152-05C5408002CA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2021-07-01T03:17:00Z</dcterms:created>
  <dc:creator>李鑫</dc:creator>
  <dc:description>&lt;config cover="true" show_menu="true" version="1.0.0" doctype="SDKXY"&gt;_x000d_
&lt;/config&gt;</dc:description>
  <cp:lastModifiedBy>lb</cp:lastModifiedBy>
  <cp:lastPrinted>2020-08-30T10:00:00Z</cp:lastPrinted>
  <dcterms:modified xsi:type="dcterms:W3CDTF">2021-07-09T01:13:19Z</dcterms:modified>
  <dc:title>地方标准</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2052-11.1.0.10640</vt:lpwstr>
  </property>
  <property fmtid="{D5CDD505-2E9C-101B-9397-08002B2CF9AE}" pid="15" name="ICV">
    <vt:lpwstr>6DEB0BE823CE4387AAE2CC75F9066E09</vt:lpwstr>
  </property>
</Properties>
</file>