
<file path=[Content_Types].xml><?xml version="1.0" encoding="utf-8"?>
<Types xmlns="http://schemas.openxmlformats.org/package/2006/content-types">
  <Default Extension="xml" ContentType="application/xml"/>
  <Default Extension="bin" ContentType="application/vnd.openxmlformats-officedocument.oleObject"/>
  <Default Extension="tiff" ContentType="image/tiff"/>
  <Default Extension="wmf" ContentType="image/x-w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9"/>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p>
        </w:tc>
        <w:tc>
          <w:tcPr>
            <w:tcW w:w="8855" w:type="dxa"/>
          </w:tcPr>
          <w:p>
            <w:pPr>
              <w:pStyle w:val="29"/>
              <w:framePr w:wrap="notBeside" w:vAnchor="page" w:hAnchor="page" w:x="1372" w:y="568"/>
              <w:tabs>
                <w:tab w:val="clear" w:pos="4153"/>
                <w:tab w:val="clear" w:pos="8306"/>
              </w:tabs>
              <w:spacing w:line="240" w:lineRule="auto"/>
              <w:jc w:val="both"/>
              <w:rPr>
                <w:rFonts w:ascii="黑体" w:hAnsi="黑体" w:eastAsia="黑体"/>
                <w:sz w:val="21"/>
                <w:szCs w:val="21"/>
              </w:rPr>
            </w:pPr>
            <w:bookmarkStart w:id="124" w:name="_GoBack"/>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91.200</w:t>
            </w:r>
            <w:r>
              <w:rPr>
                <w:rFonts w:ascii="黑体" w:hAnsi="黑体" w:eastAsia="黑体"/>
                <w:sz w:val="21"/>
                <w:szCs w:val="21"/>
              </w:rPr>
              <w:fldChar w:fldCharType="end"/>
            </w:r>
            <w:bookmarkEnd w:id="124"/>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pPr>
              <w:pStyle w:val="2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CCS</w:t>
            </w:r>
          </w:p>
        </w:tc>
        <w:tc>
          <w:tcPr>
            <w:tcW w:w="8855" w:type="dxa"/>
          </w:tcPr>
          <w:p>
            <w:pPr>
              <w:pStyle w:val="2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P 32</w:t>
            </w:r>
            <w:r>
              <w:rPr>
                <w:rFonts w:ascii="黑体" w:hAnsi="黑体" w:eastAsia="黑体"/>
                <w:sz w:val="21"/>
                <w:szCs w:val="21"/>
              </w:rPr>
              <w:fldChar w:fldCharType="end"/>
            </w:r>
            <w:bookmarkEnd w:id="1"/>
          </w:p>
        </w:tc>
      </w:tr>
    </w:tbl>
    <w:tbl>
      <w:tblPr>
        <w:tblStyle w:val="4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72"/>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5"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fldChar w:fldCharType="begin">
                <w:ffData>
                  <w:name w:val="c1"/>
                  <w:enabled/>
                  <w:calcOnExit w:val="0"/>
                  <w:textInput>
                    <w:maxLength w:val="8"/>
                  </w:textInput>
                </w:ffData>
              </w:fldChar>
            </w:r>
            <w:bookmarkStart w:id="3" w:name="c1"/>
            <w:r>
              <w:instrText xml:space="preserve"> FORMTEXT </w:instrText>
            </w:r>
            <w:r>
              <w:fldChar w:fldCharType="separate"/>
            </w:r>
            <w:r>
              <w:t>42</w:t>
            </w:r>
            <w:r>
              <w:fldChar w:fldCharType="end"/>
            </w:r>
            <w:bookmarkEnd w:id="3"/>
          </w:p>
        </w:tc>
      </w:tr>
    </w:tbl>
    <w:p>
      <w:pPr>
        <w:pStyle w:val="73"/>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218"/>
        <w:framePr/>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42/T</w:t>
      </w:r>
      <w:r>
        <w:fldChar w:fldCharType="end"/>
      </w:r>
      <w:bookmarkEnd w:id="5"/>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2022</w:t>
      </w:r>
      <w:r>
        <w:fldChar w:fldCharType="end"/>
      </w:r>
      <w:bookmarkEnd w:id="7"/>
    </w:p>
    <w:p>
      <w:pPr>
        <w:pStyle w:val="219"/>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J4NJltgA&#10;AAAMAQAADwAAAAAAAAABACAAAAA4AAAAZHJzL2Rvd25yZXYueG1sUEsBAhQAFAAAAAgAh07iQOoQ&#10;p33QAQAAbwMAAA4AAAAAAAAAAQAgAAAAPQEAAGRycy9lMm9Eb2MueG1sUEsFBgAAAAAGAAYAWQEA&#10;AH8FAAAAAA==&#10;">
                <v:fill on="f" focussize="0,0"/>
                <v:stroke color="#000000" joinstyle="round"/>
                <v:imagedata o:title=""/>
                <o:lock v:ext="edit" aspectratio="f"/>
              </v:line>
            </w:pict>
          </mc:Fallback>
        </mc:AlternateContent>
      </w:r>
    </w:p>
    <w:p>
      <w:pPr>
        <w:pStyle w:val="73"/>
        <w:framePr w:w="9639" w:h="6976" w:hRule="exact" w:hSpace="0" w:vSpace="0" w:hAnchor="page" w:y="6408"/>
        <w:jc w:val="center"/>
        <w:rPr>
          <w:rFonts w:ascii="黑体" w:hAnsi="黑体" w:eastAsia="黑体"/>
          <w:b w:val="0"/>
          <w:bCs w:val="0"/>
          <w:w w:val="100"/>
        </w:rPr>
      </w:pPr>
    </w:p>
    <w:p>
      <w:pPr>
        <w:pStyle w:val="145"/>
        <w:framePr w:w="9639" w:h="6974" w:hRule="exact" w:vAnchor="page" w:hAnchor="page" w:x="1419" w:y="6408"/>
      </w:pPr>
      <w:bookmarkStart w:id="9" w:name="StdName"/>
      <w:r>
        <w:fldChar w:fldCharType="begin">
          <w:ffData>
            <w:name w:val="StdName"/>
            <w:enabled/>
            <w:calcOnExit w:val="0"/>
            <w:textInput>
              <w:default w:val="点击此处添加标准名称"/>
            </w:textInput>
          </w:ffData>
        </w:fldChar>
      </w:r>
      <w:r>
        <w:instrText xml:space="preserve"> FORMTEXT </w:instrText>
      </w:r>
      <w:r>
        <w:fldChar w:fldCharType="separate"/>
      </w:r>
      <w:r>
        <w:rPr>
          <w:rFonts w:hint="eastAsia"/>
        </w:rPr>
        <w:t>建筑施工悬挑式脚手架技术规范</w:t>
      </w:r>
      <w:r>
        <w:fldChar w:fldCharType="end"/>
      </w:r>
      <w:bookmarkEnd w:id="9"/>
    </w:p>
    <w:p>
      <w:pPr>
        <w:pStyle w:val="220"/>
        <w:framePr w:h="6974" w:hRule="exact" w:wrap="around" w:x="1419" w:anchorLock="1"/>
      </w:pPr>
    </w:p>
    <w:p>
      <w:pPr>
        <w:pStyle w:val="148"/>
        <w:framePr w:w="9639" w:h="6974" w:hRule="exact" w:wrap="around" w:vAnchor="page" w:hAnchor="page" w:x="1419" w:y="6408" w:anchorLock="1"/>
        <w:spacing w:before="120" w:after="120"/>
      </w:pPr>
      <w:bookmarkStart w:id="10" w:name="StdEnglishName"/>
      <w:r>
        <w:fldChar w:fldCharType="begin">
          <w:ffData>
            <w:name w:val="StdEnglishName"/>
            <w:enabled/>
            <w:calcOnExit w:val="0"/>
            <w:textInput>
              <w:default w:val="点击此处添加标准英文译名"/>
            </w:textInput>
          </w:ffData>
        </w:fldChar>
      </w:r>
      <w:r>
        <w:instrText xml:space="preserve"> FORMTEXT </w:instrText>
      </w:r>
      <w:r>
        <w:fldChar w:fldCharType="separate"/>
      </w:r>
      <w:r>
        <w:t>Technical specification for constniction safety of cantilever beam supported scaffolding</w:t>
      </w:r>
      <w:r>
        <w:fldChar w:fldCharType="end"/>
      </w:r>
      <w:bookmarkEnd w:id="10"/>
    </w:p>
    <w:p>
      <w:pPr>
        <w:framePr w:w="9639" w:h="6974" w:hRule="exact" w:wrap="around" w:vAnchor="page" w:hAnchor="page" w:x="1419" w:y="6408" w:anchorLock="1"/>
        <w:spacing w:line="760" w:lineRule="exact"/>
        <w:ind w:left="-1418"/>
      </w:pPr>
    </w:p>
    <w:p>
      <w:pPr>
        <w:pStyle w:val="148"/>
        <w:framePr w:w="9639" w:h="6974" w:hRule="exact" w:wrap="around" w:vAnchor="page" w:hAnchor="page" w:x="1419" w:y="6408" w:anchorLock="1"/>
        <w:textAlignment w:val="bottom"/>
        <w:rPr>
          <w:rFonts w:eastAsia="黑体"/>
          <w:szCs w:val="28"/>
        </w:rPr>
      </w:pPr>
    </w:p>
    <w:p>
      <w:pPr>
        <w:pStyle w:val="14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4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216"/>
        <w:framePr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rPr>
          <w:rFonts w:ascii="黑体"/>
        </w:rPr>
        <w:t>-</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ascii="黑体"/>
        </w:rPr>
        <w:t>-</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pPr>
        <w:pStyle w:val="217"/>
        <w:framePr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rPr>
          <w:rFonts w:ascii="黑体"/>
        </w:rPr>
        <w:t>-</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ascii="黑体"/>
        </w:rPr>
        <w:t>-</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tbl>
      <w:tblPr>
        <w:tblStyle w:val="46"/>
        <w:tblpPr w:leftFromText="180" w:rightFromText="180" w:vertAnchor="text" w:horzAnchor="margin" w:tblpXSpec="center" w:tblpY="14394"/>
        <w:tblW w:w="0" w:type="auto"/>
        <w:tblInd w:w="0" w:type="dxa"/>
        <w:tblLayout w:type="fixed"/>
        <w:tblCellMar>
          <w:top w:w="0" w:type="dxa"/>
          <w:left w:w="108" w:type="dxa"/>
          <w:bottom w:w="0" w:type="dxa"/>
          <w:right w:w="108" w:type="dxa"/>
        </w:tblCellMar>
      </w:tblPr>
      <w:tblGrid>
        <w:gridCol w:w="4925"/>
        <w:gridCol w:w="2021"/>
      </w:tblGrid>
      <w:tr>
        <w:tblPrEx>
          <w:tblCellMar>
            <w:top w:w="0" w:type="dxa"/>
            <w:left w:w="108" w:type="dxa"/>
            <w:bottom w:w="0" w:type="dxa"/>
            <w:right w:w="108" w:type="dxa"/>
          </w:tblCellMar>
        </w:tblPrEx>
        <w:tc>
          <w:tcPr>
            <w:tcW w:w="4925" w:type="dxa"/>
            <w:vAlign w:val="center"/>
          </w:tcPr>
          <w:p>
            <w:pPr>
              <w:spacing w:line="0" w:lineRule="atLeast"/>
              <w:jc w:val="distribute"/>
              <w:rPr>
                <w:rFonts w:ascii="黑体" w:hAnsi="Calibri Light" w:eastAsia="黑体"/>
                <w:b/>
                <w:bCs/>
                <w:sz w:val="32"/>
                <w:szCs w:val="32"/>
              </w:rPr>
            </w:pPr>
            <w:r>
              <w:rPr>
                <w:rFonts w:hint="eastAsia" w:ascii="黑体" w:eastAsia="黑体"/>
                <w:sz w:val="32"/>
                <w:szCs w:val="32"/>
              </w:rPr>
              <w:t>湖北省住房和城乡建设厅</w:t>
            </w:r>
          </w:p>
        </w:tc>
        <w:tc>
          <w:tcPr>
            <w:tcW w:w="2021" w:type="dxa"/>
            <w:vMerge w:val="restart"/>
            <w:vAlign w:val="center"/>
          </w:tcPr>
          <w:p>
            <w:pPr>
              <w:spacing w:line="0" w:lineRule="atLeast"/>
              <w:jc w:val="center"/>
              <w:rPr>
                <w:rFonts w:ascii="黑体" w:eastAsia="黑体"/>
                <w:sz w:val="28"/>
                <w:szCs w:val="28"/>
              </w:rPr>
            </w:pPr>
            <w:r>
              <w:rPr>
                <w:rFonts w:hint="eastAsia" w:ascii="黑体" w:eastAsia="黑体"/>
                <w:sz w:val="32"/>
                <w:szCs w:val="28"/>
              </w:rPr>
              <w:t>联 合 发 布</w:t>
            </w:r>
          </w:p>
        </w:tc>
      </w:tr>
      <w:tr>
        <w:tblPrEx>
          <w:tblCellMar>
            <w:top w:w="0" w:type="dxa"/>
            <w:left w:w="108" w:type="dxa"/>
            <w:bottom w:w="0" w:type="dxa"/>
            <w:right w:w="108" w:type="dxa"/>
          </w:tblCellMar>
        </w:tblPrEx>
        <w:trPr>
          <w:trHeight w:val="429" w:hRule="atLeast"/>
        </w:trPr>
        <w:tc>
          <w:tcPr>
            <w:tcW w:w="4925" w:type="dxa"/>
            <w:vAlign w:val="center"/>
          </w:tcPr>
          <w:p>
            <w:pPr>
              <w:spacing w:line="0" w:lineRule="atLeast"/>
              <w:jc w:val="distribute"/>
              <w:rPr>
                <w:rFonts w:ascii="黑体" w:eastAsia="黑体"/>
                <w:sz w:val="32"/>
                <w:szCs w:val="32"/>
              </w:rPr>
            </w:pPr>
            <w:r>
              <w:rPr>
                <w:rFonts w:hint="eastAsia" w:ascii="黑体" w:eastAsia="黑体"/>
                <w:sz w:val="32"/>
                <w:szCs w:val="32"/>
              </w:rPr>
              <w:t>湖北省市场监督管理局</w:t>
            </w:r>
          </w:p>
        </w:tc>
        <w:tc>
          <w:tcPr>
            <w:tcW w:w="2021" w:type="dxa"/>
            <w:vMerge w:val="continue"/>
            <w:vAlign w:val="center"/>
          </w:tcPr>
          <w:p>
            <w:pPr>
              <w:spacing w:line="0" w:lineRule="atLeast"/>
              <w:jc w:val="center"/>
              <w:rPr>
                <w:rFonts w:ascii="黑体" w:eastAsia="黑体"/>
                <w:sz w:val="32"/>
                <w:szCs w:val="32"/>
              </w:rPr>
            </w:pPr>
          </w:p>
        </w:tc>
      </w:tr>
    </w:tbl>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8"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qzMc+9cAAAAO&#10;AQAADwAAAAAAAAABACAAAAA4AAAAZHJzL2Rvd25yZXYueG1sUEsBAhQAFAAAAAgAh07iQOrw0avO&#10;AQAAbQMAAA4AAAAAAAAAAQAgAAAAPAEAAGRycy9lMm9Eb2MueG1sUEsFBgAAAAAGAAYAWQEAAHwF&#10;AAAAAA==&#10;">
                <v:fill on="f" focussize="0,0"/>
                <v:stroke color="#000000" joinstyle="round"/>
                <v:imagedata o:title=""/>
                <o:lock v:ext="edit" aspectratio="f"/>
                <w10:anchorlock/>
              </v:line>
            </w:pict>
          </mc:Fallback>
        </mc:AlternateContent>
      </w:r>
    </w:p>
    <w:p>
      <w:pPr>
        <w:pStyle w:val="114"/>
        <w:spacing w:after="468"/>
      </w:pPr>
      <w:bookmarkStart w:id="19" w:name="BookMark1"/>
      <w:bookmarkStart w:id="20" w:name="_Toc106092151"/>
      <w:r>
        <w:rPr>
          <w:rFonts w:hint="eastAsia"/>
          <w:spacing w:val="320"/>
        </w:rPr>
        <w:t>目</w:t>
      </w:r>
      <w:r>
        <w:rPr>
          <w:rFonts w:hint="eastAsia"/>
        </w:rPr>
        <w:t>次</w:t>
      </w:r>
    </w:p>
    <w:p>
      <w:pPr>
        <w:pStyle w:val="30"/>
        <w:tabs>
          <w:tab w:val="right" w:leader="dot" w:pos="9344"/>
        </w:tabs>
        <w:rPr>
          <w:rStyle w:val="54"/>
        </w:rPr>
      </w:pPr>
      <w:r>
        <w:fldChar w:fldCharType="begin"/>
      </w:r>
      <w:r>
        <w:instrText xml:space="preserve"> TOC \o "1-1" \h \t "标准文件_一级条标题,2,标准文件_附录一级条标题,2,"</w:instrText>
      </w:r>
      <w:r>
        <w:fldChar w:fldCharType="separate"/>
      </w:r>
      <w:r>
        <w:fldChar w:fldCharType="begin"/>
      </w:r>
      <w:r>
        <w:instrText xml:space="preserve"> HYPERLINK \l "_Toc106095418" </w:instrText>
      </w:r>
      <w:r>
        <w:fldChar w:fldCharType="separate"/>
      </w:r>
      <w:r>
        <w:rPr>
          <w:rStyle w:val="54"/>
        </w:rPr>
        <w:t>前言</w:t>
      </w:r>
      <w:r>
        <w:rPr>
          <w:rStyle w:val="54"/>
        </w:rPr>
        <w:tab/>
      </w:r>
      <w:r>
        <w:rPr>
          <w:rStyle w:val="54"/>
        </w:rPr>
        <w:fldChar w:fldCharType="begin"/>
      </w:r>
      <w:r>
        <w:rPr>
          <w:rStyle w:val="54"/>
        </w:rPr>
        <w:instrText xml:space="preserve"> PAGEREF _Toc106095418 \h </w:instrText>
      </w:r>
      <w:r>
        <w:rPr>
          <w:rStyle w:val="54"/>
        </w:rPr>
        <w:fldChar w:fldCharType="separate"/>
      </w:r>
      <w:r>
        <w:rPr>
          <w:rStyle w:val="54"/>
        </w:rPr>
        <w:t>III</w:t>
      </w:r>
      <w:r>
        <w:rPr>
          <w:rStyle w:val="54"/>
        </w:rPr>
        <w:fldChar w:fldCharType="end"/>
      </w:r>
      <w:r>
        <w:rPr>
          <w:rStyle w:val="54"/>
        </w:rPr>
        <w:fldChar w:fldCharType="end"/>
      </w:r>
    </w:p>
    <w:p>
      <w:pPr>
        <w:pStyle w:val="30"/>
        <w:tabs>
          <w:tab w:val="right" w:leader="dot" w:pos="9344"/>
        </w:tabs>
        <w:rPr>
          <w:rStyle w:val="54"/>
        </w:rPr>
      </w:pPr>
      <w:r>
        <w:fldChar w:fldCharType="begin"/>
      </w:r>
      <w:r>
        <w:instrText xml:space="preserve"> HYPERLINK \l "_Toc106095419" </w:instrText>
      </w:r>
      <w:r>
        <w:fldChar w:fldCharType="separate"/>
      </w:r>
      <w:r>
        <w:rPr>
          <w:rStyle w:val="54"/>
        </w:rPr>
        <w:t>引言</w:t>
      </w:r>
      <w:r>
        <w:rPr>
          <w:rStyle w:val="54"/>
        </w:rPr>
        <w:tab/>
      </w:r>
      <w:r>
        <w:rPr>
          <w:rStyle w:val="54"/>
        </w:rPr>
        <w:fldChar w:fldCharType="begin"/>
      </w:r>
      <w:r>
        <w:rPr>
          <w:rStyle w:val="54"/>
        </w:rPr>
        <w:instrText xml:space="preserve"> PAGEREF _Toc106095419 \h </w:instrText>
      </w:r>
      <w:r>
        <w:rPr>
          <w:rStyle w:val="54"/>
        </w:rPr>
        <w:fldChar w:fldCharType="separate"/>
      </w:r>
      <w:r>
        <w:rPr>
          <w:rStyle w:val="54"/>
        </w:rPr>
        <w:t>IV</w:t>
      </w:r>
      <w:r>
        <w:rPr>
          <w:rStyle w:val="54"/>
        </w:rPr>
        <w:fldChar w:fldCharType="end"/>
      </w:r>
      <w:r>
        <w:rPr>
          <w:rStyle w:val="54"/>
        </w:rPr>
        <w:fldChar w:fldCharType="end"/>
      </w:r>
    </w:p>
    <w:p>
      <w:pPr>
        <w:pStyle w:val="30"/>
        <w:tabs>
          <w:tab w:val="right" w:leader="dot" w:pos="9344"/>
        </w:tabs>
        <w:rPr>
          <w:rStyle w:val="54"/>
        </w:rPr>
      </w:pPr>
      <w:r>
        <w:fldChar w:fldCharType="begin"/>
      </w:r>
      <w:r>
        <w:instrText xml:space="preserve"> HYPERLINK \l "_Toc106095420" </w:instrText>
      </w:r>
      <w:r>
        <w:fldChar w:fldCharType="separate"/>
      </w:r>
      <w:r>
        <w:rPr>
          <w:rStyle w:val="54"/>
        </w:rPr>
        <w:t>1 范围</w:t>
      </w:r>
      <w:r>
        <w:rPr>
          <w:rStyle w:val="54"/>
        </w:rPr>
        <w:tab/>
      </w:r>
      <w:r>
        <w:rPr>
          <w:rStyle w:val="54"/>
        </w:rPr>
        <w:fldChar w:fldCharType="begin"/>
      </w:r>
      <w:r>
        <w:rPr>
          <w:rStyle w:val="54"/>
        </w:rPr>
        <w:instrText xml:space="preserve"> PAGEREF _Toc106095420 \h </w:instrText>
      </w:r>
      <w:r>
        <w:rPr>
          <w:rStyle w:val="54"/>
        </w:rPr>
        <w:fldChar w:fldCharType="separate"/>
      </w:r>
      <w:r>
        <w:rPr>
          <w:rStyle w:val="54"/>
        </w:rPr>
        <w:t>1</w:t>
      </w:r>
      <w:r>
        <w:rPr>
          <w:rStyle w:val="54"/>
        </w:rPr>
        <w:fldChar w:fldCharType="end"/>
      </w:r>
      <w:r>
        <w:rPr>
          <w:rStyle w:val="54"/>
        </w:rPr>
        <w:fldChar w:fldCharType="end"/>
      </w:r>
    </w:p>
    <w:p>
      <w:pPr>
        <w:pStyle w:val="30"/>
        <w:tabs>
          <w:tab w:val="right" w:leader="dot" w:pos="9344"/>
        </w:tabs>
        <w:rPr>
          <w:rStyle w:val="54"/>
        </w:rPr>
      </w:pPr>
      <w:r>
        <w:fldChar w:fldCharType="begin"/>
      </w:r>
      <w:r>
        <w:instrText xml:space="preserve"> HYPERLINK \l "_Toc106095421" </w:instrText>
      </w:r>
      <w:r>
        <w:fldChar w:fldCharType="separate"/>
      </w:r>
      <w:r>
        <w:rPr>
          <w:rStyle w:val="54"/>
        </w:rPr>
        <w:t>2 规范性引用文件</w:t>
      </w:r>
      <w:r>
        <w:rPr>
          <w:rStyle w:val="54"/>
        </w:rPr>
        <w:tab/>
      </w:r>
      <w:r>
        <w:rPr>
          <w:rStyle w:val="54"/>
        </w:rPr>
        <w:fldChar w:fldCharType="begin"/>
      </w:r>
      <w:r>
        <w:rPr>
          <w:rStyle w:val="54"/>
        </w:rPr>
        <w:instrText xml:space="preserve"> PAGEREF _Toc106095421 \h </w:instrText>
      </w:r>
      <w:r>
        <w:rPr>
          <w:rStyle w:val="54"/>
        </w:rPr>
        <w:fldChar w:fldCharType="separate"/>
      </w:r>
      <w:r>
        <w:rPr>
          <w:rStyle w:val="54"/>
        </w:rPr>
        <w:t>1</w:t>
      </w:r>
      <w:r>
        <w:rPr>
          <w:rStyle w:val="54"/>
        </w:rPr>
        <w:fldChar w:fldCharType="end"/>
      </w:r>
      <w:r>
        <w:rPr>
          <w:rStyle w:val="54"/>
        </w:rPr>
        <w:fldChar w:fldCharType="end"/>
      </w:r>
    </w:p>
    <w:p>
      <w:pPr>
        <w:pStyle w:val="30"/>
        <w:tabs>
          <w:tab w:val="right" w:leader="dot" w:pos="9344"/>
        </w:tabs>
        <w:rPr>
          <w:rStyle w:val="54"/>
        </w:rPr>
      </w:pPr>
      <w:r>
        <w:fldChar w:fldCharType="begin"/>
      </w:r>
      <w:r>
        <w:instrText xml:space="preserve"> HYPERLINK \l "_Toc106095422" </w:instrText>
      </w:r>
      <w:r>
        <w:fldChar w:fldCharType="separate"/>
      </w:r>
      <w:r>
        <w:rPr>
          <w:rStyle w:val="54"/>
        </w:rPr>
        <w:t>3 术语和符号</w:t>
      </w:r>
      <w:r>
        <w:rPr>
          <w:rStyle w:val="54"/>
        </w:rPr>
        <w:tab/>
      </w:r>
      <w:r>
        <w:rPr>
          <w:rStyle w:val="54"/>
        </w:rPr>
        <w:fldChar w:fldCharType="begin"/>
      </w:r>
      <w:r>
        <w:rPr>
          <w:rStyle w:val="54"/>
        </w:rPr>
        <w:instrText xml:space="preserve"> PAGEREF _Toc106095422 \h </w:instrText>
      </w:r>
      <w:r>
        <w:rPr>
          <w:rStyle w:val="54"/>
        </w:rPr>
        <w:fldChar w:fldCharType="separate"/>
      </w:r>
      <w:r>
        <w:rPr>
          <w:rStyle w:val="54"/>
        </w:rPr>
        <w:t>2</w:t>
      </w:r>
      <w:r>
        <w:rPr>
          <w:rStyle w:val="54"/>
        </w:rPr>
        <w:fldChar w:fldCharType="end"/>
      </w:r>
      <w:r>
        <w:rPr>
          <w:rStyle w:val="54"/>
        </w:rPr>
        <w:fldChar w:fldCharType="end"/>
      </w:r>
    </w:p>
    <w:p>
      <w:pPr>
        <w:pStyle w:val="39"/>
        <w:rPr>
          <w:rStyle w:val="54"/>
        </w:rPr>
      </w:pPr>
      <w:r>
        <w:fldChar w:fldCharType="begin"/>
      </w:r>
      <w:r>
        <w:instrText xml:space="preserve"> HYPERLINK \l "_Toc106095423" </w:instrText>
      </w:r>
      <w:r>
        <w:fldChar w:fldCharType="separate"/>
      </w:r>
      <w:r>
        <w:rPr>
          <w:rStyle w:val="54"/>
        </w:rPr>
        <w:t>3.1 术语</w:t>
      </w:r>
      <w:r>
        <w:rPr>
          <w:rStyle w:val="54"/>
        </w:rPr>
        <w:tab/>
      </w:r>
      <w:r>
        <w:rPr>
          <w:rStyle w:val="54"/>
        </w:rPr>
        <w:fldChar w:fldCharType="begin"/>
      </w:r>
      <w:r>
        <w:rPr>
          <w:rStyle w:val="54"/>
        </w:rPr>
        <w:instrText xml:space="preserve"> PAGEREF _Toc106095423 \h </w:instrText>
      </w:r>
      <w:r>
        <w:rPr>
          <w:rStyle w:val="54"/>
        </w:rPr>
        <w:fldChar w:fldCharType="separate"/>
      </w:r>
      <w:r>
        <w:rPr>
          <w:rStyle w:val="54"/>
        </w:rPr>
        <w:t>2</w:t>
      </w:r>
      <w:r>
        <w:rPr>
          <w:rStyle w:val="54"/>
        </w:rPr>
        <w:fldChar w:fldCharType="end"/>
      </w:r>
      <w:r>
        <w:rPr>
          <w:rStyle w:val="54"/>
        </w:rPr>
        <w:fldChar w:fldCharType="end"/>
      </w:r>
    </w:p>
    <w:p>
      <w:pPr>
        <w:pStyle w:val="39"/>
        <w:rPr>
          <w:rStyle w:val="54"/>
        </w:rPr>
      </w:pPr>
      <w:r>
        <w:fldChar w:fldCharType="begin"/>
      </w:r>
      <w:r>
        <w:instrText xml:space="preserve"> HYPERLINK \l "_Toc106095424" </w:instrText>
      </w:r>
      <w:r>
        <w:fldChar w:fldCharType="separate"/>
      </w:r>
      <w:r>
        <w:rPr>
          <w:rStyle w:val="54"/>
        </w:rPr>
        <w:t>3.2 符号</w:t>
      </w:r>
      <w:r>
        <w:rPr>
          <w:rStyle w:val="54"/>
        </w:rPr>
        <w:tab/>
      </w:r>
      <w:r>
        <w:rPr>
          <w:rStyle w:val="54"/>
        </w:rPr>
        <w:fldChar w:fldCharType="begin"/>
      </w:r>
      <w:r>
        <w:rPr>
          <w:rStyle w:val="54"/>
        </w:rPr>
        <w:instrText xml:space="preserve"> PAGEREF _Toc106095424 \h </w:instrText>
      </w:r>
      <w:r>
        <w:rPr>
          <w:rStyle w:val="54"/>
        </w:rPr>
        <w:fldChar w:fldCharType="separate"/>
      </w:r>
      <w:r>
        <w:rPr>
          <w:rStyle w:val="54"/>
        </w:rPr>
        <w:t>3</w:t>
      </w:r>
      <w:r>
        <w:rPr>
          <w:rStyle w:val="54"/>
        </w:rPr>
        <w:fldChar w:fldCharType="end"/>
      </w:r>
      <w:r>
        <w:rPr>
          <w:rStyle w:val="54"/>
        </w:rPr>
        <w:fldChar w:fldCharType="end"/>
      </w:r>
    </w:p>
    <w:p>
      <w:pPr>
        <w:pStyle w:val="30"/>
        <w:tabs>
          <w:tab w:val="right" w:leader="dot" w:pos="9344"/>
        </w:tabs>
        <w:rPr>
          <w:rStyle w:val="54"/>
        </w:rPr>
      </w:pPr>
      <w:r>
        <w:fldChar w:fldCharType="begin"/>
      </w:r>
      <w:r>
        <w:instrText xml:space="preserve"> HYPERLINK \l "_Toc106095425" </w:instrText>
      </w:r>
      <w:r>
        <w:fldChar w:fldCharType="separate"/>
      </w:r>
      <w:r>
        <w:rPr>
          <w:rStyle w:val="54"/>
        </w:rPr>
        <w:t>4 基本规定</w:t>
      </w:r>
      <w:r>
        <w:rPr>
          <w:rStyle w:val="54"/>
        </w:rPr>
        <w:tab/>
      </w:r>
      <w:r>
        <w:rPr>
          <w:rStyle w:val="54"/>
        </w:rPr>
        <w:fldChar w:fldCharType="begin"/>
      </w:r>
      <w:r>
        <w:rPr>
          <w:rStyle w:val="54"/>
        </w:rPr>
        <w:instrText xml:space="preserve"> PAGEREF _Toc106095425 \h </w:instrText>
      </w:r>
      <w:r>
        <w:rPr>
          <w:rStyle w:val="54"/>
        </w:rPr>
        <w:fldChar w:fldCharType="separate"/>
      </w:r>
      <w:r>
        <w:rPr>
          <w:rStyle w:val="54"/>
        </w:rPr>
        <w:t>5</w:t>
      </w:r>
      <w:r>
        <w:rPr>
          <w:rStyle w:val="54"/>
        </w:rPr>
        <w:fldChar w:fldCharType="end"/>
      </w:r>
      <w:r>
        <w:rPr>
          <w:rStyle w:val="54"/>
        </w:rPr>
        <w:fldChar w:fldCharType="end"/>
      </w:r>
    </w:p>
    <w:p>
      <w:pPr>
        <w:pStyle w:val="30"/>
        <w:tabs>
          <w:tab w:val="right" w:leader="dot" w:pos="9344"/>
        </w:tabs>
        <w:rPr>
          <w:rStyle w:val="54"/>
        </w:rPr>
      </w:pPr>
      <w:r>
        <w:fldChar w:fldCharType="begin"/>
      </w:r>
      <w:r>
        <w:instrText xml:space="preserve"> HYPERLINK \l "_Toc106095426" </w:instrText>
      </w:r>
      <w:r>
        <w:fldChar w:fldCharType="separate"/>
      </w:r>
      <w:r>
        <w:rPr>
          <w:rStyle w:val="54"/>
        </w:rPr>
        <w:t>5 材料与构造</w:t>
      </w:r>
      <w:r>
        <w:rPr>
          <w:rStyle w:val="54"/>
        </w:rPr>
        <w:tab/>
      </w:r>
      <w:r>
        <w:rPr>
          <w:rStyle w:val="54"/>
        </w:rPr>
        <w:fldChar w:fldCharType="begin"/>
      </w:r>
      <w:r>
        <w:rPr>
          <w:rStyle w:val="54"/>
        </w:rPr>
        <w:instrText xml:space="preserve"> PAGEREF _Toc106095426 \h </w:instrText>
      </w:r>
      <w:r>
        <w:rPr>
          <w:rStyle w:val="54"/>
        </w:rPr>
        <w:fldChar w:fldCharType="separate"/>
      </w:r>
      <w:r>
        <w:rPr>
          <w:rStyle w:val="54"/>
        </w:rPr>
        <w:t>5</w:t>
      </w:r>
      <w:r>
        <w:rPr>
          <w:rStyle w:val="54"/>
        </w:rPr>
        <w:fldChar w:fldCharType="end"/>
      </w:r>
      <w:r>
        <w:rPr>
          <w:rStyle w:val="54"/>
        </w:rPr>
        <w:fldChar w:fldCharType="end"/>
      </w:r>
    </w:p>
    <w:p>
      <w:pPr>
        <w:pStyle w:val="39"/>
        <w:rPr>
          <w:rStyle w:val="54"/>
        </w:rPr>
      </w:pPr>
      <w:r>
        <w:fldChar w:fldCharType="begin"/>
      </w:r>
      <w:r>
        <w:instrText xml:space="preserve"> HYPERLINK \l "_Toc106095427" </w:instrText>
      </w:r>
      <w:r>
        <w:fldChar w:fldCharType="separate"/>
      </w:r>
      <w:r>
        <w:rPr>
          <w:rStyle w:val="54"/>
        </w:rPr>
        <w:t>5.1 材料</w:t>
      </w:r>
      <w:r>
        <w:rPr>
          <w:rStyle w:val="54"/>
        </w:rPr>
        <w:tab/>
      </w:r>
      <w:r>
        <w:rPr>
          <w:rStyle w:val="54"/>
        </w:rPr>
        <w:fldChar w:fldCharType="begin"/>
      </w:r>
      <w:r>
        <w:rPr>
          <w:rStyle w:val="54"/>
        </w:rPr>
        <w:instrText xml:space="preserve"> PAGEREF _Toc106095427 \h </w:instrText>
      </w:r>
      <w:r>
        <w:rPr>
          <w:rStyle w:val="54"/>
        </w:rPr>
        <w:fldChar w:fldCharType="separate"/>
      </w:r>
      <w:r>
        <w:rPr>
          <w:rStyle w:val="54"/>
        </w:rPr>
        <w:t>5</w:t>
      </w:r>
      <w:r>
        <w:rPr>
          <w:rStyle w:val="54"/>
        </w:rPr>
        <w:fldChar w:fldCharType="end"/>
      </w:r>
      <w:r>
        <w:rPr>
          <w:rStyle w:val="54"/>
        </w:rPr>
        <w:fldChar w:fldCharType="end"/>
      </w:r>
    </w:p>
    <w:p>
      <w:pPr>
        <w:pStyle w:val="39"/>
      </w:pPr>
      <w:r>
        <w:fldChar w:fldCharType="begin"/>
      </w:r>
      <w:r>
        <w:instrText xml:space="preserve"> HYPERLINK \l "_Toc106095428" </w:instrText>
      </w:r>
      <w:r>
        <w:fldChar w:fldCharType="separate"/>
      </w:r>
      <w:r>
        <w:rPr>
          <w:rStyle w:val="54"/>
        </w:rPr>
        <w:t>5.2 悬挑梁构造</w:t>
      </w:r>
      <w:r>
        <w:rPr>
          <w:rStyle w:val="54"/>
        </w:rPr>
        <w:tab/>
      </w:r>
      <w:r>
        <w:rPr>
          <w:rStyle w:val="54"/>
        </w:rPr>
        <w:fldChar w:fldCharType="begin"/>
      </w:r>
      <w:r>
        <w:rPr>
          <w:rStyle w:val="54"/>
        </w:rPr>
        <w:instrText xml:space="preserve"> PAGEREF _Toc106095428 \h </w:instrText>
      </w:r>
      <w:r>
        <w:rPr>
          <w:rStyle w:val="54"/>
        </w:rPr>
        <w:fldChar w:fldCharType="separate"/>
      </w:r>
      <w:r>
        <w:rPr>
          <w:rStyle w:val="54"/>
        </w:rPr>
        <w:t>6</w:t>
      </w:r>
      <w:r>
        <w:rPr>
          <w:rStyle w:val="54"/>
        </w:rPr>
        <w:fldChar w:fldCharType="end"/>
      </w:r>
      <w:r>
        <w:rPr>
          <w:rStyle w:val="54"/>
        </w:rPr>
        <w:fldChar w:fldCharType="end"/>
      </w:r>
    </w:p>
    <w:p>
      <w:pPr>
        <w:pStyle w:val="39"/>
        <w:rPr>
          <w:rStyle w:val="54"/>
        </w:rPr>
      </w:pPr>
      <w:r>
        <w:fldChar w:fldCharType="begin"/>
      </w:r>
      <w:r>
        <w:instrText xml:space="preserve"> HYPERLINK \l "_Toc106095429" </w:instrText>
      </w:r>
      <w:r>
        <w:fldChar w:fldCharType="separate"/>
      </w:r>
      <w:r>
        <w:rPr>
          <w:rStyle w:val="54"/>
        </w:rPr>
        <w:t xml:space="preserve">5.3 </w:t>
      </w:r>
      <w:r>
        <w:rPr>
          <w:rFonts w:hint="eastAsia" w:hAnsi="宋体"/>
        </w:rPr>
        <w:t>吊拉钢丝绳</w:t>
      </w:r>
      <w:r>
        <w:rPr>
          <w:rStyle w:val="54"/>
        </w:rPr>
        <w:t>构造</w:t>
      </w:r>
      <w:r>
        <w:rPr>
          <w:rStyle w:val="54"/>
        </w:rPr>
        <w:tab/>
      </w:r>
      <w:r>
        <w:rPr>
          <w:rStyle w:val="54"/>
          <w:rFonts w:hint="eastAsia"/>
        </w:rPr>
        <w:t>9</w:t>
      </w:r>
      <w:r>
        <w:rPr>
          <w:rStyle w:val="54"/>
          <w:rFonts w:hint="eastAsia"/>
        </w:rPr>
        <w:fldChar w:fldCharType="end"/>
      </w:r>
    </w:p>
    <w:p>
      <w:pPr>
        <w:pStyle w:val="39"/>
        <w:rPr>
          <w:rStyle w:val="54"/>
        </w:rPr>
      </w:pPr>
      <w:r>
        <w:fldChar w:fldCharType="begin"/>
      </w:r>
      <w:r>
        <w:instrText xml:space="preserve"> HYPERLINK \l "_Toc106095429" </w:instrText>
      </w:r>
      <w:r>
        <w:fldChar w:fldCharType="separate"/>
      </w:r>
      <w:r>
        <w:rPr>
          <w:rStyle w:val="54"/>
        </w:rPr>
        <w:t>5.</w:t>
      </w:r>
      <w:r>
        <w:rPr>
          <w:rStyle w:val="54"/>
          <w:rFonts w:hint="eastAsia"/>
        </w:rPr>
        <w:t>4</w:t>
      </w:r>
      <w:r>
        <w:rPr>
          <w:rStyle w:val="54"/>
        </w:rPr>
        <w:t xml:space="preserve"> 斜拉</w:t>
      </w:r>
      <w:r>
        <w:rPr>
          <w:rStyle w:val="54"/>
          <w:rFonts w:hint="eastAsia"/>
        </w:rPr>
        <w:t>杆</w:t>
      </w:r>
      <w:r>
        <w:rPr>
          <w:rStyle w:val="54"/>
        </w:rPr>
        <w:t>件构造</w:t>
      </w:r>
      <w:r>
        <w:rPr>
          <w:rStyle w:val="54"/>
        </w:rPr>
        <w:tab/>
      </w:r>
      <w:r>
        <w:rPr>
          <w:rStyle w:val="54"/>
          <w:rFonts w:hint="eastAsia"/>
        </w:rPr>
        <w:t>9</w:t>
      </w:r>
      <w:r>
        <w:rPr>
          <w:rStyle w:val="54"/>
          <w:rFonts w:hint="eastAsia"/>
        </w:rPr>
        <w:fldChar w:fldCharType="end"/>
      </w:r>
    </w:p>
    <w:p>
      <w:pPr>
        <w:pStyle w:val="39"/>
        <w:rPr>
          <w:rStyle w:val="54"/>
        </w:rPr>
      </w:pPr>
      <w:r>
        <w:fldChar w:fldCharType="begin"/>
      </w:r>
      <w:r>
        <w:instrText xml:space="preserve"> HYPERLINK \l "_Toc106095429" </w:instrText>
      </w:r>
      <w:r>
        <w:fldChar w:fldCharType="separate"/>
      </w:r>
      <w:r>
        <w:rPr>
          <w:rStyle w:val="54"/>
        </w:rPr>
        <w:t>5.</w:t>
      </w:r>
      <w:r>
        <w:rPr>
          <w:rStyle w:val="54"/>
          <w:rFonts w:hint="eastAsia"/>
        </w:rPr>
        <w:t>5</w:t>
      </w:r>
      <w:r>
        <w:rPr>
          <w:rStyle w:val="54"/>
        </w:rPr>
        <w:t xml:space="preserve"> 斜撑件构造</w:t>
      </w:r>
      <w:r>
        <w:rPr>
          <w:rStyle w:val="54"/>
        </w:rPr>
        <w:tab/>
      </w:r>
      <w:r>
        <w:rPr>
          <w:rStyle w:val="54"/>
          <w:rFonts w:hint="eastAsia"/>
        </w:rPr>
        <w:t>9</w:t>
      </w:r>
      <w:r>
        <w:rPr>
          <w:rStyle w:val="54"/>
          <w:rFonts w:hint="eastAsia"/>
        </w:rPr>
        <w:fldChar w:fldCharType="end"/>
      </w:r>
    </w:p>
    <w:p>
      <w:pPr>
        <w:pStyle w:val="39"/>
        <w:rPr>
          <w:rFonts w:asciiTheme="minorHAnsi" w:hAnsiTheme="minorHAnsi" w:eastAsiaTheme="minorEastAsia" w:cstheme="minorBidi"/>
          <w:szCs w:val="22"/>
        </w:rPr>
      </w:pPr>
      <w:r>
        <w:fldChar w:fldCharType="begin"/>
      </w:r>
      <w:r>
        <w:instrText xml:space="preserve"> HYPERLINK \l "_Toc106095430" </w:instrText>
      </w:r>
      <w:r>
        <w:fldChar w:fldCharType="separate"/>
      </w:r>
      <w:r>
        <w:rPr>
          <w:rStyle w:val="54"/>
        </w:rPr>
        <w:t>5.</w:t>
      </w:r>
      <w:r>
        <w:rPr>
          <w:rStyle w:val="54"/>
          <w:rFonts w:hint="eastAsia"/>
        </w:rPr>
        <w:t>6</w:t>
      </w:r>
      <w:r>
        <w:rPr>
          <w:rStyle w:val="54"/>
        </w:rPr>
        <w:t xml:space="preserve"> 架体构造</w:t>
      </w:r>
      <w:r>
        <w:rPr>
          <w:rStyle w:val="54"/>
        </w:rPr>
        <w:tab/>
      </w:r>
      <w:r>
        <w:rPr>
          <w:rStyle w:val="54"/>
          <w:rFonts w:hint="eastAsia"/>
        </w:rPr>
        <w:t>10</w:t>
      </w:r>
      <w:r>
        <w:rPr>
          <w:rStyle w:val="54"/>
          <w:rFonts w:hint="eastAsia"/>
        </w:rP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"_Toc106095431" </w:instrText>
      </w:r>
      <w:r>
        <w:fldChar w:fldCharType="separate"/>
      </w:r>
      <w:r>
        <w:rPr>
          <w:rStyle w:val="54"/>
        </w:rPr>
        <w:t>6 荷载</w:t>
      </w:r>
      <w:r>
        <w:tab/>
      </w:r>
      <w:r>
        <w:fldChar w:fldCharType="begin"/>
      </w:r>
      <w:r>
        <w:instrText xml:space="preserve"> PAGEREF _Toc106095431 \h </w:instrText>
      </w:r>
      <w:r>
        <w:fldChar w:fldCharType="separate"/>
      </w:r>
      <w:r>
        <w:t>12</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"_Toc106095432" </w:instrText>
      </w:r>
      <w:r>
        <w:fldChar w:fldCharType="separate"/>
      </w:r>
      <w:r>
        <w:rPr>
          <w:rStyle w:val="54"/>
        </w:rPr>
        <w:t>6.1 荷载分类</w:t>
      </w:r>
      <w:r>
        <w:tab/>
      </w:r>
      <w:r>
        <w:fldChar w:fldCharType="begin"/>
      </w:r>
      <w:r>
        <w:instrText xml:space="preserve"> PAGEREF _Toc106095432 \h </w:instrText>
      </w:r>
      <w:r>
        <w:fldChar w:fldCharType="separate"/>
      </w:r>
      <w:r>
        <w:t>12</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"_Toc106095433" </w:instrText>
      </w:r>
      <w:r>
        <w:fldChar w:fldCharType="separate"/>
      </w:r>
      <w:r>
        <w:rPr>
          <w:rStyle w:val="54"/>
        </w:rPr>
        <w:t>6.2 荷载标准值</w:t>
      </w:r>
      <w:r>
        <w:tab/>
      </w:r>
      <w:r>
        <w:fldChar w:fldCharType="begin"/>
      </w:r>
      <w:r>
        <w:instrText xml:space="preserve"> PAGEREF _Toc106095433 \h </w:instrText>
      </w:r>
      <w:r>
        <w:fldChar w:fldCharType="separate"/>
      </w:r>
      <w:r>
        <w:t>12</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"_Toc106095434" </w:instrText>
      </w:r>
      <w:r>
        <w:fldChar w:fldCharType="separate"/>
      </w:r>
      <w:r>
        <w:rPr>
          <w:rStyle w:val="54"/>
        </w:rPr>
        <w:t>6.3 荷载效应组合</w:t>
      </w:r>
      <w:r>
        <w:tab/>
      </w:r>
      <w:r>
        <w:fldChar w:fldCharType="begin"/>
      </w:r>
      <w:r>
        <w:instrText xml:space="preserve"> PAGEREF _Toc106095434 \h </w:instrText>
      </w:r>
      <w:r>
        <w:fldChar w:fldCharType="separate"/>
      </w:r>
      <w:r>
        <w:t>14</w:t>
      </w:r>
      <w:r>
        <w:fldChar w:fldCharType="end"/>
      </w:r>
      <w: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"_Toc106095435" </w:instrText>
      </w:r>
      <w:r>
        <w:fldChar w:fldCharType="separate"/>
      </w:r>
      <w:r>
        <w:rPr>
          <w:rStyle w:val="54"/>
        </w:rPr>
        <w:t>7 设计</w:t>
      </w:r>
      <w:r>
        <w:tab/>
      </w:r>
      <w:r>
        <w:fldChar w:fldCharType="begin"/>
      </w:r>
      <w:r>
        <w:instrText xml:space="preserve"> PAGEREF _Toc106095435 \h </w:instrText>
      </w:r>
      <w:r>
        <w:fldChar w:fldCharType="separate"/>
      </w:r>
      <w:r>
        <w:t>14</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"_Toc106095436" </w:instrText>
      </w:r>
      <w:r>
        <w:fldChar w:fldCharType="separate"/>
      </w:r>
      <w:r>
        <w:rPr>
          <w:rStyle w:val="54"/>
        </w:rPr>
        <w:t>7.1 基本规定</w:t>
      </w:r>
      <w:r>
        <w:tab/>
      </w:r>
      <w:r>
        <w:fldChar w:fldCharType="begin"/>
      </w:r>
      <w:r>
        <w:instrText xml:space="preserve"> PAGEREF _Toc106095436 \h </w:instrText>
      </w:r>
      <w:r>
        <w:fldChar w:fldCharType="separate"/>
      </w:r>
      <w:r>
        <w:t>14</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"_Toc106095437" </w:instrText>
      </w:r>
      <w:r>
        <w:fldChar w:fldCharType="separate"/>
      </w:r>
      <w:r>
        <w:rPr>
          <w:rStyle w:val="54"/>
        </w:rPr>
        <w:t>7.2 悬挑梁设计</w:t>
      </w:r>
      <w:r>
        <w:tab/>
      </w:r>
      <w:r>
        <w:fldChar w:fldCharType="begin"/>
      </w:r>
      <w:r>
        <w:instrText xml:space="preserve"> PAGEREF _Toc106095437 \h </w:instrText>
      </w:r>
      <w:r>
        <w:fldChar w:fldCharType="separate"/>
      </w:r>
      <w:r>
        <w:t>16</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"_Toc106095438" </w:instrText>
      </w:r>
      <w:r>
        <w:fldChar w:fldCharType="separate"/>
      </w:r>
      <w:r>
        <w:rPr>
          <w:rStyle w:val="54"/>
        </w:rPr>
        <w:t>7.3 钢管脚手架设计</w:t>
      </w:r>
      <w:r>
        <w:tab/>
      </w:r>
      <w:r>
        <w:rPr>
          <w:rFonts w:hint="eastAsia"/>
        </w:rPr>
        <w:t>19</w:t>
      </w:r>
      <w:r>
        <w:rPr>
          <w:rFonts w:hint="eastAsia"/>
        </w:rP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"_Toc106095439" </w:instrText>
      </w:r>
      <w:r>
        <w:fldChar w:fldCharType="separate"/>
      </w:r>
      <w:r>
        <w:rPr>
          <w:rStyle w:val="54"/>
        </w:rPr>
        <w:t>8 施工</w:t>
      </w:r>
      <w:r>
        <w:tab/>
      </w:r>
      <w:r>
        <w:rPr>
          <w:rFonts w:hint="eastAsia"/>
        </w:rPr>
        <w:t>19</w:t>
      </w:r>
      <w:r>
        <w:rPr>
          <w:rFonts w:hint="eastAsia"/>
        </w:rPr>
        <w:fldChar w:fldCharType="end"/>
      </w:r>
    </w:p>
    <w:p>
      <w:pPr>
        <w:pStyle w:val="39"/>
        <w:rPr>
          <w:rFonts w:asciiTheme="minorHAnsi" w:hAnsiTheme="minorHAnsi" w:eastAsiaTheme="minorEastAsia" w:cstheme="minorBidi"/>
          <w:szCs w:val="22"/>
        </w:rPr>
      </w:pPr>
      <w:r>
        <w:fldChar w:fldCharType="begin"/>
      </w:r>
      <w:r>
        <w:instrText xml:space="preserve"> HYPERLINK \l "_Toc106095440" </w:instrText>
      </w:r>
      <w:r>
        <w:fldChar w:fldCharType="separate"/>
      </w:r>
      <w:r>
        <w:rPr>
          <w:rStyle w:val="54"/>
        </w:rPr>
        <w:t>8.1 施工准备</w:t>
      </w:r>
      <w:r>
        <w:tab/>
      </w:r>
      <w:r>
        <w:rPr>
          <w:rFonts w:hint="eastAsia"/>
        </w:rPr>
        <w:t>20</w:t>
      </w:r>
      <w:r>
        <w:rPr>
          <w:rFonts w:hint="eastAsia"/>
        </w:rPr>
        <w:fldChar w:fldCharType="end"/>
      </w:r>
    </w:p>
    <w:p>
      <w:pPr>
        <w:pStyle w:val="39"/>
        <w:rPr>
          <w:rFonts w:asciiTheme="minorHAnsi" w:hAnsiTheme="minorHAnsi" w:eastAsiaTheme="minorEastAsia" w:cstheme="minorBidi"/>
          <w:szCs w:val="22"/>
        </w:rPr>
      </w:pPr>
      <w:r>
        <w:fldChar w:fldCharType="begin"/>
      </w:r>
      <w:r>
        <w:instrText xml:space="preserve"> HYPERLINK \l "_Toc106095441" </w:instrText>
      </w:r>
      <w:r>
        <w:fldChar w:fldCharType="separate"/>
      </w:r>
      <w:r>
        <w:rPr>
          <w:rStyle w:val="54"/>
        </w:rPr>
        <w:t>8.2</w:t>
      </w:r>
      <w:r>
        <w:rPr>
          <w:rStyle w:val="54"/>
          <w:rFonts w:hAnsi="MingLiU"/>
        </w:rPr>
        <w:t xml:space="preserve"> 安装</w:t>
      </w:r>
      <w:r>
        <w:tab/>
      </w:r>
      <w:r>
        <w:rPr>
          <w:rFonts w:hint="eastAsia"/>
        </w:rPr>
        <w:t>20</w:t>
      </w:r>
      <w:r>
        <w:rPr>
          <w:rFonts w:hint="eastAsia"/>
        </w:rPr>
        <w:fldChar w:fldCharType="end"/>
      </w:r>
    </w:p>
    <w:p>
      <w:pPr>
        <w:pStyle w:val="39"/>
        <w:rPr>
          <w:rFonts w:asciiTheme="minorHAnsi" w:hAnsiTheme="minorHAnsi" w:eastAsiaTheme="minorEastAsia" w:cstheme="minorBidi"/>
          <w:szCs w:val="22"/>
        </w:rPr>
      </w:pPr>
      <w:r>
        <w:fldChar w:fldCharType="begin"/>
      </w:r>
      <w:r>
        <w:instrText xml:space="preserve"> HYPERLINK \l "_Toc106095443" </w:instrText>
      </w:r>
      <w:r>
        <w:fldChar w:fldCharType="separate"/>
      </w:r>
      <w:r>
        <w:rPr>
          <w:rStyle w:val="54"/>
        </w:rPr>
        <w:t>8.</w:t>
      </w:r>
      <w:r>
        <w:rPr>
          <w:rStyle w:val="54"/>
          <w:rFonts w:hint="eastAsia"/>
        </w:rPr>
        <w:t>3</w:t>
      </w:r>
      <w:r>
        <w:rPr>
          <w:rStyle w:val="54"/>
        </w:rPr>
        <w:t xml:space="preserve"> 拆除</w:t>
      </w:r>
      <w:r>
        <w:tab/>
      </w:r>
      <w:r>
        <w:fldChar w:fldCharType="begin"/>
      </w:r>
      <w:r>
        <w:instrText xml:space="preserve"> PAGEREF _Toc106095443 \h </w:instrText>
      </w:r>
      <w:r>
        <w:fldChar w:fldCharType="separate"/>
      </w:r>
      <w:r>
        <w:t>22</w:t>
      </w:r>
      <w:r>
        <w:fldChar w:fldCharType="end"/>
      </w:r>
      <w: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"_Toc106095444" </w:instrText>
      </w:r>
      <w:r>
        <w:fldChar w:fldCharType="separate"/>
      </w:r>
      <w:r>
        <w:rPr>
          <w:rStyle w:val="54"/>
          <w:rFonts w:hAnsi="黑体"/>
        </w:rPr>
        <w:t>9 安全监测</w:t>
      </w:r>
      <w:r>
        <w:tab/>
      </w:r>
      <w:r>
        <w:fldChar w:fldCharType="begin"/>
      </w:r>
      <w:r>
        <w:instrText xml:space="preserve"> PAGEREF _Toc106095444 \h </w:instrText>
      </w:r>
      <w:r>
        <w:fldChar w:fldCharType="separate"/>
      </w:r>
      <w:r>
        <w:t>23</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"_Toc106095445" </w:instrText>
      </w:r>
      <w:r>
        <w:fldChar w:fldCharType="separate"/>
      </w:r>
      <w:r>
        <w:rPr>
          <w:rStyle w:val="54"/>
        </w:rPr>
        <w:t>9.1</w:t>
      </w:r>
      <w:r>
        <w:rPr>
          <w:rStyle w:val="54"/>
          <w:rFonts w:hAnsi="黑体"/>
        </w:rPr>
        <w:t xml:space="preserve"> 基本规定</w:t>
      </w:r>
      <w:r>
        <w:tab/>
      </w:r>
      <w:r>
        <w:fldChar w:fldCharType="begin"/>
      </w:r>
      <w:r>
        <w:instrText xml:space="preserve"> PAGEREF _Toc106095445 \h </w:instrText>
      </w:r>
      <w:r>
        <w:fldChar w:fldCharType="separate"/>
      </w:r>
      <w:r>
        <w:t>23</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"_Toc106095446" </w:instrText>
      </w:r>
      <w:r>
        <w:fldChar w:fldCharType="separate"/>
      </w:r>
      <w:r>
        <w:rPr>
          <w:rStyle w:val="54"/>
        </w:rPr>
        <w:t>9.2</w:t>
      </w:r>
      <w:r>
        <w:rPr>
          <w:rStyle w:val="54"/>
          <w:rFonts w:hAnsi="黑体"/>
        </w:rPr>
        <w:t xml:space="preserve"> 监测项目</w:t>
      </w:r>
      <w:r>
        <w:tab/>
      </w:r>
      <w:r>
        <w:fldChar w:fldCharType="begin"/>
      </w:r>
      <w:r>
        <w:instrText xml:space="preserve"> PAGEREF _Toc106095446 \h </w:instrText>
      </w:r>
      <w:r>
        <w:fldChar w:fldCharType="separate"/>
      </w:r>
      <w:r>
        <w:t>23</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"_Toc106095447" </w:instrText>
      </w:r>
      <w:r>
        <w:fldChar w:fldCharType="separate"/>
      </w:r>
      <w:r>
        <w:rPr>
          <w:rStyle w:val="54"/>
        </w:rPr>
        <w:t>9.3</w:t>
      </w:r>
      <w:r>
        <w:rPr>
          <w:rStyle w:val="54"/>
          <w:rFonts w:hAnsi="黑体"/>
        </w:rPr>
        <w:t xml:space="preserve"> 监测点布置</w:t>
      </w:r>
      <w:r>
        <w:tab/>
      </w:r>
      <w:r>
        <w:fldChar w:fldCharType="begin"/>
      </w:r>
      <w:r>
        <w:instrText xml:space="preserve"> PAGEREF _Toc106095447 \h </w:instrText>
      </w:r>
      <w:r>
        <w:fldChar w:fldCharType="separate"/>
      </w:r>
      <w:r>
        <w:t>23</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"_Toc106095448" </w:instrText>
      </w:r>
      <w:r>
        <w:fldChar w:fldCharType="separate"/>
      </w:r>
      <w:r>
        <w:rPr>
          <w:rStyle w:val="54"/>
        </w:rPr>
        <w:t>9.4 巡视检查</w:t>
      </w:r>
      <w:r>
        <w:tab/>
      </w:r>
      <w:r>
        <w:fldChar w:fldCharType="begin"/>
      </w:r>
      <w:r>
        <w:instrText xml:space="preserve"> PAGEREF _Toc106095448 \h </w:instrText>
      </w:r>
      <w:r>
        <w:fldChar w:fldCharType="separate"/>
      </w:r>
      <w:r>
        <w:t>25</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"_Toc106095449" </w:instrText>
      </w:r>
      <w:r>
        <w:fldChar w:fldCharType="separate"/>
      </w:r>
      <w:r>
        <w:rPr>
          <w:rStyle w:val="54"/>
        </w:rPr>
        <w:t>9.5</w:t>
      </w:r>
      <w:r>
        <w:rPr>
          <w:rStyle w:val="54"/>
          <w:rFonts w:hAnsi="黑体"/>
        </w:rPr>
        <w:t xml:space="preserve"> 监测频率</w:t>
      </w:r>
      <w:r>
        <w:tab/>
      </w:r>
      <w:r>
        <w:fldChar w:fldCharType="begin"/>
      </w:r>
      <w:r>
        <w:instrText xml:space="preserve"> PAGEREF _Toc106095449 \h </w:instrText>
      </w:r>
      <w:r>
        <w:fldChar w:fldCharType="separate"/>
      </w:r>
      <w:r>
        <w:t>26</w:t>
      </w:r>
      <w:r>
        <w:fldChar w:fldCharType="end"/>
      </w:r>
      <w:r>
        <w:fldChar w:fldCharType="end"/>
      </w:r>
    </w:p>
    <w:p>
      <w:pPr>
        <w:pStyle w:val="39"/>
        <w:rPr>
          <w:rFonts w:asciiTheme="minorHAnsi" w:hAnsiTheme="minorHAnsi" w:eastAsiaTheme="minorEastAsia" w:cstheme="minorBidi"/>
          <w:szCs w:val="22"/>
        </w:rPr>
      </w:pPr>
      <w:r>
        <w:fldChar w:fldCharType="begin"/>
      </w:r>
      <w:r>
        <w:instrText xml:space="preserve"> HYPERLINK \l "_Toc106095450" </w:instrText>
      </w:r>
      <w:r>
        <w:fldChar w:fldCharType="separate"/>
      </w:r>
      <w:r>
        <w:rPr>
          <w:rStyle w:val="54"/>
        </w:rPr>
        <w:t>9.6</w:t>
      </w:r>
      <w:r>
        <w:rPr>
          <w:rStyle w:val="54"/>
          <w:rFonts w:hAnsi="黑体"/>
        </w:rPr>
        <w:t xml:space="preserve"> 监测报警</w:t>
      </w:r>
      <w:r>
        <w:tab/>
      </w:r>
      <w:r>
        <w:fldChar w:fldCharType="begin"/>
      </w:r>
      <w:r>
        <w:instrText xml:space="preserve"> PAGEREF _Toc106095450 \h </w:instrText>
      </w:r>
      <w:r>
        <w:fldChar w:fldCharType="separate"/>
      </w:r>
      <w:r>
        <w:t>26</w:t>
      </w:r>
      <w:r>
        <w:fldChar w:fldCharType="end"/>
      </w:r>
      <w: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"_Toc106095451" </w:instrText>
      </w:r>
      <w:r>
        <w:fldChar w:fldCharType="separate"/>
      </w:r>
      <w:r>
        <w:rPr>
          <w:rStyle w:val="54"/>
        </w:rPr>
        <w:t>10 检查与验收</w:t>
      </w:r>
      <w:r>
        <w:tab/>
      </w:r>
      <w:r>
        <w:fldChar w:fldCharType="begin"/>
      </w:r>
      <w:r>
        <w:instrText xml:space="preserve"> PAGEREF _Toc106095451 \h </w:instrText>
      </w:r>
      <w:r>
        <w:fldChar w:fldCharType="separate"/>
      </w:r>
      <w:r>
        <w:t>27</w:t>
      </w:r>
      <w:r>
        <w:fldChar w:fldCharType="end"/>
      </w:r>
      <w: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"_Toc106095452" </w:instrText>
      </w:r>
      <w:r>
        <w:fldChar w:fldCharType="separate"/>
      </w:r>
      <w:r>
        <w:rPr>
          <w:rStyle w:val="54"/>
        </w:rPr>
        <w:t>11 安全管理</w:t>
      </w:r>
      <w:r>
        <w:tab/>
      </w:r>
      <w:r>
        <w:fldChar w:fldCharType="begin"/>
      </w:r>
      <w:r>
        <w:instrText xml:space="preserve"> PAGEREF _Toc106095452 \h </w:instrText>
      </w:r>
      <w:r>
        <w:fldChar w:fldCharType="separate"/>
      </w:r>
      <w:r>
        <w:t>27</w:t>
      </w:r>
      <w:r>
        <w:fldChar w:fldCharType="end"/>
      </w:r>
      <w: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"_Toc106095453" </w:instrText>
      </w:r>
      <w:r>
        <w:fldChar w:fldCharType="separate"/>
      </w:r>
      <w:r>
        <w:rPr>
          <w:rStyle w:val="54"/>
        </w:rPr>
        <w:t>附录A（资料性） 悬挑式脚手架常用材料力学特征</w:t>
      </w:r>
      <w:r>
        <w:tab/>
      </w:r>
      <w:r>
        <w:fldChar w:fldCharType="begin"/>
      </w:r>
      <w:r>
        <w:instrText xml:space="preserve"> PAGEREF _Toc106095453 \h </w:instrText>
      </w:r>
      <w:r>
        <w:fldChar w:fldCharType="separate"/>
      </w:r>
      <w:r>
        <w:t>29</w:t>
      </w:r>
      <w:r>
        <w:fldChar w:fldCharType="end"/>
      </w:r>
      <w:r>
        <w:fldChar w:fldCharType="end"/>
      </w:r>
    </w:p>
    <w:p>
      <w:pPr>
        <w:pStyle w:val="30"/>
        <w:tabs>
          <w:tab w:val="right" w:leader="dot" w:pos="9344"/>
        </w:tabs>
        <w:rPr>
          <w:rFonts w:asciiTheme="minorHAnsi" w:hAnsiTheme="minorHAnsi" w:eastAsiaTheme="minorEastAsia" w:cstheme="minorBidi"/>
          <w:szCs w:val="22"/>
        </w:rPr>
      </w:pPr>
      <w:r>
        <w:fldChar w:fldCharType="begin"/>
      </w:r>
      <w:r>
        <w:instrText xml:space="preserve"> HYPERLINK \l "_Toc106095454" </w:instrText>
      </w:r>
      <w:r>
        <w:fldChar w:fldCharType="separate"/>
      </w:r>
      <w:r>
        <w:rPr>
          <w:rStyle w:val="54"/>
        </w:rPr>
        <w:t>附录B（资料性） 悬挑式脚手架质量验收表</w:t>
      </w:r>
      <w:r>
        <w:tab/>
      </w:r>
      <w:r>
        <w:fldChar w:fldCharType="begin"/>
      </w:r>
      <w:r>
        <w:instrText xml:space="preserve"> PAGEREF _Toc106095454 \h </w:instrText>
      </w:r>
      <w:r>
        <w:fldChar w:fldCharType="separate"/>
      </w:r>
      <w:r>
        <w:t>32</w:t>
      </w:r>
      <w:r>
        <w:fldChar w:fldCharType="end"/>
      </w:r>
      <w:r>
        <w:fldChar w:fldCharType="end"/>
      </w:r>
    </w:p>
    <w:p>
      <w:pPr>
        <w:pStyle w:val="114"/>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9"/>
    <w:p>
      <w:pPr>
        <w:pStyle w:val="112"/>
        <w:spacing w:after="468"/>
      </w:pPr>
      <w:bookmarkStart w:id="21" w:name="_Toc106095418"/>
      <w:bookmarkStart w:id="22" w:name="BookMark2"/>
      <w:r>
        <w:rPr>
          <w:spacing w:val="320"/>
        </w:rPr>
        <w:t>前</w:t>
      </w:r>
      <w:r>
        <w:t>言</w:t>
      </w:r>
      <w:bookmarkEnd w:id="20"/>
      <w:bookmarkEnd w:id="21"/>
    </w:p>
    <w:p>
      <w:pPr>
        <w:pStyle w:val="79"/>
        <w:ind w:firstLine="420"/>
      </w:pPr>
      <w:r>
        <w:rPr>
          <w:rFonts w:hint="eastAsia"/>
        </w:rPr>
        <w:t>本文件按照GB/T1.1—2020《标准化工作导则  第1部分：标准化文件的结构和起草规则》的规定起草。</w:t>
      </w:r>
    </w:p>
    <w:p>
      <w:pPr>
        <w:pStyle w:val="253"/>
      </w:pPr>
      <w:r>
        <w:rPr>
          <w:rFonts w:hint="eastAsia"/>
        </w:rPr>
        <w:t>本文件由湖北省住房和城乡建设厅提出</w:t>
      </w:r>
      <w:r>
        <w:t>并</w:t>
      </w:r>
      <w:r>
        <w:rPr>
          <w:rFonts w:hint="eastAsia"/>
        </w:rPr>
        <w:t>归口。</w:t>
      </w:r>
    </w:p>
    <w:p>
      <w:pPr>
        <w:pStyle w:val="253"/>
        <w:jc w:val="left"/>
      </w:pPr>
      <w:r>
        <w:rPr>
          <w:rFonts w:hint="eastAsia"/>
        </w:rPr>
        <w:t>本文件主要起草单位：湖北省工业建筑集团有限公司、湖北省建设工程质量安全监督总站、中建三局集团有限公司、武汉理工大学、中建三局工程设计有限公司、武汉市建设工程安全监督站、宜昌市建筑市场和建设工程质量安全监督站、中国十五冶金建设集团有限公司、中交一公局第五工程有限公司、中国核工业第二二建设有限公司、湖北一安建筑工程有限公司、武汉新城特业建筑技术有限公司、武汉众诚建筑工程有限公司、湖北省标准化与质量研究院、湖北工建集团第三建筑工程有限公司、武汉文投九州鼎盛科技发展有限公司、湖北跃瑞实业有限公司、中建八局第一建设有限公司、中建三局第二建设工程有限公司。</w:t>
      </w:r>
    </w:p>
    <w:p>
      <w:pPr>
        <w:pStyle w:val="253"/>
      </w:pPr>
      <w:r>
        <w:rPr>
          <w:rFonts w:hint="eastAsia"/>
        </w:rPr>
        <w:t>本文件主要起草人：谭亚伟、彭波、肖开喜、张巍、王开强、刘建、杨勇、邵璇、肖仲华、黄俊、</w:t>
      </w:r>
    </w:p>
    <w:p>
      <w:pPr>
        <w:pStyle w:val="253"/>
        <w:ind w:left="2310" w:leftChars="200" w:hanging="1890" w:hangingChars="900"/>
      </w:pPr>
      <w:r>
        <w:rPr>
          <w:rFonts w:hint="eastAsia"/>
        </w:rPr>
        <w:t xml:space="preserve">              田水、郭陆、伍勇军、杨少敏、牛力、毛兰美、邹南桥、吴金池、余地华、</w:t>
      </w:r>
    </w:p>
    <w:p>
      <w:pPr>
        <w:pStyle w:val="253"/>
        <w:ind w:left="2310" w:leftChars="900" w:hanging="420" w:hangingChars="200"/>
      </w:pPr>
      <w:r>
        <w:rPr>
          <w:rFonts w:hint="eastAsia"/>
        </w:rPr>
        <w:t>刘书广、陈灿奇、王永军、冯玉照、李江、吴玮晶、刘凯、常时安、聂邵芹、</w:t>
      </w:r>
    </w:p>
    <w:p>
      <w:pPr>
        <w:pStyle w:val="253"/>
        <w:ind w:left="2310" w:leftChars="900" w:hanging="420" w:hangingChars="200"/>
      </w:pPr>
      <w:r>
        <w:rPr>
          <w:rFonts w:hint="eastAsia"/>
        </w:rPr>
        <w:t>郐国勇、王学安、徐亮、翁坚毅、曹爽、陈福寿、张威、叶炯、杨雨沁、</w:t>
      </w:r>
    </w:p>
    <w:p>
      <w:pPr>
        <w:pStyle w:val="253"/>
        <w:ind w:left="2310" w:leftChars="900" w:hanging="420" w:hangingChars="200"/>
      </w:pPr>
      <w:r>
        <w:rPr>
          <w:rFonts w:hint="eastAsia"/>
        </w:rPr>
        <w:t>曹明国、刘岩军、马春桃、蔡可。</w:t>
      </w:r>
    </w:p>
    <w:p>
      <w:pPr>
        <w:pStyle w:val="79"/>
        <w:ind w:firstLine="420"/>
      </w:pPr>
      <w:r>
        <w:rPr>
          <w:rFonts w:hint="eastAsia"/>
        </w:rPr>
        <w:t xml:space="preserve">   本文件实施应用中的疑问，可咨询湖北省住房和城乡建设厅，联系电话：027-68873088，邮箱：</w:t>
      </w:r>
      <w:r>
        <w:rPr>
          <w:rFonts w:ascii="仿宋_GB2312" w:eastAsia="仿宋_GB2312"/>
        </w:rPr>
        <w:t>mail.hbszjt.net.cn</w:t>
      </w:r>
      <w:r>
        <w:rPr>
          <w:rFonts w:hint="eastAsia"/>
        </w:rPr>
        <w:t>。在执行过程中如有意见和建议请联系</w:t>
      </w:r>
      <w:r>
        <w:rPr>
          <w:rFonts w:hint="eastAsia"/>
          <w:bCs/>
        </w:rPr>
        <w:t>湖北省工业建筑集团有限公司(武汉市武昌区雄楚大道42号）</w:t>
      </w:r>
      <w:r>
        <w:rPr>
          <w:rFonts w:hint="eastAsia"/>
        </w:rPr>
        <w:t>，联系电话：027-88600601，电子邮箱：</w:t>
      </w:r>
      <w:r>
        <w:fldChar w:fldCharType="begin"/>
      </w:r>
      <w:r>
        <w:instrText xml:space="preserve"> HYPERLINK "mailto:1275785707@qq.com" </w:instrText>
      </w:r>
      <w:r>
        <w:fldChar w:fldCharType="separate"/>
      </w:r>
      <w:r>
        <w:rPr>
          <w:rStyle w:val="54"/>
          <w:rFonts w:hint="eastAsia"/>
        </w:rPr>
        <w:t>1275785707@qq.com</w:t>
      </w:r>
      <w:r>
        <w:rPr>
          <w:rStyle w:val="54"/>
          <w:rFonts w:hint="eastAsia"/>
        </w:rPr>
        <w:fldChar w:fldCharType="end"/>
      </w:r>
      <w:r>
        <w:rPr>
          <w:rFonts w:hint="eastAsia"/>
        </w:rPr>
        <w:t>。</w:t>
      </w:r>
    </w:p>
    <w:p>
      <w:pPr>
        <w:pStyle w:val="79"/>
        <w:ind w:firstLine="420"/>
        <w:sectPr>
          <w:pgSz w:w="11906" w:h="16838"/>
          <w:pgMar w:top="1928" w:right="1134" w:bottom="1134" w:left="1134" w:header="1418" w:footer="1134" w:gutter="284"/>
          <w:pgNumType w:fmt="upperRoman"/>
          <w:cols w:space="425" w:num="1"/>
          <w:formProt w:val="0"/>
          <w:docGrid w:type="lines" w:linePitch="312" w:charSpace="0"/>
        </w:sectPr>
      </w:pPr>
    </w:p>
    <w:bookmarkEnd w:id="22"/>
    <w:p>
      <w:pPr>
        <w:pStyle w:val="112"/>
        <w:spacing w:after="468"/>
      </w:pPr>
      <w:bookmarkStart w:id="23" w:name="_Toc106095419"/>
      <w:bookmarkStart w:id="24" w:name="BookMark3"/>
      <w:r>
        <w:rPr>
          <w:spacing w:val="320"/>
        </w:rPr>
        <w:t>引</w:t>
      </w:r>
      <w:r>
        <w:t>言</w:t>
      </w:r>
      <w:bookmarkEnd w:id="23"/>
    </w:p>
    <w:p>
      <w:pPr>
        <w:pStyle w:val="79"/>
        <w:ind w:firstLine="420"/>
      </w:pPr>
      <w:r>
        <w:rPr>
          <w:rFonts w:hint="eastAsia"/>
        </w:rPr>
        <w:t>本文件的发布机构提请注意,声明符合本文件时,可能涉及到5.2.5条与不穿墙、可取出、预埋螺栓等相关的专利的使用。</w:t>
      </w:r>
    </w:p>
    <w:p>
      <w:pPr>
        <w:pStyle w:val="79"/>
        <w:ind w:firstLine="420"/>
      </w:pPr>
      <w:r>
        <w:rPr>
          <w:rFonts w:hint="eastAsia"/>
        </w:rPr>
        <w:t>本文件的发布机构对于该专利的真实性、有效性和范围无任何立场。</w:t>
      </w:r>
    </w:p>
    <w:p>
      <w:pPr>
        <w:pStyle w:val="79"/>
        <w:ind w:firstLine="420"/>
      </w:pPr>
      <w:r>
        <w:rPr>
          <w:rFonts w:hint="eastAsia"/>
        </w:rPr>
        <w:t>该专利持有人已向本文件的发布机构承诺,愿意同任何申请人在合理且无歧视的条款和条件下，就专利授权许可进行谈判。该专利持有人的声明已在本文件的发布机构备案。相关信息可以通过以下联系方式获得：</w:t>
      </w:r>
    </w:p>
    <w:p>
      <w:pPr>
        <w:pStyle w:val="79"/>
        <w:ind w:firstLine="420"/>
      </w:pPr>
      <w:r>
        <w:rPr>
          <w:rFonts w:hint="eastAsia"/>
        </w:rPr>
        <w:t>专利持有人姓名：王辉、王开强、陈凯、王建春、伍勇军、李继承、余地华、周杰刚、李君、杨辉、王超、刘彬、陈灿奇、林华敏、张小虎、郭克石、谭国炜、刘翔宇等（中建三局集团有限公司）；赵拯卫、叶柏龙、苏灿、赵梓元、蒋青青、蒋竞舶、蒋金津、童玲玲、刘应松（湖南拯卫建设科技有限公司）。</w:t>
      </w:r>
    </w:p>
    <w:p>
      <w:pPr>
        <w:pStyle w:val="79"/>
        <w:ind w:firstLine="420"/>
      </w:pPr>
      <w:r>
        <w:rPr>
          <w:rFonts w:hint="eastAsia"/>
        </w:rPr>
        <w:t>地址：湖北省武汉市洪山区珞狮南路248号；湖南省长沙市高新开发区桐梓坡西路319号。</w:t>
      </w:r>
    </w:p>
    <w:p>
      <w:pPr>
        <w:pStyle w:val="79"/>
        <w:ind w:firstLine="420"/>
      </w:pPr>
      <w:r>
        <w:rPr>
          <w:rFonts w:hint="eastAsia"/>
        </w:rPr>
        <w:t>请注意除上述专利外,本文件的某些内容仍可能涉及专利。本文件的发布机构不承担识别专利的责任。</w:t>
      </w:r>
    </w:p>
    <w:p>
      <w:pPr>
        <w:pStyle w:val="79"/>
        <w:ind w:firstLine="420"/>
      </w:pPr>
    </w:p>
    <w:p>
      <w:pPr>
        <w:pStyle w:val="79"/>
        <w:ind w:firstLine="420"/>
      </w:pPr>
    </w:p>
    <w:p>
      <w:pPr>
        <w:pStyle w:val="79"/>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pPr>
        <w:spacing w:line="20" w:lineRule="exact"/>
        <w:jc w:val="center"/>
        <w:rPr>
          <w:rFonts w:ascii="黑体" w:hAnsi="黑体" w:eastAsia="黑体"/>
          <w:sz w:val="32"/>
          <w:szCs w:val="32"/>
        </w:rPr>
      </w:pPr>
      <w:bookmarkStart w:id="25" w:name="BookMark4"/>
    </w:p>
    <w:p>
      <w:pPr>
        <w:spacing w:line="20" w:lineRule="exact"/>
        <w:jc w:val="center"/>
        <w:rPr>
          <w:rFonts w:ascii="黑体" w:hAnsi="黑体" w:eastAsia="黑体"/>
          <w:sz w:val="32"/>
          <w:szCs w:val="32"/>
        </w:rPr>
      </w:pPr>
    </w:p>
    <w:sdt>
      <w:sdtPr>
        <w:tag w:val="NEW_STAND_NAME"/>
        <w:id w:val="595910757"/>
        <w:lock w:val="sdtLocked"/>
        <w:placeholder>
          <w:docPart w:val="D87355670D9349FE9FA02ED8197205F5"/>
        </w:placeholder>
      </w:sdtPr>
      <w:sdtContent>
        <w:p>
          <w:pPr>
            <w:pStyle w:val="200"/>
          </w:pPr>
          <w:bookmarkStart w:id="26" w:name="NEW_STAND_NAME"/>
          <w:r>
            <w:rPr>
              <w:rFonts w:hint="eastAsia"/>
            </w:rPr>
            <w:t>建筑施工悬挑式脚手架技术规范</w:t>
          </w:r>
        </w:p>
      </w:sdtContent>
    </w:sdt>
    <w:bookmarkEnd w:id="26"/>
    <w:p>
      <w:pPr>
        <w:pStyle w:val="127"/>
        <w:spacing w:before="312" w:after="312"/>
      </w:pPr>
      <w:bookmarkStart w:id="27" w:name="_Toc106092152"/>
      <w:bookmarkStart w:id="28" w:name="_Toc17233325"/>
      <w:bookmarkStart w:id="29" w:name="_Toc17233333"/>
      <w:bookmarkStart w:id="30" w:name="_Toc106095420"/>
      <w:bookmarkStart w:id="31" w:name="_Toc26648465"/>
      <w:bookmarkStart w:id="32" w:name="_Toc26986771"/>
      <w:bookmarkStart w:id="33" w:name="_Toc26718930"/>
      <w:bookmarkStart w:id="34" w:name="_Toc24884218"/>
      <w:bookmarkStart w:id="35" w:name="_Toc26986530"/>
      <w:bookmarkStart w:id="36" w:name="_Toc24884211"/>
      <w:bookmarkStart w:id="37" w:name="_Toc97191423"/>
      <w:r>
        <w:rPr>
          <w:rFonts w:hint="eastAsia"/>
        </w:rPr>
        <w:t>范围</w:t>
      </w:r>
      <w:bookmarkEnd w:id="27"/>
      <w:bookmarkEnd w:id="28"/>
      <w:bookmarkEnd w:id="29"/>
      <w:bookmarkEnd w:id="30"/>
      <w:bookmarkEnd w:id="31"/>
      <w:bookmarkEnd w:id="32"/>
      <w:bookmarkEnd w:id="33"/>
      <w:bookmarkEnd w:id="34"/>
      <w:bookmarkEnd w:id="35"/>
      <w:bookmarkEnd w:id="36"/>
      <w:bookmarkEnd w:id="37"/>
    </w:p>
    <w:p>
      <w:pPr>
        <w:pStyle w:val="79"/>
        <w:ind w:firstLine="420"/>
      </w:pPr>
      <w:bookmarkStart w:id="38" w:name="_Toc17233326"/>
      <w:bookmarkStart w:id="39" w:name="_Toc24884212"/>
      <w:bookmarkStart w:id="40" w:name="_Toc24884219"/>
      <w:bookmarkStart w:id="41" w:name="_Toc17233334"/>
      <w:bookmarkStart w:id="42" w:name="_Toc26648466"/>
      <w:r>
        <w:rPr>
          <w:rFonts w:hint="eastAsia"/>
        </w:rPr>
        <w:t>本文件规定了</w:t>
      </w:r>
      <w:r>
        <w:t>建筑施工悬挑式脚手架的</w:t>
      </w:r>
      <w:r>
        <w:rPr>
          <w:rFonts w:hint="eastAsia"/>
        </w:rPr>
        <w:t>材料</w:t>
      </w:r>
      <w:r>
        <w:t>、设计</w:t>
      </w:r>
      <w:r>
        <w:rPr>
          <w:rFonts w:hint="eastAsia"/>
        </w:rPr>
        <w:t>、</w:t>
      </w:r>
      <w:r>
        <w:t>构造、</w:t>
      </w:r>
      <w:r>
        <w:rPr>
          <w:rFonts w:hint="eastAsia"/>
        </w:rPr>
        <w:t>安装、拆除、使用</w:t>
      </w:r>
      <w:r>
        <w:t>、安全</w:t>
      </w:r>
      <w:r>
        <w:rPr>
          <w:rFonts w:hint="eastAsia"/>
        </w:rPr>
        <w:t>监测、检查</w:t>
      </w:r>
      <w:r>
        <w:t>验收</w:t>
      </w:r>
      <w:r>
        <w:rPr>
          <w:rFonts w:hint="eastAsia"/>
        </w:rPr>
        <w:t>、</w:t>
      </w:r>
      <w:r>
        <w:t>安全管理的要求。</w:t>
      </w:r>
    </w:p>
    <w:p>
      <w:pPr>
        <w:pStyle w:val="79"/>
        <w:ind w:firstLine="420"/>
      </w:pPr>
      <w:r>
        <w:rPr>
          <w:rFonts w:hint="eastAsia"/>
        </w:rPr>
        <w:t>本文件适用于房屋建筑工程和市政工程施工用悬挑式作业脚手架。</w:t>
      </w:r>
    </w:p>
    <w:p>
      <w:pPr>
        <w:pStyle w:val="127"/>
        <w:spacing w:before="312" w:after="312"/>
      </w:pPr>
      <w:bookmarkStart w:id="43" w:name="_Toc106095421"/>
      <w:bookmarkStart w:id="44" w:name="_Toc26986531"/>
      <w:bookmarkStart w:id="45" w:name="_Toc26718931"/>
      <w:bookmarkStart w:id="46" w:name="_Toc26986772"/>
      <w:bookmarkStart w:id="47" w:name="_Toc106092153"/>
      <w:bookmarkStart w:id="48" w:name="_Toc97191424"/>
      <w:r>
        <w:rPr>
          <w:rFonts w:hint="eastAsia"/>
        </w:rPr>
        <w:t>规范性引用文件</w:t>
      </w:r>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860C98DCF3154835BC571480A7AB204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79"/>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79"/>
        <w:ind w:firstLine="420"/>
      </w:pPr>
      <w:r>
        <w:rPr>
          <w:rFonts w:hint="eastAsia"/>
        </w:rPr>
        <w:t xml:space="preserve">GB/T 700 </w:t>
      </w:r>
      <w:r>
        <w:rPr>
          <w:rFonts w:hint="eastAsia"/>
          <w:bCs/>
        </w:rPr>
        <w:t>碳素结构钢</w:t>
      </w:r>
    </w:p>
    <w:p>
      <w:pPr>
        <w:pStyle w:val="79"/>
        <w:ind w:firstLine="420"/>
      </w:pPr>
      <w:r>
        <w:t>GB</w:t>
      </w:r>
      <w:r>
        <w:rPr>
          <w:rFonts w:hint="eastAsia"/>
        </w:rPr>
        <w:t>/T</w:t>
      </w:r>
      <w:r>
        <w:t xml:space="preserve"> 1499.1</w:t>
      </w:r>
      <w:r>
        <w:rPr>
          <w:rFonts w:hint="eastAsia"/>
          <w:bCs/>
        </w:rPr>
        <w:t>钢筋混凝土用钢 第1部分：热轧光圆钢筋</w:t>
      </w:r>
    </w:p>
    <w:p>
      <w:pPr>
        <w:pStyle w:val="79"/>
        <w:ind w:firstLine="420"/>
      </w:pPr>
      <w:r>
        <w:rPr>
          <w:rFonts w:hint="eastAsia"/>
        </w:rPr>
        <w:t xml:space="preserve">GB/T 1591 </w:t>
      </w:r>
      <w:r>
        <w:rPr>
          <w:rFonts w:hint="eastAsia" w:cs="宋体"/>
          <w:bCs/>
        </w:rPr>
        <w:t>低合金高强度结构钢</w:t>
      </w:r>
    </w:p>
    <w:p>
      <w:pPr>
        <w:pStyle w:val="79"/>
        <w:ind w:firstLine="420"/>
      </w:pPr>
      <w:r>
        <w:t>GB/T 3098.1</w:t>
      </w:r>
      <w:r>
        <w:rPr>
          <w:rFonts w:hint="eastAsia"/>
          <w:bCs/>
        </w:rPr>
        <w:t>紧固件机械性能 螺栓、螺钉和螺柱</w:t>
      </w:r>
    </w:p>
    <w:p>
      <w:pPr>
        <w:pStyle w:val="79"/>
        <w:ind w:firstLine="420"/>
      </w:pPr>
      <w:r>
        <w:t>GB/T 5117</w:t>
      </w:r>
      <w:r>
        <w:rPr>
          <w:rFonts w:hint="eastAsia"/>
          <w:bCs/>
        </w:rPr>
        <w:t>非合金钢及细晶粒钢焊条</w:t>
      </w:r>
    </w:p>
    <w:p>
      <w:pPr>
        <w:pStyle w:val="79"/>
        <w:ind w:firstLine="420"/>
      </w:pPr>
      <w:r>
        <w:t>GB/T 511</w:t>
      </w:r>
      <w:r>
        <w:rPr>
          <w:rFonts w:hint="eastAsia"/>
        </w:rPr>
        <w:t xml:space="preserve">8 </w:t>
      </w:r>
      <w:r>
        <w:rPr>
          <w:rFonts w:hint="eastAsia"/>
          <w:bCs/>
        </w:rPr>
        <w:t>热强钢焊条</w:t>
      </w:r>
    </w:p>
    <w:p>
      <w:pPr>
        <w:pStyle w:val="79"/>
        <w:ind w:firstLine="420"/>
        <w:rPr>
          <w:bCs/>
        </w:rPr>
      </w:pPr>
      <w:r>
        <w:t>GB/T 5782</w:t>
      </w:r>
      <w:r>
        <w:rPr>
          <w:rFonts w:hint="eastAsia"/>
          <w:bCs/>
        </w:rPr>
        <w:t>六角头螺栓</w:t>
      </w:r>
    </w:p>
    <w:p>
      <w:pPr>
        <w:pStyle w:val="79"/>
        <w:ind w:firstLine="420"/>
      </w:pPr>
      <w:r>
        <w:t xml:space="preserve">GB/T </w:t>
      </w:r>
      <w:r>
        <w:rPr>
          <w:rFonts w:hint="eastAsia"/>
        </w:rPr>
        <w:t xml:space="preserve">1228 </w:t>
      </w:r>
      <w:r>
        <w:rPr>
          <w:rFonts w:hint="eastAsia"/>
          <w:bCs/>
        </w:rPr>
        <w:t>钢结构用高强大六角头螺栓</w:t>
      </w:r>
    </w:p>
    <w:p>
      <w:pPr>
        <w:pStyle w:val="79"/>
        <w:ind w:firstLine="420"/>
      </w:pPr>
      <w:r>
        <w:rPr>
          <w:rFonts w:hint="eastAsia"/>
        </w:rPr>
        <w:t xml:space="preserve">GB/T 5293 </w:t>
      </w:r>
      <w:r>
        <w:rPr>
          <w:rFonts w:hint="eastAsia"/>
          <w:bCs/>
        </w:rPr>
        <w:t>埋弧焊用非合金钢及细晶粒钢实心焊丝、药芯焊丝和焊丝-焊剂组合分类要求</w:t>
      </w:r>
    </w:p>
    <w:p>
      <w:pPr>
        <w:pStyle w:val="79"/>
        <w:ind w:firstLine="420"/>
        <w:rPr>
          <w:bCs/>
        </w:rPr>
      </w:pPr>
      <w:r>
        <w:rPr>
          <w:rFonts w:hint="eastAsia"/>
        </w:rPr>
        <w:t xml:space="preserve">GB/T 12470 </w:t>
      </w:r>
      <w:r>
        <w:rPr>
          <w:rFonts w:hint="eastAsia"/>
          <w:bCs/>
        </w:rPr>
        <w:t>埋弧焊用热强钢实心焊丝、药芯焊丝和焊丝-焊剂组合分类要求</w:t>
      </w:r>
    </w:p>
    <w:p>
      <w:pPr>
        <w:pStyle w:val="79"/>
        <w:ind w:firstLine="420"/>
        <w:rPr>
          <w:bCs/>
        </w:rPr>
      </w:pPr>
      <w:r>
        <w:rPr>
          <w:rFonts w:hint="eastAsia"/>
          <w:bCs/>
        </w:rPr>
        <w:t>GB 15831 钢管脚手架扣件规范</w:t>
      </w:r>
    </w:p>
    <w:p>
      <w:pPr>
        <w:pStyle w:val="79"/>
        <w:ind w:firstLine="420"/>
        <w:rPr>
          <w:bCs/>
        </w:rPr>
      </w:pPr>
      <w:r>
        <w:t>GB/T 20118</w:t>
      </w:r>
      <w:r>
        <w:rPr>
          <w:rFonts w:hint="eastAsia"/>
          <w:bCs/>
        </w:rPr>
        <w:t>一般用途钢丝绳</w:t>
      </w:r>
    </w:p>
    <w:p>
      <w:pPr>
        <w:pStyle w:val="79"/>
        <w:ind w:firstLine="420"/>
        <w:rPr>
          <w:bCs/>
        </w:rPr>
      </w:pPr>
      <w:r>
        <w:rPr>
          <w:rFonts w:hint="eastAsia"/>
          <w:bCs/>
        </w:rPr>
        <w:t>GB 50018 冷弯薄壁型钢结构技术规范</w:t>
      </w:r>
    </w:p>
    <w:p>
      <w:pPr>
        <w:pStyle w:val="79"/>
        <w:ind w:firstLine="420"/>
        <w:rPr>
          <w:bCs/>
        </w:rPr>
      </w:pPr>
      <w:r>
        <w:rPr>
          <w:rFonts w:hint="eastAsia"/>
          <w:bCs/>
        </w:rPr>
        <w:t>GB 51210 建筑施工脚手架安全技术统一标准</w:t>
      </w:r>
    </w:p>
    <w:p>
      <w:pPr>
        <w:pStyle w:val="79"/>
        <w:ind w:firstLine="420"/>
        <w:rPr>
          <w:bCs/>
        </w:rPr>
      </w:pPr>
      <w:r>
        <w:rPr>
          <w:rFonts w:hint="eastAsia"/>
          <w:bCs/>
        </w:rPr>
        <w:t>GB 55023 施工脚手架通用规范</w:t>
      </w:r>
    </w:p>
    <w:p>
      <w:pPr>
        <w:pStyle w:val="79"/>
        <w:ind w:firstLine="420"/>
        <w:rPr>
          <w:bCs/>
        </w:rPr>
      </w:pPr>
      <w:r>
        <w:rPr>
          <w:rFonts w:hint="eastAsia"/>
          <w:bCs/>
        </w:rPr>
        <w:t>GB 50068 建筑结构可靠性设计统一标准</w:t>
      </w:r>
    </w:p>
    <w:p>
      <w:pPr>
        <w:pStyle w:val="79"/>
        <w:ind w:firstLine="420"/>
      </w:pPr>
      <w:r>
        <w:t>GB 500</w:t>
      </w:r>
      <w:r>
        <w:rPr>
          <w:rFonts w:hint="eastAsia"/>
        </w:rPr>
        <w:t xml:space="preserve">09 </w:t>
      </w:r>
      <w:r>
        <w:rPr>
          <w:rFonts w:hint="eastAsia" w:cs="宋体"/>
          <w:bCs/>
        </w:rPr>
        <w:t>建筑结构荷载规范</w:t>
      </w:r>
    </w:p>
    <w:p>
      <w:pPr>
        <w:pStyle w:val="79"/>
        <w:ind w:firstLine="420"/>
        <w:rPr>
          <w:bCs/>
        </w:rPr>
      </w:pPr>
      <w:r>
        <w:t>GB 50010</w:t>
      </w:r>
      <w:r>
        <w:rPr>
          <w:rFonts w:hint="eastAsia"/>
          <w:bCs/>
        </w:rPr>
        <w:t>混凝土结构设计规范</w:t>
      </w:r>
    </w:p>
    <w:p>
      <w:pPr>
        <w:pStyle w:val="79"/>
        <w:ind w:firstLine="420"/>
        <w:rPr>
          <w:bCs/>
        </w:rPr>
      </w:pPr>
      <w:r>
        <w:rPr>
          <w:rFonts w:hint="eastAsia"/>
          <w:bCs/>
        </w:rPr>
        <w:t>GB 50017 钢结构设计标准</w:t>
      </w:r>
    </w:p>
    <w:p>
      <w:pPr>
        <w:pStyle w:val="79"/>
        <w:ind w:firstLine="420"/>
        <w:rPr>
          <w:bCs/>
        </w:rPr>
      </w:pPr>
      <w:r>
        <w:rPr>
          <w:rFonts w:hint="eastAsia"/>
          <w:bCs/>
        </w:rPr>
        <w:t>CB/T 3818 索具螺旋扣</w:t>
      </w:r>
    </w:p>
    <w:p>
      <w:pPr>
        <w:pStyle w:val="79"/>
        <w:ind w:firstLine="420"/>
        <w:rPr>
          <w:bCs/>
        </w:rPr>
      </w:pPr>
      <w:r>
        <w:t xml:space="preserve">JGJ </w:t>
      </w:r>
      <w:r>
        <w:rPr>
          <w:rFonts w:hint="eastAsia"/>
        </w:rPr>
        <w:t xml:space="preserve">33 </w:t>
      </w:r>
      <w:r>
        <w:rPr>
          <w:rFonts w:hint="eastAsia"/>
          <w:bCs/>
        </w:rPr>
        <w:t>建筑机械使用安全技术规程</w:t>
      </w:r>
    </w:p>
    <w:p>
      <w:pPr>
        <w:pStyle w:val="79"/>
        <w:ind w:firstLine="420"/>
        <w:rPr>
          <w:bCs/>
        </w:rPr>
      </w:pPr>
      <w:r>
        <w:t>JGJ 46</w:t>
      </w:r>
      <w:r>
        <w:rPr>
          <w:rFonts w:hint="eastAsia"/>
          <w:bCs/>
        </w:rPr>
        <w:t>施工现场临时用电安全技术规范</w:t>
      </w:r>
    </w:p>
    <w:p>
      <w:pPr>
        <w:pStyle w:val="79"/>
        <w:ind w:firstLine="420"/>
      </w:pPr>
      <w:r>
        <w:rPr>
          <w:rFonts w:hint="eastAsia"/>
          <w:bCs/>
        </w:rPr>
        <w:t>JGJ 80 建筑施工高处作业安全技术规范</w:t>
      </w:r>
    </w:p>
    <w:p>
      <w:pPr>
        <w:pStyle w:val="79"/>
        <w:ind w:firstLine="420"/>
        <w:rPr>
          <w:rFonts w:cs="宋体"/>
          <w:bCs/>
        </w:rPr>
      </w:pPr>
      <w:r>
        <w:t>JGJ 59</w:t>
      </w:r>
      <w:r>
        <w:rPr>
          <w:rFonts w:hint="eastAsia" w:cs="宋体"/>
          <w:bCs/>
        </w:rPr>
        <w:t>建筑施工安全检查标准</w:t>
      </w:r>
    </w:p>
    <w:p>
      <w:pPr>
        <w:pStyle w:val="79"/>
        <w:ind w:firstLine="420"/>
        <w:rPr>
          <w:bCs/>
        </w:rPr>
      </w:pPr>
      <w:r>
        <w:t>JGJ 130</w:t>
      </w:r>
      <w:r>
        <w:rPr>
          <w:rFonts w:hint="eastAsia"/>
          <w:bCs/>
        </w:rPr>
        <w:t>建筑施工扣件式钢管脚手架安全技术规范</w:t>
      </w:r>
    </w:p>
    <w:p>
      <w:pPr>
        <w:pStyle w:val="79"/>
        <w:ind w:firstLine="420"/>
        <w:rPr>
          <w:bCs/>
        </w:rPr>
      </w:pPr>
      <w:r>
        <w:rPr>
          <w:rFonts w:hint="eastAsia"/>
          <w:bCs/>
        </w:rPr>
        <w:t xml:space="preserve">JGJ 231 建筑施工承插型盘扣式钢管脚手架安全技术标准 </w:t>
      </w:r>
    </w:p>
    <w:p>
      <w:pPr>
        <w:pStyle w:val="127"/>
        <w:spacing w:before="312" w:after="312"/>
        <w:rPr>
          <w:szCs w:val="21"/>
        </w:rPr>
      </w:pPr>
      <w:bookmarkStart w:id="49" w:name="_Toc97191425"/>
      <w:bookmarkStart w:id="50" w:name="_Toc106092154"/>
      <w:bookmarkStart w:id="51" w:name="_Toc106095422"/>
      <w:r>
        <w:rPr>
          <w:rFonts w:hint="eastAsia"/>
          <w:szCs w:val="21"/>
        </w:rPr>
        <w:t>术语和</w:t>
      </w:r>
      <w:bookmarkEnd w:id="49"/>
      <w:r>
        <w:rPr>
          <w:rFonts w:hint="eastAsia"/>
          <w:szCs w:val="21"/>
        </w:rPr>
        <w:t>符号</w:t>
      </w:r>
      <w:bookmarkEnd w:id="50"/>
      <w:bookmarkEnd w:id="51"/>
    </w:p>
    <w:p>
      <w:pPr>
        <w:pStyle w:val="128"/>
        <w:spacing w:before="156" w:after="156"/>
      </w:pPr>
      <w:bookmarkStart w:id="52" w:name="_Toc106095423"/>
      <w:bookmarkStart w:id="53" w:name="_Toc106092155"/>
      <w:r>
        <w:rPr>
          <w:rFonts w:hint="eastAsia"/>
        </w:rPr>
        <w:t>术语</w:t>
      </w:r>
      <w:bookmarkEnd w:id="52"/>
      <w:bookmarkEnd w:id="53"/>
    </w:p>
    <w:sdt>
      <w:sdtPr>
        <w:id w:val="-1909835108"/>
        <w:placeholder>
          <w:docPart w:val="DFA67C21427E41B0BDAE479F7935B5F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79"/>
            <w:ind w:firstLine="420"/>
          </w:pPr>
          <w:bookmarkStart w:id="54" w:name="_Toc26986532"/>
          <w:bookmarkEnd w:id="54"/>
          <w:r>
            <w:t>下列术语和定义适用于本文件。</w:t>
          </w:r>
        </w:p>
      </w:sdtContent>
    </w:sdt>
    <w:p>
      <w:pPr>
        <w:pStyle w:val="247"/>
        <w:ind w:left="420" w:hanging="420" w:hangingChars="200"/>
        <w:rPr>
          <w:rFonts w:ascii="黑体" w:hAnsi="黑体" w:eastAsia="黑体"/>
        </w:rPr>
      </w:pPr>
      <w:r>
        <w:rPr>
          <w:rFonts w:ascii="黑体" w:hAnsi="黑体" w:eastAsia="黑体"/>
          <w:color w:val="000000"/>
          <w:highlight w:val="lightGray"/>
        </w:rPr>
        <w:br w:type="textWrapping"/>
      </w:r>
      <w:r>
        <w:rPr>
          <w:rFonts w:hint="eastAsia" w:ascii="黑体" w:hAnsi="黑体" w:eastAsia="黑体"/>
        </w:rPr>
        <w:t>悬挑式脚手架 cantilevered scaffolding</w:t>
      </w:r>
    </w:p>
    <w:p>
      <w:pPr>
        <w:pStyle w:val="253"/>
      </w:pPr>
      <w:r>
        <w:rPr>
          <w:rFonts w:hint="eastAsia"/>
        </w:rPr>
        <w:t>以</w:t>
      </w:r>
      <w:r>
        <w:t>悬挑</w:t>
      </w:r>
      <w:r>
        <w:rPr>
          <w:rFonts w:hint="eastAsia"/>
        </w:rPr>
        <w:t>钢构件</w:t>
      </w:r>
      <w:r>
        <w:t>作为主要承载构件</w:t>
      </w:r>
      <w:r>
        <w:rPr>
          <w:rFonts w:hint="eastAsia"/>
        </w:rPr>
        <w:t>附着于</w:t>
      </w:r>
      <w:r>
        <w:t>建（构）筑物</w:t>
      </w:r>
      <w:r>
        <w:rPr>
          <w:rFonts w:hint="eastAsia"/>
        </w:rPr>
        <w:t>主体结构上</w:t>
      </w:r>
      <w:r>
        <w:t>，</w:t>
      </w:r>
      <w:r>
        <w:rPr>
          <w:rFonts w:hint="eastAsia"/>
        </w:rPr>
        <w:t>为建筑施工提供作业平台和安全防护</w:t>
      </w:r>
      <w:r>
        <w:t>的</w:t>
      </w:r>
      <w:r>
        <w:rPr>
          <w:rFonts w:hint="eastAsia"/>
        </w:rPr>
        <w:t>作业</w:t>
      </w:r>
      <w:r>
        <w:t>脚手架</w:t>
      </w:r>
      <w:r>
        <w:rPr>
          <w:rFonts w:hint="eastAsia"/>
        </w:rPr>
        <w:t>。包含底部的悬挑承力架和上部的架体两部分。</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悬挑承力架 cantilever bearing scaffolding</w:t>
      </w:r>
    </w:p>
    <w:p>
      <w:pPr>
        <w:pStyle w:val="253"/>
      </w:pPr>
      <w:r>
        <w:t>设置在悬挑式脚手架底部并将</w:t>
      </w:r>
      <w:r>
        <w:rPr>
          <w:rFonts w:hint="eastAsia"/>
        </w:rPr>
        <w:t>架体</w:t>
      </w:r>
      <w:r>
        <w:t>荷载传递给建（构）筑物主体结构的悬挑</w:t>
      </w:r>
      <w:r>
        <w:rPr>
          <w:rFonts w:hint="eastAsia"/>
        </w:rPr>
        <w:t>钢构件</w:t>
      </w:r>
      <w:r>
        <w:t>。</w:t>
      </w:r>
      <w:r>
        <w:rPr>
          <w:rFonts w:hint="eastAsia"/>
        </w:rPr>
        <w:t>包含预埋组件、悬挑梁、吊拉钢丝绳、斜拉杆件或斜撑杆件、拉环、锚环、锚固螺栓附件等。</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悬挑梁 t</w:t>
      </w:r>
      <w:r>
        <w:rPr>
          <w:rFonts w:ascii="黑体" w:hAnsi="黑体" w:eastAsia="黑体"/>
        </w:rPr>
        <w:t>he cantilever beam</w:t>
      </w:r>
    </w:p>
    <w:p>
      <w:pPr>
        <w:pStyle w:val="253"/>
      </w:pPr>
      <w:r>
        <w:rPr>
          <w:rFonts w:hint="eastAsia"/>
        </w:rPr>
        <w:t>纵向</w:t>
      </w:r>
      <w:r>
        <w:t>设置在</w:t>
      </w:r>
      <w:r>
        <w:rPr>
          <w:rFonts w:hint="eastAsia"/>
        </w:rPr>
        <w:t>架体立杆</w:t>
      </w:r>
      <w:r>
        <w:t>底部</w:t>
      </w:r>
      <w:r>
        <w:rPr>
          <w:rFonts w:hint="eastAsia"/>
        </w:rPr>
        <w:t>直接承受架体</w:t>
      </w:r>
      <w:r>
        <w:t>荷载</w:t>
      </w:r>
      <w:r>
        <w:rPr>
          <w:rFonts w:hint="eastAsia"/>
        </w:rPr>
        <w:t>的承力</w:t>
      </w:r>
      <w:r>
        <w:t>钢构件。</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架体 s</w:t>
      </w:r>
      <w:r>
        <w:rPr>
          <w:rFonts w:ascii="黑体" w:hAnsi="黑体" w:eastAsia="黑体"/>
        </w:rPr>
        <w:t>caffold body</w:t>
      </w:r>
    </w:p>
    <w:p>
      <w:pPr>
        <w:pStyle w:val="253"/>
      </w:pPr>
      <w:r>
        <w:rPr>
          <w:rFonts w:hint="eastAsia"/>
        </w:rPr>
        <w:t>搭设在悬挑梁上的双排脚手架。按外侧面围护状态分为全封闭脚手架和敞开式脚手架。按钢管材料分为扣件式钢管脚手架和承插盘扣式钢管脚手架。</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吊拉钢丝绳 hanging wire</w:t>
      </w:r>
    </w:p>
    <w:p>
      <w:pPr>
        <w:pStyle w:val="253"/>
      </w:pPr>
      <w:r>
        <w:t>在建（构）筑物主体结构与悬挑梁端部之间设置的斜向辅助受力钢丝绳。</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斜拉杆件 d</w:t>
      </w:r>
      <w:r>
        <w:rPr>
          <w:rFonts w:ascii="黑体" w:hAnsi="黑体" w:eastAsia="黑体"/>
        </w:rPr>
        <w:t>iagonal member</w:t>
      </w:r>
    </w:p>
    <w:p>
      <w:pPr>
        <w:pStyle w:val="253"/>
      </w:pPr>
      <w:r>
        <w:rPr>
          <w:rFonts w:hint="eastAsia"/>
        </w:rPr>
        <w:t>在</w:t>
      </w:r>
      <w:r>
        <w:t>建（构）筑物主体结构与悬挑</w:t>
      </w:r>
      <w:r>
        <w:rPr>
          <w:rFonts w:hint="eastAsia"/>
        </w:rPr>
        <w:t>梁之间设置的具备</w:t>
      </w:r>
      <w:r>
        <w:t>斜向受</w:t>
      </w:r>
      <w:r>
        <w:rPr>
          <w:rFonts w:hint="eastAsia"/>
        </w:rPr>
        <w:t>拉能力并参与悬挑承力架卸载设计的拉杆。</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斜撑杆件 b</w:t>
      </w:r>
      <w:r>
        <w:rPr>
          <w:rFonts w:ascii="黑体" w:hAnsi="黑体" w:eastAsia="黑体"/>
        </w:rPr>
        <w:t>race member</w:t>
      </w:r>
    </w:p>
    <w:p>
      <w:pPr>
        <w:pStyle w:val="253"/>
      </w:pPr>
      <w:r>
        <w:rPr>
          <w:rFonts w:hint="eastAsia"/>
        </w:rPr>
        <w:t>在</w:t>
      </w:r>
      <w:r>
        <w:t>建（构）筑物主体结构与悬挑</w:t>
      </w:r>
      <w:r>
        <w:rPr>
          <w:rFonts w:hint="eastAsia"/>
        </w:rPr>
        <w:t>梁之间设置的具备</w:t>
      </w:r>
      <w:r>
        <w:t>斜向</w:t>
      </w:r>
      <w:r>
        <w:rPr>
          <w:rFonts w:hint="eastAsia"/>
        </w:rPr>
        <w:t>支撑能力并参与悬挑承力架卸载设计的撑杆。</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U 形钢筋拉环 U-shaped steel ring</w:t>
      </w:r>
    </w:p>
    <w:p>
      <w:pPr>
        <w:pStyle w:val="253"/>
      </w:pPr>
      <w:r>
        <w:t>预埋在混凝土结构中的U形钢筋锚固体，用于吊拉钢丝绳</w:t>
      </w:r>
      <w:r>
        <w:rPr>
          <w:rFonts w:hint="eastAsia"/>
        </w:rPr>
        <w:t>、斜拉杆件等</w:t>
      </w:r>
      <w:r>
        <w:t>与主体结构的连接。</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钢筋锚环 steel anchor ring</w:t>
      </w:r>
    </w:p>
    <w:p>
      <w:pPr>
        <w:pStyle w:val="253"/>
      </w:pPr>
      <w:r>
        <w:t>预埋在混凝土结构中的钢筋锚固体</w:t>
      </w:r>
      <w:r>
        <w:rPr>
          <w:rFonts w:hint="eastAsia"/>
        </w:rPr>
        <w:t>，</w:t>
      </w:r>
      <w:r>
        <w:t>用于悬挑</w:t>
      </w:r>
      <w:r>
        <w:rPr>
          <w:rFonts w:hint="eastAsia"/>
        </w:rPr>
        <w:t>梁与主体结构的连接</w:t>
      </w:r>
      <w:r>
        <w:t>。</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 xml:space="preserve">埋入型钢筋锚固 embedded steel </w:t>
      </w:r>
      <w:r>
        <w:rPr>
          <w:rFonts w:ascii="黑体" w:hAnsi="黑体" w:eastAsia="黑体"/>
        </w:rPr>
        <w:t>anchoring</w:t>
      </w:r>
    </w:p>
    <w:p>
      <w:pPr>
        <w:pStyle w:val="253"/>
      </w:pPr>
      <w:r>
        <w:t>采用在</w:t>
      </w:r>
      <w:r>
        <w:rPr>
          <w:rFonts w:hint="eastAsia"/>
        </w:rPr>
        <w:t>混凝土结构</w:t>
      </w:r>
      <w:r>
        <w:t>楼板上预埋钢筋锚环使悬挑</w:t>
      </w:r>
      <w:r>
        <w:rPr>
          <w:rFonts w:hint="eastAsia"/>
        </w:rPr>
        <w:t>梁</w:t>
      </w:r>
      <w:r>
        <w:t>与主体结构连接在一起的锚固方法。</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穿板型螺栓锚固 t</w:t>
      </w:r>
      <w:r>
        <w:rPr>
          <w:rFonts w:ascii="黑体" w:hAnsi="黑体" w:eastAsia="黑体"/>
        </w:rPr>
        <w:t>hrough plate bolt anchoring</w:t>
      </w:r>
    </w:p>
    <w:p>
      <w:pPr>
        <w:pStyle w:val="253"/>
      </w:pPr>
      <w:r>
        <w:t>采用穿透</w:t>
      </w:r>
      <w:r>
        <w:rPr>
          <w:rFonts w:hint="eastAsia"/>
        </w:rPr>
        <w:t>混凝土结构</w:t>
      </w:r>
      <w:r>
        <w:t>楼板的锚固螺栓使悬挑</w:t>
      </w:r>
      <w:r>
        <w:rPr>
          <w:rFonts w:hint="eastAsia"/>
        </w:rPr>
        <w:t>梁</w:t>
      </w:r>
      <w:r>
        <w:t>与主体结构连接在一起的锚固方法。</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 xml:space="preserve">穿墙型螺栓锚固through wall bolt </w:t>
      </w:r>
      <w:r>
        <w:rPr>
          <w:rFonts w:ascii="黑体" w:hAnsi="黑体" w:eastAsia="黑体"/>
        </w:rPr>
        <w:t>anchoring</w:t>
      </w:r>
    </w:p>
    <w:p>
      <w:pPr>
        <w:pStyle w:val="253"/>
      </w:pPr>
      <w:r>
        <w:t>采用穿透</w:t>
      </w:r>
      <w:r>
        <w:rPr>
          <w:rFonts w:hint="eastAsia"/>
        </w:rPr>
        <w:t>混凝土结构墙体（或边梁）</w:t>
      </w:r>
      <w:r>
        <w:t>的锚固螺栓使悬挑</w:t>
      </w:r>
      <w:r>
        <w:rPr>
          <w:rFonts w:hint="eastAsia"/>
        </w:rPr>
        <w:t>梁</w:t>
      </w:r>
      <w:r>
        <w:t>与主体结构连接在一起的锚固方法。</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侧埋型螺栓锚固 s</w:t>
      </w:r>
      <w:r>
        <w:rPr>
          <w:rFonts w:ascii="黑体" w:hAnsi="黑体" w:eastAsia="黑体"/>
        </w:rPr>
        <w:t>ide buried bolt anchoring</w:t>
      </w:r>
    </w:p>
    <w:p>
      <w:pPr>
        <w:pStyle w:val="253"/>
      </w:pPr>
      <w:r>
        <w:t>采用</w:t>
      </w:r>
      <w:r>
        <w:rPr>
          <w:rFonts w:hint="eastAsia"/>
        </w:rPr>
        <w:t>在混凝土结构墙体（或边梁）侧埋</w:t>
      </w:r>
      <w:r>
        <w:t>锚固螺栓使悬挑</w:t>
      </w:r>
      <w:r>
        <w:rPr>
          <w:rFonts w:hint="eastAsia"/>
        </w:rPr>
        <w:t>梁</w:t>
      </w:r>
      <w:r>
        <w:t>与主体结构连接在一起的锚固方法。</w:t>
      </w:r>
    </w:p>
    <w:p>
      <w:pPr>
        <w:pStyle w:val="247"/>
        <w:ind w:left="420" w:hanging="420" w:hangingChars="200"/>
        <w:rPr>
          <w:rFonts w:ascii="黑体" w:hAnsi="黑体" w:eastAsia="黑体"/>
        </w:rPr>
      </w:pPr>
      <w:r>
        <w:rPr>
          <w:rFonts w:ascii="黑体" w:hAnsi="黑体" w:eastAsia="黑体"/>
          <w:color w:val="000000"/>
          <w:highlight w:val="lightGray"/>
        </w:rPr>
        <w:br w:type="textWrapping"/>
      </w:r>
      <w:r>
        <w:rPr>
          <w:rFonts w:hint="eastAsia" w:ascii="黑体" w:hAnsi="黑体" w:eastAsia="黑体"/>
        </w:rPr>
        <w:t>立杆 upright tube</w:t>
      </w:r>
    </w:p>
    <w:p>
      <w:pPr>
        <w:pStyle w:val="253"/>
      </w:pPr>
      <w:r>
        <w:rPr>
          <w:rFonts w:hint="eastAsia"/>
        </w:rPr>
        <w:t>脚手架中垂直于水平面的竖向杆件。靠近建（构）筑物一侧的立杆为内立杆，远离一侧的立杆为外立杆。</w:t>
      </w:r>
    </w:p>
    <w:p>
      <w:pPr>
        <w:pStyle w:val="247"/>
        <w:ind w:left="420" w:hanging="420" w:hangingChars="200"/>
        <w:rPr>
          <w:rFonts w:ascii="黑体" w:hAnsi="黑体" w:eastAsia="黑体"/>
        </w:rPr>
      </w:pPr>
      <w:r>
        <w:rPr>
          <w:rFonts w:ascii="黑体" w:hAnsi="黑体" w:eastAsia="黑体"/>
          <w:color w:val="000000"/>
          <w:highlight w:val="lightGray"/>
        </w:rPr>
        <w:br w:type="textWrapping"/>
      </w:r>
      <w:r>
        <w:rPr>
          <w:rFonts w:hint="eastAsia" w:ascii="黑体" w:hAnsi="黑体" w:eastAsia="黑体"/>
        </w:rPr>
        <w:t>水平杆 horizontal tube</w:t>
      </w:r>
    </w:p>
    <w:p>
      <w:pPr>
        <w:pStyle w:val="253"/>
      </w:pPr>
      <w:r>
        <w:rPr>
          <w:rFonts w:hint="eastAsia"/>
        </w:rPr>
        <w:t>脚手架中的水平杆件。沿脚手架纵向设置的水平杆为纵向水平杆，沿脚手架横向设置的水平杆为横向水平杆。</w:t>
      </w:r>
    </w:p>
    <w:p>
      <w:pPr>
        <w:pStyle w:val="247"/>
        <w:ind w:left="420" w:hanging="420" w:hangingChars="200"/>
        <w:rPr>
          <w:rFonts w:ascii="黑体" w:hAnsi="黑体" w:eastAsia="黑体"/>
        </w:rPr>
      </w:pPr>
      <w:r>
        <w:rPr>
          <w:rFonts w:ascii="黑体" w:hAnsi="黑体" w:eastAsia="黑体"/>
          <w:color w:val="000000"/>
          <w:highlight w:val="lightGray"/>
        </w:rPr>
        <w:br w:type="textWrapping"/>
      </w:r>
      <w:r>
        <w:rPr>
          <w:rFonts w:hint="eastAsia" w:ascii="黑体" w:hAnsi="黑体" w:eastAsia="黑体"/>
        </w:rPr>
        <w:t>扫地杆 bottom reinforcing tube</w:t>
      </w:r>
    </w:p>
    <w:p>
      <w:pPr>
        <w:pStyle w:val="253"/>
      </w:pPr>
      <w:r>
        <w:rPr>
          <w:rFonts w:hint="eastAsia"/>
        </w:rPr>
        <w:t>靠近悬挑梁，连接立杆根部的纵、横向水平杆。包括纵向扫地杆、横向扫地杆。</w:t>
      </w:r>
    </w:p>
    <w:p>
      <w:pPr>
        <w:pStyle w:val="247"/>
        <w:ind w:left="420" w:hanging="420" w:hangingChars="200"/>
      </w:pPr>
    </w:p>
    <w:p>
      <w:pPr>
        <w:pStyle w:val="247"/>
        <w:numPr>
          <w:ilvl w:val="0"/>
          <w:numId w:val="0"/>
        </w:numPr>
        <w:ind w:left="420"/>
        <w:rPr>
          <w:rFonts w:ascii="黑体" w:hAnsi="黑体" w:eastAsia="黑体"/>
        </w:rPr>
      </w:pPr>
      <w:r>
        <w:rPr>
          <w:rFonts w:hint="eastAsia" w:ascii="黑体" w:hAnsi="黑体" w:eastAsia="黑体"/>
        </w:rPr>
        <w:t>连墙件 tie member</w:t>
      </w:r>
    </w:p>
    <w:p>
      <w:pPr>
        <w:pStyle w:val="253"/>
      </w:pPr>
      <w:r>
        <w:rPr>
          <w:rFonts w:hint="eastAsia"/>
        </w:rPr>
        <w:t>连接架体与建（构）筑物，能够传递架体拉力和压力的刚性构件。</w:t>
      </w:r>
    </w:p>
    <w:p>
      <w:pPr>
        <w:pStyle w:val="247"/>
        <w:ind w:left="420" w:hanging="420" w:hangingChars="200"/>
        <w:rPr>
          <w:rFonts w:ascii="黑体" w:hAnsi="黑体" w:eastAsia="黑体"/>
        </w:rPr>
      </w:pPr>
      <w:r>
        <w:rPr>
          <w:rFonts w:ascii="黑体" w:hAnsi="黑体" w:eastAsia="黑体"/>
        </w:rPr>
        <w:br w:type="textWrapping"/>
      </w:r>
      <w:r>
        <w:rPr>
          <w:rFonts w:hint="eastAsia" w:ascii="黑体" w:hAnsi="黑体" w:eastAsia="黑体"/>
        </w:rPr>
        <w:t>节段高度 segment height</w:t>
      </w:r>
    </w:p>
    <w:p>
      <w:pPr>
        <w:pStyle w:val="253"/>
      </w:pPr>
      <w:r>
        <w:t>悬挑式脚手架在竖向上每一个独立受力单元的高度</w:t>
      </w:r>
      <w:r>
        <w:rPr>
          <w:rFonts w:hint="eastAsia"/>
        </w:rPr>
        <w:t>。</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预埋组件e</w:t>
      </w:r>
      <w:r>
        <w:rPr>
          <w:rFonts w:ascii="黑体" w:hAnsi="黑体" w:eastAsia="黑体"/>
        </w:rPr>
        <w:t>mbedded components</w:t>
      </w:r>
    </w:p>
    <w:p>
      <w:pPr>
        <w:pStyle w:val="253"/>
      </w:pPr>
      <w:r>
        <w:rPr>
          <w:rFonts w:hint="eastAsia"/>
        </w:rPr>
        <w:t>预埋在混凝土结构内，承受外部连接件传递的荷载的构件。包含穿墙螺杆或预埋螺杆（或螺母）、预埋套筒、定位板、锁紧螺栓等。</w:t>
      </w:r>
    </w:p>
    <w:p>
      <w:pPr>
        <w:pStyle w:val="247"/>
        <w:ind w:left="420" w:hanging="420" w:hangingChars="200"/>
        <w:rPr>
          <w:rFonts w:ascii="黑体" w:hAnsi="黑体" w:eastAsia="黑体"/>
        </w:rPr>
      </w:pPr>
      <w:r>
        <w:rPr>
          <w:rFonts w:ascii="黑体" w:hAnsi="黑体" w:eastAsia="黑体"/>
          <w:color w:val="000000"/>
        </w:rPr>
        <w:br w:type="textWrapping"/>
      </w:r>
      <w:r>
        <w:rPr>
          <w:rFonts w:hint="eastAsia" w:ascii="黑体" w:hAnsi="黑体" w:eastAsia="黑体"/>
        </w:rPr>
        <w:t>外部连接件external connecting components</w:t>
      </w:r>
    </w:p>
    <w:p>
      <w:pPr>
        <w:pStyle w:val="79"/>
        <w:ind w:firstLine="420"/>
      </w:pPr>
      <w:r>
        <w:rPr>
          <w:rFonts w:hint="eastAsia"/>
        </w:rPr>
        <w:t>连接预埋组件并直接承受架体荷载的构件。包含悬挑梁、连接板和连接螺栓、架体位移约束件等。</w:t>
      </w:r>
    </w:p>
    <w:p>
      <w:pPr>
        <w:pStyle w:val="79"/>
        <w:ind w:firstLine="420"/>
      </w:pPr>
    </w:p>
    <w:p>
      <w:pPr>
        <w:pStyle w:val="128"/>
        <w:spacing w:before="156" w:after="156"/>
      </w:pPr>
      <w:bookmarkStart w:id="55" w:name="_Toc106095424"/>
      <w:bookmarkStart w:id="56" w:name="_Toc106092156"/>
      <w:r>
        <w:rPr>
          <w:rFonts w:hint="eastAsia"/>
        </w:rPr>
        <w:t>符号</w:t>
      </w:r>
      <w:bookmarkEnd w:id="55"/>
      <w:bookmarkEnd w:id="56"/>
    </w:p>
    <w:p>
      <w:pPr>
        <w:pStyle w:val="88"/>
        <w:spacing w:before="156" w:after="156"/>
        <w:ind w:left="0"/>
      </w:pPr>
      <w:r>
        <w:rPr>
          <w:rFonts w:hint="eastAsia"/>
        </w:rPr>
        <w:t>荷载和荷载效应</w:t>
      </w:r>
    </w:p>
    <w:p>
      <w:pPr>
        <w:pStyle w:val="253"/>
      </w:pPr>
      <w:r>
        <w:rPr>
          <w:rFonts w:hint="eastAsia"/>
        </w:rPr>
        <w:t xml:space="preserve">P </w:t>
      </w:r>
      <w:r>
        <w:rPr>
          <w:rFonts w:ascii="Times New Roman"/>
        </w:rPr>
        <w:t>——</w:t>
      </w:r>
      <w:r>
        <w:rPr>
          <w:rFonts w:hint="eastAsia"/>
        </w:rPr>
        <w:t xml:space="preserve"> 集中荷载设计值；</w:t>
      </w:r>
    </w:p>
    <w:p>
      <w:pPr>
        <w:pStyle w:val="253"/>
      </w:pPr>
      <w:r>
        <w:rPr>
          <w:rFonts w:hint="eastAsia"/>
        </w:rPr>
        <w:t xml:space="preserve">q </w:t>
      </w:r>
      <w:r>
        <w:rPr>
          <w:rFonts w:ascii="Times New Roman"/>
        </w:rPr>
        <w:t>——</w:t>
      </w:r>
      <w:r>
        <w:rPr>
          <w:rFonts w:hint="eastAsia"/>
        </w:rPr>
        <w:t xml:space="preserve"> 均布荷载设计值；</w:t>
      </w:r>
    </w:p>
    <w:p>
      <w:pPr>
        <w:pStyle w:val="253"/>
      </w:pPr>
      <w:r>
        <w:rPr>
          <w:rFonts w:hint="eastAsia"/>
        </w:rPr>
        <w:t xml:space="preserve">M </w:t>
      </w:r>
      <w:r>
        <w:rPr>
          <w:rFonts w:ascii="Times New Roman"/>
        </w:rPr>
        <w:t>——</w:t>
      </w:r>
      <w:r>
        <w:rPr>
          <w:rFonts w:hint="eastAsia"/>
        </w:rPr>
        <w:t xml:space="preserve"> 弯矩设计值；</w:t>
      </w:r>
    </w:p>
    <w:p>
      <w:pPr>
        <w:pStyle w:val="253"/>
      </w:pPr>
      <w:r>
        <w:rPr>
          <w:rFonts w:hint="eastAsia"/>
        </w:rPr>
        <w:t xml:space="preserve">N </w:t>
      </w:r>
      <w:r>
        <w:rPr>
          <w:rFonts w:ascii="Times New Roman"/>
        </w:rPr>
        <w:t>——</w:t>
      </w:r>
      <w:r>
        <w:rPr>
          <w:rFonts w:hint="eastAsia"/>
        </w:rPr>
        <w:t xml:space="preserve"> 轴向力设计值；</w:t>
      </w:r>
    </w:p>
    <w:p>
      <w:pPr>
        <w:pStyle w:val="253"/>
      </w:pPr>
      <w:r>
        <w:rPr>
          <w:rFonts w:hint="eastAsia"/>
        </w:rPr>
        <w:t xml:space="preserve">V </w:t>
      </w:r>
      <w:r>
        <w:rPr>
          <w:rFonts w:ascii="Times New Roman"/>
        </w:rPr>
        <w:t>——</w:t>
      </w:r>
      <w:r>
        <w:rPr>
          <w:rFonts w:hint="eastAsia"/>
        </w:rPr>
        <w:t xml:space="preserve"> 剪力设计值；</w:t>
      </w:r>
    </w:p>
    <w:p>
      <w:pPr>
        <w:pStyle w:val="253"/>
      </w:pPr>
      <w:r>
        <w:rPr>
          <w:rFonts w:hint="eastAsia"/>
        </w:rPr>
        <w:t xml:space="preserve">R </w:t>
      </w:r>
      <w:r>
        <w:rPr>
          <w:rFonts w:ascii="Times New Roman"/>
        </w:rPr>
        <w:t>——</w:t>
      </w:r>
      <w:r>
        <w:rPr>
          <w:rFonts w:hint="eastAsia"/>
        </w:rPr>
        <w:t xml:space="preserve"> 支座反力；</w:t>
      </w:r>
    </w:p>
    <w:p>
      <w:pPr>
        <w:pStyle w:val="253"/>
      </w:pPr>
      <w:r>
        <w:rPr>
          <w:rFonts w:hint="eastAsia"/>
        </w:rPr>
        <w:t>g</w:t>
      </w:r>
      <w:r>
        <w:rPr>
          <w:rFonts w:hint="eastAsia"/>
          <w:vertAlign w:val="subscript"/>
        </w:rPr>
        <w:t>k</w:t>
      </w:r>
      <w:r>
        <w:rPr>
          <w:rFonts w:ascii="Times New Roman"/>
        </w:rPr>
        <w:t>——</w:t>
      </w:r>
      <w:r>
        <w:rPr>
          <w:rFonts w:hint="eastAsia"/>
        </w:rPr>
        <w:t>每米立杆承受的结构自重标准值；</w:t>
      </w:r>
    </w:p>
    <w:p>
      <w:pPr>
        <w:pStyle w:val="253"/>
      </w:pPr>
      <w:r>
        <w:rPr>
          <w:rFonts w:hint="eastAsia"/>
        </w:rPr>
        <w:t>N</w:t>
      </w:r>
      <w:r>
        <w:rPr>
          <w:rFonts w:hint="eastAsia"/>
          <w:vertAlign w:val="subscript"/>
        </w:rPr>
        <w:t>l</w:t>
      </w:r>
      <w:r>
        <w:rPr>
          <w:rFonts w:ascii="Times New Roman"/>
        </w:rPr>
        <w:t>——</w:t>
      </w:r>
      <w:r>
        <w:rPr>
          <w:rFonts w:hint="eastAsia"/>
        </w:rPr>
        <w:t>连墙件轴向力设计值；</w:t>
      </w:r>
    </w:p>
    <w:p>
      <w:pPr>
        <w:pStyle w:val="253"/>
      </w:pPr>
      <w:r>
        <w:rPr>
          <w:rFonts w:hint="eastAsia" w:hAnsi="宋体"/>
        </w:rPr>
        <w:t>ω</w:t>
      </w:r>
      <w:r>
        <w:rPr>
          <w:rFonts w:hint="eastAsia"/>
          <w:vertAlign w:val="subscript"/>
        </w:rPr>
        <w:t>0</w:t>
      </w:r>
      <w:r>
        <w:rPr>
          <w:rFonts w:ascii="Times New Roman"/>
        </w:rPr>
        <w:t>——</w:t>
      </w:r>
      <w:r>
        <w:rPr>
          <w:rFonts w:hint="eastAsia"/>
        </w:rPr>
        <w:t xml:space="preserve"> 基本风压值；</w:t>
      </w:r>
    </w:p>
    <w:p>
      <w:pPr>
        <w:pStyle w:val="253"/>
      </w:pPr>
      <w:r>
        <w:rPr>
          <w:rFonts w:hint="eastAsia" w:hAnsi="宋体"/>
        </w:rPr>
        <w:t>ω</w:t>
      </w:r>
      <w:r>
        <w:rPr>
          <w:rFonts w:hint="eastAsia"/>
          <w:vertAlign w:val="subscript"/>
        </w:rPr>
        <w:t>k</w:t>
      </w:r>
      <w:r>
        <w:rPr>
          <w:rFonts w:ascii="Times New Roman"/>
        </w:rPr>
        <w:t>——</w:t>
      </w:r>
      <w:r>
        <w:rPr>
          <w:rFonts w:hint="eastAsia"/>
        </w:rPr>
        <w:t xml:space="preserve"> 风荷载标准值值。</w:t>
      </w:r>
    </w:p>
    <w:p>
      <w:pPr>
        <w:pStyle w:val="88"/>
        <w:spacing w:before="156" w:after="156"/>
        <w:ind w:left="0"/>
      </w:pPr>
      <w:r>
        <w:rPr>
          <w:rFonts w:hint="eastAsia"/>
        </w:rPr>
        <w:t>材料性能和抗力</w:t>
      </w:r>
    </w:p>
    <w:p>
      <w:pPr>
        <w:pStyle w:val="253"/>
      </w:pPr>
      <w:r>
        <w:rPr>
          <w:rFonts w:hint="eastAsia"/>
        </w:rPr>
        <w:t xml:space="preserve">E </w:t>
      </w:r>
      <w:r>
        <w:rPr>
          <w:rFonts w:ascii="Times New Roman"/>
        </w:rPr>
        <w:t>——</w:t>
      </w:r>
      <w:r>
        <w:rPr>
          <w:rFonts w:hint="eastAsia"/>
        </w:rPr>
        <w:t xml:space="preserve"> 钢材的弹性模量；</w:t>
      </w:r>
    </w:p>
    <w:p>
      <w:pPr>
        <w:pStyle w:val="253"/>
      </w:pPr>
      <w:r>
        <w:rPr>
          <w:rFonts w:hint="eastAsia"/>
        </w:rPr>
        <w:t>R</w:t>
      </w:r>
      <w:r>
        <w:rPr>
          <w:rFonts w:hint="eastAsia"/>
          <w:vertAlign w:val="subscript"/>
        </w:rPr>
        <w:t>c</w:t>
      </w:r>
      <w:r>
        <w:rPr>
          <w:rFonts w:ascii="Times New Roman"/>
        </w:rPr>
        <w:t>——</w:t>
      </w:r>
      <w:r>
        <w:rPr>
          <w:rFonts w:hint="eastAsia"/>
        </w:rPr>
        <w:t xml:space="preserve"> 扣件抗滑承载力设计值；</w:t>
      </w:r>
    </w:p>
    <w:p>
      <w:pPr>
        <w:pStyle w:val="253"/>
      </w:pPr>
      <w:r>
        <w:rPr>
          <w:rFonts w:hint="eastAsia"/>
        </w:rPr>
        <w:t>Q</w:t>
      </w:r>
      <w:r>
        <w:rPr>
          <w:rFonts w:hint="eastAsia"/>
          <w:vertAlign w:val="subscript"/>
        </w:rPr>
        <w:t>b</w:t>
      </w:r>
      <w:r>
        <w:rPr>
          <w:rFonts w:ascii="Times New Roman"/>
        </w:rPr>
        <w:t>——</w:t>
      </w:r>
      <w:r>
        <w:rPr>
          <w:rFonts w:hint="eastAsia"/>
        </w:rPr>
        <w:t>连接盘受剪承载力设计值；</w:t>
      </w:r>
    </w:p>
    <w:p>
      <w:pPr>
        <w:pStyle w:val="253"/>
      </w:pPr>
      <w:r>
        <w:rPr>
          <w:rFonts w:hint="eastAsia"/>
        </w:rPr>
        <w:t xml:space="preserve">f </w:t>
      </w:r>
      <w:r>
        <w:rPr>
          <w:rFonts w:ascii="Times New Roman"/>
        </w:rPr>
        <w:t>——</w:t>
      </w:r>
      <w:r>
        <w:rPr>
          <w:rFonts w:hint="eastAsia"/>
        </w:rPr>
        <w:t xml:space="preserve"> 钢材的抗拉、抗压、抗弯强度设计值；</w:t>
      </w:r>
    </w:p>
    <w:p>
      <w:pPr>
        <w:pStyle w:val="253"/>
      </w:pPr>
      <w:r>
        <w:rPr>
          <w:rFonts w:hint="eastAsia"/>
        </w:rPr>
        <w:t>f</w:t>
      </w:r>
      <w:r>
        <w:rPr>
          <w:rFonts w:hint="eastAsia"/>
          <w:eastAsianLayout w:id="93" w:combine="1"/>
        </w:rPr>
        <w:t>w c</w:t>
      </w:r>
      <w:r>
        <w:rPr>
          <w:rFonts w:ascii="Times New Roman"/>
        </w:rPr>
        <w:t>——</w:t>
      </w:r>
      <w:r>
        <w:rPr>
          <w:rFonts w:hint="eastAsia"/>
        </w:rPr>
        <w:t xml:space="preserve"> 对接焊缝抗压强度设计值；</w:t>
      </w:r>
    </w:p>
    <w:p>
      <w:pPr>
        <w:pStyle w:val="253"/>
      </w:pPr>
      <w:r>
        <w:rPr>
          <w:rFonts w:hint="eastAsia"/>
        </w:rPr>
        <w:t>f</w:t>
      </w:r>
      <w:r>
        <w:rPr>
          <w:rFonts w:hint="eastAsia"/>
          <w:eastAsianLayout w:id="94" w:combine="1"/>
        </w:rPr>
        <w:t>w t</w:t>
      </w:r>
      <w:r>
        <w:rPr>
          <w:rFonts w:ascii="Times New Roman"/>
        </w:rPr>
        <w:t>——</w:t>
      </w:r>
      <w:r>
        <w:rPr>
          <w:rFonts w:hint="eastAsia"/>
        </w:rPr>
        <w:t xml:space="preserve"> 对接焊缝抗拉强度设计值；</w:t>
      </w:r>
    </w:p>
    <w:p>
      <w:pPr>
        <w:pStyle w:val="253"/>
      </w:pPr>
      <w:r>
        <w:rPr>
          <w:rFonts w:hint="eastAsia"/>
        </w:rPr>
        <w:t>f</w:t>
      </w:r>
      <w:r>
        <w:rPr>
          <w:rFonts w:hint="eastAsia"/>
          <w:eastAsianLayout w:id="95" w:combine="1"/>
        </w:rPr>
        <w:t>w v</w:t>
      </w:r>
      <w:r>
        <w:rPr>
          <w:rFonts w:ascii="Times New Roman"/>
        </w:rPr>
        <w:t>——</w:t>
      </w:r>
      <w:r>
        <w:rPr>
          <w:rFonts w:hint="eastAsia"/>
        </w:rPr>
        <w:t xml:space="preserve"> 对接焊缝抗剪强度设计值；</w:t>
      </w:r>
    </w:p>
    <w:p>
      <w:pPr>
        <w:pStyle w:val="253"/>
      </w:pPr>
      <w:r>
        <w:rPr>
          <w:rFonts w:hint="eastAsia"/>
        </w:rPr>
        <w:t>f</w:t>
      </w:r>
      <w:r>
        <w:rPr>
          <w:rFonts w:hint="eastAsia"/>
          <w:eastAsianLayout w:id="96" w:combine="1"/>
        </w:rPr>
        <w:t>w f</w:t>
      </w:r>
      <w:r>
        <w:rPr>
          <w:rFonts w:ascii="Times New Roman"/>
        </w:rPr>
        <w:t>——</w:t>
      </w:r>
      <w:r>
        <w:rPr>
          <w:rFonts w:hint="eastAsia"/>
        </w:rPr>
        <w:t xml:space="preserve"> 角焊缝抗拉、抗弯、抗剪强度设计值；</w:t>
      </w:r>
    </w:p>
    <w:p>
      <w:pPr>
        <w:pStyle w:val="253"/>
      </w:pPr>
      <w:r>
        <w:rPr>
          <w:rFonts w:hint="eastAsia"/>
        </w:rPr>
        <w:t>f</w:t>
      </w:r>
      <w:r>
        <w:rPr>
          <w:rFonts w:hint="eastAsia"/>
          <w:eastAsianLayout w:id="97" w:combine="1"/>
        </w:rPr>
        <w:t>b t</w:t>
      </w:r>
      <w:r>
        <w:rPr>
          <w:rFonts w:ascii="Times New Roman"/>
        </w:rPr>
        <w:t>——</w:t>
      </w:r>
      <w:r>
        <w:rPr>
          <w:rFonts w:hint="eastAsia"/>
        </w:rPr>
        <w:t xml:space="preserve"> 螺栓抗拉强度设计值；</w:t>
      </w:r>
    </w:p>
    <w:p>
      <w:pPr>
        <w:pStyle w:val="253"/>
      </w:pPr>
      <w:r>
        <w:rPr>
          <w:rFonts w:hint="eastAsia"/>
        </w:rPr>
        <w:t>f</w:t>
      </w:r>
      <w:r>
        <w:rPr>
          <w:rFonts w:hint="eastAsia"/>
          <w:eastAsianLayout w:id="98" w:combine="1"/>
        </w:rPr>
        <w:t>b v</w:t>
      </w:r>
      <w:r>
        <w:rPr>
          <w:rFonts w:ascii="Times New Roman"/>
        </w:rPr>
        <w:t>——</w:t>
      </w:r>
      <w:r>
        <w:rPr>
          <w:rFonts w:hint="eastAsia"/>
        </w:rPr>
        <w:t xml:space="preserve"> 螺栓抗剪强度设计值；</w:t>
      </w:r>
    </w:p>
    <w:p>
      <w:pPr>
        <w:pStyle w:val="253"/>
      </w:pPr>
      <w:r>
        <w:rPr>
          <w:rFonts w:hint="eastAsia"/>
        </w:rPr>
        <w:t xml:space="preserve">R </w:t>
      </w:r>
      <w:r>
        <w:rPr>
          <w:rFonts w:ascii="Times New Roman"/>
        </w:rPr>
        <w:t>——</w:t>
      </w:r>
      <w:r>
        <w:rPr>
          <w:rFonts w:hint="eastAsia"/>
        </w:rPr>
        <w:t xml:space="preserve"> 结构构件的承载力设计值；</w:t>
      </w:r>
    </w:p>
    <w:p>
      <w:pPr>
        <w:pStyle w:val="253"/>
      </w:pPr>
      <w:r>
        <w:rPr>
          <w:rFonts w:hint="eastAsia"/>
        </w:rPr>
        <w:t xml:space="preserve">[v] </w:t>
      </w:r>
      <w:r>
        <w:rPr>
          <w:rFonts w:ascii="Times New Roman"/>
        </w:rPr>
        <w:t>——</w:t>
      </w:r>
      <w:r>
        <w:rPr>
          <w:rFonts w:hint="eastAsia"/>
        </w:rPr>
        <w:t xml:space="preserve"> 容许挠度。</w:t>
      </w:r>
    </w:p>
    <w:p>
      <w:pPr>
        <w:pStyle w:val="88"/>
        <w:spacing w:before="156" w:after="156"/>
        <w:ind w:left="0"/>
      </w:pPr>
      <w:r>
        <w:rPr>
          <w:rFonts w:hint="eastAsia"/>
        </w:rPr>
        <w:t>几何参数</w:t>
      </w:r>
    </w:p>
    <w:p>
      <w:pPr>
        <w:pStyle w:val="253"/>
      </w:pPr>
      <w:r>
        <w:rPr>
          <w:rFonts w:hint="eastAsia"/>
        </w:rPr>
        <w:t xml:space="preserve">A </w:t>
      </w:r>
      <w:r>
        <w:rPr>
          <w:rFonts w:ascii="Times New Roman"/>
        </w:rPr>
        <w:t>——</w:t>
      </w:r>
      <w:r>
        <w:rPr>
          <w:rFonts w:hint="eastAsia"/>
        </w:rPr>
        <w:t xml:space="preserve"> 钢管或构件的截面面积；</w:t>
      </w:r>
    </w:p>
    <w:p>
      <w:pPr>
        <w:pStyle w:val="253"/>
      </w:pPr>
      <w:r>
        <w:rPr>
          <w:rFonts w:hint="eastAsia"/>
        </w:rPr>
        <w:t>A</w:t>
      </w:r>
      <w:r>
        <w:rPr>
          <w:rFonts w:hint="eastAsia"/>
          <w:vertAlign w:val="subscript"/>
        </w:rPr>
        <w:t>l</w:t>
      </w:r>
      <w:r>
        <w:rPr>
          <w:rFonts w:ascii="Times New Roman"/>
        </w:rPr>
        <w:t>——</w:t>
      </w:r>
      <w:r>
        <w:rPr>
          <w:rFonts w:hint="eastAsia"/>
        </w:rPr>
        <w:t xml:space="preserve"> U形钢管拉环净截面积或螺栓的有效截面积；</w:t>
      </w:r>
    </w:p>
    <w:p>
      <w:pPr>
        <w:pStyle w:val="253"/>
      </w:pPr>
      <w:r>
        <w:rPr>
          <w:rFonts w:hint="eastAsia"/>
        </w:rPr>
        <w:t>A</w:t>
      </w:r>
      <w:r>
        <w:rPr>
          <w:rFonts w:hint="eastAsia"/>
          <w:vertAlign w:val="subscript"/>
        </w:rPr>
        <w:t>n</w:t>
      </w:r>
      <w:r>
        <w:rPr>
          <w:rFonts w:ascii="Times New Roman"/>
        </w:rPr>
        <w:t>——</w:t>
      </w:r>
      <w:r>
        <w:rPr>
          <w:rFonts w:hint="eastAsia"/>
        </w:rPr>
        <w:t xml:space="preserve"> 净截面积，挡风面积；</w:t>
      </w:r>
    </w:p>
    <w:p>
      <w:pPr>
        <w:pStyle w:val="253"/>
      </w:pPr>
      <w:r>
        <w:rPr>
          <w:rFonts w:hint="eastAsia"/>
        </w:rPr>
        <w:t>A</w:t>
      </w:r>
      <w:r>
        <w:rPr>
          <w:rFonts w:hint="eastAsia"/>
          <w:vertAlign w:val="subscript"/>
        </w:rPr>
        <w:t>w</w:t>
      </w:r>
      <w:r>
        <w:rPr>
          <w:rFonts w:ascii="Times New Roman"/>
        </w:rPr>
        <w:t>——</w:t>
      </w:r>
      <w:r>
        <w:rPr>
          <w:rFonts w:hint="eastAsia"/>
        </w:rPr>
        <w:t xml:space="preserve"> 迎风面积；</w:t>
      </w:r>
    </w:p>
    <w:p>
      <w:pPr>
        <w:pStyle w:val="253"/>
      </w:pPr>
      <w:r>
        <w:rPr>
          <w:rFonts w:hint="eastAsia"/>
        </w:rPr>
        <w:t xml:space="preserve">W </w:t>
      </w:r>
      <w:r>
        <w:rPr>
          <w:rFonts w:ascii="Times New Roman"/>
        </w:rPr>
        <w:t>——</w:t>
      </w:r>
      <w:r>
        <w:rPr>
          <w:rFonts w:hint="eastAsia"/>
        </w:rPr>
        <w:t xml:space="preserve"> 截面模量；</w:t>
      </w:r>
    </w:p>
    <w:p>
      <w:pPr>
        <w:pStyle w:val="253"/>
      </w:pPr>
      <w:r>
        <w:rPr>
          <w:rFonts w:hint="eastAsia" w:hAnsi="宋体"/>
        </w:rPr>
        <w:t xml:space="preserve">α </w:t>
      </w:r>
      <w:r>
        <w:rPr>
          <w:rFonts w:ascii="Times New Roman"/>
        </w:rPr>
        <w:t>——</w:t>
      </w:r>
      <w:r>
        <w:rPr>
          <w:rFonts w:hint="eastAsia"/>
        </w:rPr>
        <w:t xml:space="preserve"> 外伸长度，伸出长度；</w:t>
      </w:r>
    </w:p>
    <w:p>
      <w:pPr>
        <w:pStyle w:val="253"/>
      </w:pPr>
      <w:r>
        <w:rPr>
          <w:rFonts w:hint="eastAsia" w:hAnsi="宋体"/>
        </w:rPr>
        <w:t>α</w:t>
      </w:r>
      <w:r>
        <w:rPr>
          <w:rFonts w:hint="eastAsia" w:hAnsi="宋体"/>
          <w:vertAlign w:val="subscript"/>
        </w:rPr>
        <w:t>1</w:t>
      </w:r>
      <w:r>
        <w:rPr>
          <w:rFonts w:ascii="Times New Roman"/>
        </w:rPr>
        <w:t>——</w:t>
      </w:r>
      <w:r>
        <w:rPr>
          <w:rFonts w:hint="eastAsia"/>
        </w:rPr>
        <w:t xml:space="preserve"> 计算外伸长度；</w:t>
      </w:r>
    </w:p>
    <w:p>
      <w:pPr>
        <w:pStyle w:val="253"/>
      </w:pPr>
      <w:r>
        <w:rPr>
          <w:rFonts w:hint="eastAsia" w:hAnsi="宋体"/>
          <w:i/>
          <w:iCs/>
        </w:rPr>
        <w:t>φ</w:t>
      </w:r>
      <w:r>
        <w:rPr>
          <w:rFonts w:hint="eastAsia"/>
        </w:rPr>
        <w:t xml:space="preserve">,d </w:t>
      </w:r>
      <w:r>
        <w:rPr>
          <w:rFonts w:ascii="Times New Roman"/>
        </w:rPr>
        <w:t>——</w:t>
      </w:r>
      <w:r>
        <w:rPr>
          <w:rFonts w:hint="eastAsia"/>
        </w:rPr>
        <w:t xml:space="preserve"> 杆件直径，外径；</w:t>
      </w:r>
    </w:p>
    <w:p>
      <w:pPr>
        <w:pStyle w:val="253"/>
      </w:pPr>
      <w:r>
        <w:rPr>
          <w:rFonts w:hint="eastAsia"/>
        </w:rPr>
        <w:t xml:space="preserve">h </w:t>
      </w:r>
      <w:r>
        <w:rPr>
          <w:rFonts w:ascii="Times New Roman"/>
        </w:rPr>
        <w:t>——</w:t>
      </w:r>
      <w:r>
        <w:rPr>
          <w:rFonts w:hint="eastAsia"/>
        </w:rPr>
        <w:t xml:space="preserve"> 步距；</w:t>
      </w:r>
    </w:p>
    <w:p>
      <w:pPr>
        <w:pStyle w:val="253"/>
      </w:pPr>
      <w:r>
        <w:rPr>
          <w:rFonts w:hint="eastAsia"/>
        </w:rPr>
        <w:t xml:space="preserve">i </w:t>
      </w:r>
      <w:r>
        <w:rPr>
          <w:rFonts w:ascii="Times New Roman"/>
        </w:rPr>
        <w:t>——</w:t>
      </w:r>
      <w:r>
        <w:rPr>
          <w:rFonts w:hint="eastAsia"/>
        </w:rPr>
        <w:t xml:space="preserve"> 截面回转半径；</w:t>
      </w:r>
    </w:p>
    <w:p>
      <w:pPr>
        <w:pStyle w:val="253"/>
      </w:pPr>
      <w:r>
        <w:rPr>
          <w:rFonts w:hint="eastAsia"/>
        </w:rPr>
        <w:t xml:space="preserve">I </w:t>
      </w:r>
      <w:r>
        <w:rPr>
          <w:rFonts w:ascii="Times New Roman"/>
        </w:rPr>
        <w:t>——</w:t>
      </w:r>
      <w:r>
        <w:rPr>
          <w:rFonts w:hint="eastAsia"/>
        </w:rPr>
        <w:t xml:space="preserve"> 毛截面惯性矩；</w:t>
      </w:r>
    </w:p>
    <w:p>
      <w:pPr>
        <w:pStyle w:val="253"/>
      </w:pPr>
      <w:r>
        <w:rPr>
          <w:rFonts w:hint="eastAsia"/>
        </w:rPr>
        <w:t>I</w:t>
      </w:r>
      <w:r>
        <w:rPr>
          <w:rFonts w:hint="eastAsia"/>
          <w:vertAlign w:val="subscript"/>
        </w:rPr>
        <w:t>n</w:t>
      </w:r>
      <w:r>
        <w:rPr>
          <w:rFonts w:ascii="Times New Roman"/>
        </w:rPr>
        <w:t>——</w:t>
      </w:r>
      <w:r>
        <w:rPr>
          <w:rFonts w:hint="eastAsia"/>
        </w:rPr>
        <w:t xml:space="preserve"> 净截面惯性矩；</w:t>
      </w:r>
    </w:p>
    <w:p>
      <w:pPr>
        <w:pStyle w:val="253"/>
      </w:pPr>
      <w:r>
        <w:rPr>
          <w:rFonts w:hint="eastAsia" w:hAnsi="宋体"/>
        </w:rPr>
        <w:t>γ</w:t>
      </w:r>
      <w:r>
        <w:rPr>
          <w:rFonts w:hint="eastAsia"/>
          <w:vertAlign w:val="subscript"/>
        </w:rPr>
        <w:t>l</w:t>
      </w:r>
      <w:r>
        <w:rPr>
          <w:rFonts w:ascii="Times New Roman"/>
        </w:rPr>
        <w:t>——</w:t>
      </w:r>
      <w:r>
        <w:rPr>
          <w:rFonts w:hint="eastAsia"/>
        </w:rPr>
        <w:t xml:space="preserve"> 计算点至型钢中和轴的距离；</w:t>
      </w:r>
    </w:p>
    <w:p>
      <w:pPr>
        <w:pStyle w:val="253"/>
      </w:pPr>
      <w:r>
        <w:rPr>
          <w:rFonts w:hint="eastAsia"/>
        </w:rPr>
        <w:t xml:space="preserve">S </w:t>
      </w:r>
      <w:r>
        <w:rPr>
          <w:rFonts w:ascii="Times New Roman"/>
        </w:rPr>
        <w:t>——</w:t>
      </w:r>
      <w:r>
        <w:rPr>
          <w:rFonts w:hint="eastAsia"/>
        </w:rPr>
        <w:t xml:space="preserve"> 计算剪应力处以上毛截面对中和轴的面积矩；</w:t>
      </w:r>
    </w:p>
    <w:p>
      <w:pPr>
        <w:pStyle w:val="253"/>
      </w:pPr>
      <w:r>
        <w:rPr>
          <w:rFonts w:hint="eastAsia"/>
        </w:rPr>
        <w:t xml:space="preserve">l </w:t>
      </w:r>
      <w:r>
        <w:rPr>
          <w:rFonts w:ascii="Times New Roman"/>
        </w:rPr>
        <w:t>——</w:t>
      </w:r>
      <w:r>
        <w:rPr>
          <w:rFonts w:hint="eastAsia"/>
        </w:rPr>
        <w:t xml:space="preserve"> 长度，跨度，搭接长度；</w:t>
      </w:r>
    </w:p>
    <w:p>
      <w:pPr>
        <w:pStyle w:val="253"/>
      </w:pPr>
      <w:r>
        <w:rPr>
          <w:rFonts w:hint="eastAsia"/>
        </w:rPr>
        <w:t>l</w:t>
      </w:r>
      <w:r>
        <w:rPr>
          <w:rFonts w:hint="eastAsia"/>
          <w:vertAlign w:val="subscript"/>
        </w:rPr>
        <w:t>a</w:t>
      </w:r>
      <w:r>
        <w:rPr>
          <w:rFonts w:ascii="Times New Roman"/>
        </w:rPr>
        <w:t>——</w:t>
      </w:r>
      <w:r>
        <w:rPr>
          <w:rFonts w:hint="eastAsia"/>
        </w:rPr>
        <w:t xml:space="preserve"> 立杆纵距；</w:t>
      </w:r>
    </w:p>
    <w:p>
      <w:pPr>
        <w:pStyle w:val="253"/>
      </w:pPr>
      <w:r>
        <w:rPr>
          <w:rFonts w:hint="eastAsia"/>
        </w:rPr>
        <w:t>l</w:t>
      </w:r>
      <w:r>
        <w:rPr>
          <w:rFonts w:hint="eastAsia"/>
          <w:vertAlign w:val="subscript"/>
        </w:rPr>
        <w:t>b</w:t>
      </w:r>
      <w:r>
        <w:rPr>
          <w:rFonts w:ascii="Times New Roman"/>
        </w:rPr>
        <w:t>——</w:t>
      </w:r>
      <w:r>
        <w:rPr>
          <w:rFonts w:hint="eastAsia"/>
        </w:rPr>
        <w:t xml:space="preserve"> 立杆横距；</w:t>
      </w:r>
    </w:p>
    <w:p>
      <w:pPr>
        <w:pStyle w:val="253"/>
      </w:pPr>
      <w:r>
        <w:rPr>
          <w:rFonts w:hint="eastAsia"/>
        </w:rPr>
        <w:t xml:space="preserve">t </w:t>
      </w:r>
      <w:r>
        <w:rPr>
          <w:rFonts w:ascii="Times New Roman"/>
        </w:rPr>
        <w:t>——</w:t>
      </w:r>
      <w:r>
        <w:rPr>
          <w:rFonts w:hint="eastAsia"/>
        </w:rPr>
        <w:t xml:space="preserve"> 杆件壁厚；</w:t>
      </w:r>
    </w:p>
    <w:p>
      <w:pPr>
        <w:pStyle w:val="253"/>
      </w:pPr>
      <w:r>
        <w:rPr>
          <w:rFonts w:hint="eastAsia"/>
        </w:rPr>
        <w:t>t</w:t>
      </w:r>
      <w:r>
        <w:rPr>
          <w:rFonts w:hint="eastAsia"/>
          <w:vertAlign w:val="subscript"/>
        </w:rPr>
        <w:t>w</w:t>
      </w:r>
      <w:r>
        <w:rPr>
          <w:rFonts w:ascii="Times New Roman"/>
        </w:rPr>
        <w:t>——</w:t>
      </w:r>
      <w:r>
        <w:rPr>
          <w:rFonts w:hint="eastAsia"/>
        </w:rPr>
        <w:t xml:space="preserve"> 型钢腹板厚度；</w:t>
      </w:r>
    </w:p>
    <w:p>
      <w:pPr>
        <w:pStyle w:val="253"/>
      </w:pPr>
      <w:r>
        <w:rPr>
          <w:rFonts w:hint="eastAsia" w:hAnsi="宋体"/>
        </w:rPr>
        <w:t xml:space="preserve">θ </w:t>
      </w:r>
      <w:r>
        <w:rPr>
          <w:rFonts w:ascii="Times New Roman"/>
        </w:rPr>
        <w:t>——</w:t>
      </w:r>
      <w:r>
        <w:rPr>
          <w:rFonts w:hint="eastAsia" w:hAnsi="宋体"/>
        </w:rPr>
        <w:t xml:space="preserve"> 斜拉式、下撑式悬挑架斜拉、斜撑的水平夹角。</w:t>
      </w:r>
    </w:p>
    <w:p>
      <w:pPr>
        <w:pStyle w:val="88"/>
        <w:spacing w:before="156" w:after="156"/>
        <w:ind w:left="0"/>
      </w:pPr>
      <w:r>
        <w:rPr>
          <w:rFonts w:hint="eastAsia"/>
        </w:rPr>
        <w:t>设计系数</w:t>
      </w:r>
    </w:p>
    <w:p>
      <w:pPr>
        <w:pStyle w:val="253"/>
      </w:pPr>
      <w:r>
        <w:rPr>
          <w:rFonts w:hint="eastAsia"/>
        </w:rPr>
        <w:t xml:space="preserve">k </w:t>
      </w:r>
      <w:r>
        <w:rPr>
          <w:rFonts w:ascii="Times New Roman"/>
        </w:rPr>
        <w:t>——</w:t>
      </w:r>
      <w:r>
        <w:rPr>
          <w:rFonts w:hint="eastAsia"/>
        </w:rPr>
        <w:t xml:space="preserve"> 悬臂端计算长度折减系数；</w:t>
      </w:r>
    </w:p>
    <w:p>
      <w:pPr>
        <w:pStyle w:val="253"/>
        <w:rPr>
          <w:rFonts w:hAnsi="宋体"/>
        </w:rPr>
      </w:pPr>
      <w:r>
        <w:rPr>
          <w:rFonts w:hint="eastAsia" w:hAnsi="宋体"/>
          <w:i/>
          <w:iCs/>
        </w:rPr>
        <w:t>φ</w:t>
      </w:r>
      <w:r>
        <w:rPr>
          <w:rFonts w:ascii="Times New Roman"/>
        </w:rPr>
        <w:t>——</w:t>
      </w:r>
      <w:r>
        <w:rPr>
          <w:rFonts w:hint="eastAsia" w:hAnsi="宋体"/>
        </w:rPr>
        <w:t xml:space="preserve"> 挡风系数；</w:t>
      </w:r>
    </w:p>
    <w:p>
      <w:pPr>
        <w:pStyle w:val="253"/>
      </w:pPr>
      <w:r>
        <w:rPr>
          <w:rFonts w:hint="eastAsia" w:hAnsi="宋体"/>
        </w:rPr>
        <w:t>β</w:t>
      </w:r>
      <w:r>
        <w:rPr>
          <w:rFonts w:hint="eastAsia" w:hAnsi="宋体"/>
          <w:vertAlign w:val="subscript"/>
        </w:rPr>
        <w:t>H</w:t>
      </w:r>
      <w:r>
        <w:rPr>
          <w:rFonts w:ascii="Times New Roman"/>
        </w:rPr>
        <w:t>——</w:t>
      </w:r>
      <w:r>
        <w:rPr>
          <w:rFonts w:hint="eastAsia" w:hAnsi="宋体"/>
        </w:rPr>
        <w:t xml:space="preserve"> 架体搭设高度调整系数；</w:t>
      </w:r>
    </w:p>
    <w:p>
      <w:pPr>
        <w:pStyle w:val="253"/>
      </w:pPr>
      <w:r>
        <w:rPr>
          <w:rFonts w:hint="eastAsia" w:hAnsi="宋体"/>
        </w:rPr>
        <w:t xml:space="preserve">γ </w:t>
      </w:r>
      <w:r>
        <w:rPr>
          <w:rFonts w:ascii="Times New Roman"/>
        </w:rPr>
        <w:t>——</w:t>
      </w:r>
      <w:r>
        <w:rPr>
          <w:rFonts w:hint="eastAsia"/>
        </w:rPr>
        <w:t xml:space="preserve"> 架体顶层步距修正系数；</w:t>
      </w:r>
    </w:p>
    <w:p>
      <w:pPr>
        <w:pStyle w:val="253"/>
      </w:pPr>
      <w:r>
        <w:rPr>
          <w:rFonts w:hint="eastAsia" w:hAnsi="宋体"/>
        </w:rPr>
        <w:t>γ</w:t>
      </w:r>
      <w:r>
        <w:rPr>
          <w:rFonts w:hint="eastAsia"/>
          <w:vertAlign w:val="subscript"/>
        </w:rPr>
        <w:t>0</w:t>
      </w:r>
      <w:r>
        <w:rPr>
          <w:rFonts w:ascii="Times New Roman"/>
        </w:rPr>
        <w:t>——</w:t>
      </w:r>
      <w:r>
        <w:rPr>
          <w:rFonts w:hint="eastAsia"/>
        </w:rPr>
        <w:t xml:space="preserve"> 脚手架结构重要性系数；</w:t>
      </w:r>
    </w:p>
    <w:p>
      <w:pPr>
        <w:pStyle w:val="253"/>
      </w:pPr>
      <w:r>
        <w:rPr>
          <w:rFonts w:hint="eastAsia" w:hAnsi="宋体"/>
        </w:rPr>
        <w:t>γ</w:t>
      </w:r>
      <w:r>
        <w:rPr>
          <w:rFonts w:hint="eastAsia"/>
          <w:vertAlign w:val="subscript"/>
        </w:rPr>
        <w:t>G</w:t>
      </w:r>
      <w:r>
        <w:rPr>
          <w:rFonts w:ascii="Times New Roman"/>
        </w:rPr>
        <w:t>——</w:t>
      </w:r>
      <w:r>
        <w:rPr>
          <w:rFonts w:hint="eastAsia"/>
        </w:rPr>
        <w:t>恒载分项系数；</w:t>
      </w:r>
    </w:p>
    <w:p>
      <w:pPr>
        <w:pStyle w:val="253"/>
      </w:pPr>
      <w:r>
        <w:rPr>
          <w:rFonts w:hint="eastAsia" w:hAnsi="宋体"/>
        </w:rPr>
        <w:t>γ</w:t>
      </w:r>
      <w:r>
        <w:rPr>
          <w:rFonts w:hint="eastAsia"/>
          <w:vertAlign w:val="subscript"/>
        </w:rPr>
        <w:t>Q</w:t>
      </w:r>
      <w:r>
        <w:rPr>
          <w:rFonts w:ascii="Times New Roman"/>
        </w:rPr>
        <w:t>——</w:t>
      </w:r>
      <w:r>
        <w:rPr>
          <w:rFonts w:hint="eastAsia"/>
        </w:rPr>
        <w:t xml:space="preserve"> 活荷载分项系数；</w:t>
      </w:r>
    </w:p>
    <w:p>
      <w:pPr>
        <w:pStyle w:val="253"/>
      </w:pPr>
      <w:r>
        <w:rPr>
          <w:rFonts w:hint="eastAsia" w:hAnsi="宋体"/>
        </w:rPr>
        <w:t>γ</w:t>
      </w:r>
      <w:r>
        <w:rPr>
          <w:rFonts w:hint="eastAsia"/>
          <w:vertAlign w:val="subscript"/>
        </w:rPr>
        <w:t>R</w:t>
      </w:r>
      <w:r>
        <w:rPr>
          <w:rFonts w:ascii="Times New Roman"/>
        </w:rPr>
        <w:t>——</w:t>
      </w:r>
      <w:r>
        <w:rPr>
          <w:rFonts w:hint="eastAsia"/>
        </w:rPr>
        <w:t xml:space="preserve"> 承载力设计值调整系数；</w:t>
      </w:r>
    </w:p>
    <w:p>
      <w:pPr>
        <w:pStyle w:val="253"/>
      </w:pPr>
      <w:r>
        <w:rPr>
          <w:rFonts w:hint="eastAsia" w:hAnsi="宋体"/>
        </w:rPr>
        <w:t xml:space="preserve">η </w:t>
      </w:r>
      <w:r>
        <w:rPr>
          <w:rFonts w:ascii="Times New Roman"/>
        </w:rPr>
        <w:t>——</w:t>
      </w:r>
      <w:r>
        <w:rPr>
          <w:rFonts w:hint="eastAsia"/>
        </w:rPr>
        <w:t xml:space="preserve"> 立杆计算长度修正系数；</w:t>
      </w:r>
    </w:p>
    <w:p>
      <w:pPr>
        <w:pStyle w:val="253"/>
      </w:pPr>
      <w:r>
        <w:rPr>
          <w:rFonts w:hint="eastAsia" w:hAnsi="宋体"/>
        </w:rPr>
        <w:t xml:space="preserve">λ </w:t>
      </w:r>
      <w:r>
        <w:rPr>
          <w:rFonts w:ascii="Times New Roman"/>
        </w:rPr>
        <w:t>——</w:t>
      </w:r>
      <w:r>
        <w:rPr>
          <w:rFonts w:hint="eastAsia"/>
        </w:rPr>
        <w:t xml:space="preserve"> 杆件长细比；</w:t>
      </w:r>
    </w:p>
    <w:p>
      <w:pPr>
        <w:pStyle w:val="253"/>
      </w:pPr>
      <w:r>
        <w:rPr>
          <w:rFonts w:hint="eastAsia" w:hAnsi="宋体"/>
        </w:rPr>
        <w:t xml:space="preserve">μ </w:t>
      </w:r>
      <w:r>
        <w:rPr>
          <w:rFonts w:ascii="Times New Roman"/>
        </w:rPr>
        <w:t>——</w:t>
      </w:r>
      <w:r>
        <w:rPr>
          <w:rFonts w:hint="eastAsia"/>
        </w:rPr>
        <w:t>考虑架体整体稳定因素的立杆计算长度修正系数；</w:t>
      </w:r>
    </w:p>
    <w:p>
      <w:pPr>
        <w:pStyle w:val="253"/>
      </w:pPr>
      <w:r>
        <w:rPr>
          <w:rFonts w:hint="eastAsia" w:hAnsi="宋体"/>
        </w:rPr>
        <w:t>μ</w:t>
      </w:r>
      <w:r>
        <w:rPr>
          <w:rFonts w:hint="eastAsia" w:hAnsi="宋体"/>
          <w:vertAlign w:val="subscript"/>
        </w:rPr>
        <w:t>s</w:t>
      </w:r>
      <w:r>
        <w:rPr>
          <w:rFonts w:ascii="Times New Roman"/>
        </w:rPr>
        <w:t>——</w:t>
      </w:r>
      <w:r>
        <w:rPr>
          <w:rFonts w:hint="eastAsia"/>
        </w:rPr>
        <w:t xml:space="preserve"> 脚手架风荷载体型系数；</w:t>
      </w:r>
    </w:p>
    <w:p>
      <w:pPr>
        <w:pStyle w:val="253"/>
      </w:pPr>
      <w:r>
        <w:rPr>
          <w:rFonts w:hint="eastAsia" w:hAnsi="宋体"/>
        </w:rPr>
        <w:t>μ</w:t>
      </w:r>
      <w:r>
        <w:rPr>
          <w:rFonts w:hint="eastAsia" w:hAnsi="宋体"/>
          <w:vertAlign w:val="subscript"/>
        </w:rPr>
        <w:t>z</w:t>
      </w:r>
      <w:r>
        <w:rPr>
          <w:rFonts w:ascii="Times New Roman"/>
        </w:rPr>
        <w:t>——</w:t>
      </w:r>
      <w:r>
        <w:rPr>
          <w:rFonts w:hint="eastAsia"/>
        </w:rPr>
        <w:t xml:space="preserve"> 风压高度变化系数；</w:t>
      </w:r>
    </w:p>
    <w:p>
      <w:pPr>
        <w:pStyle w:val="253"/>
        <w:ind w:firstLine="476"/>
        <w:rPr>
          <w:rFonts w:hAnsi="宋体"/>
        </w:rPr>
      </w:pPr>
      <w:r>
        <w:rPr>
          <w:rFonts w:ascii="Times New Roman"/>
          <w:spacing w:val="14"/>
        </w:rPr>
        <w:t>φ</w:t>
      </w:r>
      <w:r>
        <w:rPr>
          <w:rFonts w:ascii="Times New Roman"/>
        </w:rPr>
        <w:t>——</w:t>
      </w:r>
      <w:r>
        <w:rPr>
          <w:rFonts w:hint="eastAsia" w:hAnsi="宋体"/>
        </w:rPr>
        <w:t xml:space="preserve"> 轴心受压构件稳定系数。</w:t>
      </w:r>
    </w:p>
    <w:p>
      <w:pPr>
        <w:pStyle w:val="127"/>
        <w:spacing w:before="312" w:after="312"/>
      </w:pPr>
      <w:bookmarkStart w:id="57" w:name="_Toc106092157"/>
      <w:bookmarkStart w:id="58" w:name="_Toc106095425"/>
      <w:r>
        <w:rPr>
          <w:rFonts w:hint="eastAsia"/>
        </w:rPr>
        <w:t>基本规定</w:t>
      </w:r>
      <w:bookmarkEnd w:id="57"/>
      <w:bookmarkEnd w:id="58"/>
    </w:p>
    <w:p>
      <w:pPr>
        <w:pStyle w:val="185"/>
      </w:pPr>
      <w:r>
        <w:rPr>
          <w:rFonts w:hint="eastAsia"/>
        </w:rPr>
        <w:t>在悬挑式脚手架搭设和拆除作业前，应根据工程特点编制专项施工方案，并应经审批后组织实施。</w:t>
      </w:r>
    </w:p>
    <w:p>
      <w:pPr>
        <w:pStyle w:val="185"/>
        <w:rPr>
          <w:rFonts w:ascii="黑体" w:hAnsi="黑体" w:eastAsia="黑体" w:cs="黑体"/>
        </w:rPr>
      </w:pPr>
      <w:r>
        <w:rPr>
          <w:rFonts w:hint="eastAsia"/>
        </w:rPr>
        <w:t>悬挑式脚手架的设计与构造应能保证脚手架结构体系的稳定。</w:t>
      </w:r>
    </w:p>
    <w:p>
      <w:pPr>
        <w:pStyle w:val="185"/>
      </w:pPr>
      <w:r>
        <w:rPr>
          <w:rFonts w:hint="eastAsia"/>
        </w:rPr>
        <w:t>悬挑式脚手架应构造合理、连接牢固、搭设与拆除方便、使用安全可靠。悬挑式脚手架的设计、搭设、使用和维护应满足下列要求：</w:t>
      </w:r>
    </w:p>
    <w:p>
      <w:pPr>
        <w:pStyle w:val="79"/>
        <w:ind w:firstLine="420"/>
      </w:pPr>
      <w:r>
        <w:rPr>
          <w:rFonts w:hint="eastAsia"/>
        </w:rPr>
        <w:t>a）应能承受设计荷载.</w:t>
      </w:r>
    </w:p>
    <w:p>
      <w:pPr>
        <w:pStyle w:val="79"/>
        <w:ind w:firstLine="420"/>
      </w:pPr>
      <w:r>
        <w:rPr>
          <w:rFonts w:hint="eastAsia"/>
        </w:rPr>
        <w:t>b）结构应稳固，不得发生影响正常使用的变形。</w:t>
      </w:r>
    </w:p>
    <w:p>
      <w:pPr>
        <w:pStyle w:val="79"/>
        <w:ind w:firstLine="420"/>
      </w:pPr>
      <w:r>
        <w:rPr>
          <w:rFonts w:hint="eastAsia"/>
        </w:rPr>
        <w:t>c）应满足使用要求，具有安全防护功能。</w:t>
      </w:r>
    </w:p>
    <w:p>
      <w:pPr>
        <w:pStyle w:val="79"/>
        <w:ind w:firstLine="420"/>
      </w:pPr>
      <w:r>
        <w:rPr>
          <w:rFonts w:hint="eastAsia"/>
        </w:rPr>
        <w:t>d）在使用中，悬挑式脚手架结构性能不得发生明显改变。</w:t>
      </w:r>
    </w:p>
    <w:p>
      <w:pPr>
        <w:pStyle w:val="79"/>
        <w:ind w:firstLine="420"/>
      </w:pPr>
      <w:r>
        <w:rPr>
          <w:rFonts w:hint="eastAsia"/>
        </w:rPr>
        <w:t>e）当遇意外作用或偶然超载时，不得发生整体破坏。</w:t>
      </w:r>
    </w:p>
    <w:p>
      <w:pPr>
        <w:pStyle w:val="79"/>
        <w:ind w:firstLine="420"/>
      </w:pPr>
      <w:r>
        <w:rPr>
          <w:rFonts w:hint="eastAsia"/>
        </w:rPr>
        <w:t>f）悬挑式脚手架所依附、承受的工程结构不应受到损害。</w:t>
      </w:r>
    </w:p>
    <w:p>
      <w:pPr>
        <w:pStyle w:val="185"/>
      </w:pPr>
      <w:r>
        <w:rPr>
          <w:rFonts w:hint="eastAsia"/>
        </w:rPr>
        <w:t>悬挑式脚手架的材料与构配件应有产品质量合格证明文件，且在使用周期内。材料与构配件质量，应按进场批次分品种、规格进行检验，检验合格后方可使用。</w:t>
      </w:r>
    </w:p>
    <w:p>
      <w:pPr>
        <w:pStyle w:val="127"/>
        <w:spacing w:before="312" w:after="312"/>
      </w:pPr>
      <w:bookmarkStart w:id="59" w:name="_Toc106092158"/>
      <w:bookmarkStart w:id="60" w:name="_Toc106095426"/>
      <w:r>
        <w:rPr>
          <w:rFonts w:hint="eastAsia"/>
        </w:rPr>
        <w:t>材料与构造</w:t>
      </w:r>
      <w:bookmarkEnd w:id="59"/>
      <w:bookmarkEnd w:id="60"/>
    </w:p>
    <w:p>
      <w:pPr>
        <w:pStyle w:val="128"/>
        <w:spacing w:before="156" w:after="156"/>
      </w:pPr>
      <w:bookmarkStart w:id="61" w:name="_Toc106092159"/>
      <w:bookmarkStart w:id="62" w:name="_Toc106095427"/>
      <w:r>
        <w:rPr>
          <w:rFonts w:hint="eastAsia"/>
        </w:rPr>
        <w:t>材料</w:t>
      </w:r>
      <w:bookmarkEnd w:id="61"/>
      <w:bookmarkEnd w:id="62"/>
    </w:p>
    <w:p>
      <w:pPr>
        <w:pStyle w:val="188"/>
        <w:ind w:left="0"/>
      </w:pPr>
      <w:r>
        <w:rPr>
          <w:rFonts w:hint="eastAsia"/>
        </w:rPr>
        <w:t>热轧型钢、钢板等应符合GB/T 700、GB/T 1591等的规定。</w:t>
      </w:r>
    </w:p>
    <w:p>
      <w:pPr>
        <w:pStyle w:val="188"/>
        <w:ind w:left="0"/>
      </w:pPr>
      <w:r>
        <w:t>钢管、扣件、连墙件、脚手板等构配件的质量应符合JGJ 130</w:t>
      </w:r>
      <w:r>
        <w:rPr>
          <w:rFonts w:hint="eastAsia"/>
        </w:rPr>
        <w:t>、GB55023、GB15831、JGJ231</w:t>
      </w:r>
      <w:r>
        <w:t>的规定。</w:t>
      </w:r>
    </w:p>
    <w:p>
      <w:pPr>
        <w:pStyle w:val="188"/>
        <w:ind w:left="0"/>
      </w:pPr>
      <w:r>
        <w:t>锚固螺栓应符合GB/T 5782</w:t>
      </w:r>
      <w:r>
        <w:rPr>
          <w:rFonts w:hint="eastAsia"/>
        </w:rPr>
        <w:t>、GB/T1228等的规定，</w:t>
      </w:r>
      <w:r>
        <w:t>其机械性能应符合GB/T 3098.1的规定。</w:t>
      </w:r>
    </w:p>
    <w:p>
      <w:pPr>
        <w:pStyle w:val="188"/>
        <w:ind w:left="0"/>
      </w:pPr>
      <w:r>
        <w:t>焊接材料应与主体金属材料的技术性能相适应。手工焊接采用的焊条应</w:t>
      </w:r>
      <w:r>
        <w:rPr>
          <w:rFonts w:hint="eastAsia"/>
        </w:rPr>
        <w:t>符合</w:t>
      </w:r>
      <w:r>
        <w:t>GB/T 5117</w:t>
      </w:r>
      <w:r>
        <w:rPr>
          <w:rFonts w:hint="eastAsia"/>
        </w:rPr>
        <w:t>、</w:t>
      </w:r>
      <w:r>
        <w:t>GB/T 5118</w:t>
      </w:r>
      <w:r>
        <w:rPr>
          <w:rFonts w:hint="eastAsia"/>
        </w:rPr>
        <w:t>等</w:t>
      </w:r>
      <w:r>
        <w:t>的规定</w:t>
      </w:r>
      <w:r>
        <w:rPr>
          <w:rFonts w:hint="eastAsia"/>
        </w:rPr>
        <w:t>。自动焊和半自动焊所采用的焊丝和焊剂，应符合GB/T 5293、GB/T 12470等的规定。</w:t>
      </w:r>
    </w:p>
    <w:p>
      <w:pPr>
        <w:pStyle w:val="188"/>
        <w:ind w:left="0"/>
      </w:pPr>
      <w:r>
        <w:t>U形</w:t>
      </w:r>
      <w:r>
        <w:rPr>
          <w:rFonts w:hint="eastAsia"/>
        </w:rPr>
        <w:t>钢筋</w:t>
      </w:r>
      <w:r>
        <w:t>拉环、</w:t>
      </w:r>
      <w:r>
        <w:rPr>
          <w:rFonts w:hint="eastAsia"/>
        </w:rPr>
        <w:t>钢筋</w:t>
      </w:r>
      <w:r>
        <w:t>锚环应采用</w:t>
      </w:r>
      <w:r>
        <w:rPr>
          <w:rFonts w:hint="eastAsia"/>
        </w:rPr>
        <w:t>HPB300</w:t>
      </w:r>
      <w:r>
        <w:t>钢筋</w:t>
      </w:r>
      <w:r>
        <w:rPr>
          <w:rFonts w:hint="eastAsia"/>
        </w:rPr>
        <w:t>或Q235B圆钢</w:t>
      </w:r>
      <w:r>
        <w:t>制作</w:t>
      </w:r>
      <w:r>
        <w:rPr>
          <w:rFonts w:hint="eastAsia"/>
        </w:rPr>
        <w:t>，</w:t>
      </w:r>
      <w:r>
        <w:t>其技术性能</w:t>
      </w:r>
      <w:r>
        <w:rPr>
          <w:rFonts w:hint="eastAsia"/>
        </w:rPr>
        <w:t>分别</w:t>
      </w:r>
      <w:r>
        <w:t>应符合</w:t>
      </w:r>
      <w:r>
        <w:rPr>
          <w:rFonts w:hint="eastAsia"/>
        </w:rPr>
        <w:t>GB 1499.1和GB/T 700</w:t>
      </w:r>
      <w:r>
        <w:t>的规定</w:t>
      </w:r>
      <w:r>
        <w:rPr>
          <w:rFonts w:hint="eastAsia"/>
        </w:rPr>
        <w:t>。</w:t>
      </w:r>
    </w:p>
    <w:p>
      <w:pPr>
        <w:pStyle w:val="188"/>
        <w:ind w:left="0"/>
        <w:rPr>
          <w:rStyle w:val="259"/>
          <w:rFonts w:hint="default" w:ascii="宋体" w:hAnsi="宋体" w:eastAsia="宋体"/>
          <w:sz w:val="21"/>
          <w:szCs w:val="21"/>
        </w:rPr>
      </w:pPr>
      <w:r>
        <w:rPr>
          <w:rStyle w:val="259"/>
          <w:rFonts w:hint="default" w:ascii="宋体" w:hAnsi="宋体" w:eastAsia="宋体"/>
          <w:sz w:val="21"/>
          <w:szCs w:val="21"/>
        </w:rPr>
        <w:t>吊拉钢丝绳,其技术性能应符合GB/T 20118的规定,</w:t>
      </w:r>
      <w:r>
        <w:rPr>
          <w:rFonts w:hint="eastAsia" w:hAnsi="宋体"/>
          <w:szCs w:val="21"/>
        </w:rPr>
        <w:t>强度级别不小于1570MPa。</w:t>
      </w:r>
    </w:p>
    <w:p>
      <w:pPr>
        <w:pStyle w:val="188"/>
        <w:ind w:left="0"/>
        <w:rPr>
          <w:rStyle w:val="259"/>
          <w:rFonts w:hint="default" w:ascii="宋体" w:hAnsi="宋体" w:eastAsia="宋体"/>
          <w:sz w:val="21"/>
          <w:szCs w:val="21"/>
        </w:rPr>
      </w:pPr>
      <w:r>
        <w:rPr>
          <w:rFonts w:hint="eastAsia" w:hAnsi="宋体"/>
          <w:szCs w:val="21"/>
        </w:rPr>
        <w:t>斜拉杆件采用钢筋拉杆时</w:t>
      </w:r>
      <w:r>
        <w:rPr>
          <w:rStyle w:val="259"/>
          <w:rFonts w:hint="default" w:ascii="宋体" w:hAnsi="宋体" w:eastAsia="宋体"/>
          <w:sz w:val="21"/>
          <w:szCs w:val="21"/>
        </w:rPr>
        <w:t>，其技术性能应符合</w:t>
      </w:r>
      <w:r>
        <w:rPr>
          <w:rFonts w:hint="eastAsia" w:hAnsi="宋体"/>
          <w:szCs w:val="21"/>
        </w:rPr>
        <w:t>GB 1499.1</w:t>
      </w:r>
      <w:r>
        <w:rPr>
          <w:rStyle w:val="259"/>
          <w:rFonts w:hint="default" w:ascii="宋体" w:hAnsi="宋体" w:eastAsia="宋体"/>
          <w:sz w:val="21"/>
          <w:szCs w:val="21"/>
        </w:rPr>
        <w:t>中HPB300级钢筋的规定.</w:t>
      </w:r>
    </w:p>
    <w:p>
      <w:pPr>
        <w:pStyle w:val="188"/>
        <w:ind w:left="0"/>
        <w:rPr>
          <w:rStyle w:val="259"/>
          <w:rFonts w:hint="default" w:ascii="宋体" w:hAnsi="宋体" w:eastAsia="宋体"/>
          <w:sz w:val="21"/>
          <w:szCs w:val="21"/>
        </w:rPr>
      </w:pPr>
      <w:r>
        <w:rPr>
          <w:rFonts w:hint="eastAsia" w:hAnsi="宋体"/>
          <w:szCs w:val="21"/>
        </w:rPr>
        <w:t>斜撑杆件</w:t>
      </w:r>
      <w:r>
        <w:rPr>
          <w:rFonts w:hint="eastAsia"/>
        </w:rPr>
        <w:t>宜采用钢管或型钢，其材质应符合GB/T8162、GB/T 700、GB/T 1591等的规定。</w:t>
      </w:r>
    </w:p>
    <w:p>
      <w:pPr>
        <w:pStyle w:val="188"/>
        <w:ind w:left="0"/>
        <w:rPr>
          <w:rFonts w:hAnsi="宋体"/>
          <w:szCs w:val="21"/>
        </w:rPr>
      </w:pPr>
      <w:r>
        <w:rPr>
          <w:rFonts w:hAnsi="宋体"/>
          <w:szCs w:val="21"/>
        </w:rPr>
        <w:t>花篮螺栓应符合CB</w:t>
      </w:r>
      <w:r>
        <w:rPr>
          <w:rFonts w:hint="eastAsia" w:hAnsi="宋体"/>
          <w:szCs w:val="21"/>
        </w:rPr>
        <w:t xml:space="preserve">/T </w:t>
      </w:r>
      <w:r>
        <w:rPr>
          <w:rFonts w:hAnsi="宋体"/>
          <w:szCs w:val="21"/>
        </w:rPr>
        <w:t>3818的规定</w:t>
      </w:r>
      <w:r>
        <w:rPr>
          <w:rFonts w:hint="eastAsia" w:hAnsi="宋体"/>
          <w:szCs w:val="21"/>
        </w:rPr>
        <w:t>。</w:t>
      </w:r>
    </w:p>
    <w:p>
      <w:pPr>
        <w:pStyle w:val="188"/>
        <w:ind w:left="0"/>
      </w:pPr>
      <w:r>
        <w:rPr>
          <w:rFonts w:hint="eastAsia"/>
        </w:rPr>
        <w:t>悬挑式脚手架常用的</w:t>
      </w:r>
      <w:r>
        <w:rPr>
          <w:rFonts w:hint="eastAsia" w:hAnsi="宋体"/>
          <w:szCs w:val="21"/>
        </w:rPr>
        <w:t>工字钢、</w:t>
      </w:r>
      <w:r>
        <w:rPr>
          <w:rFonts w:hAnsi="宋体"/>
          <w:szCs w:val="21"/>
        </w:rPr>
        <w:t>钢管和扣件等材料的力学特征见附录 A</w:t>
      </w:r>
      <w:r>
        <w:t>。</w:t>
      </w:r>
    </w:p>
    <w:p>
      <w:pPr>
        <w:pStyle w:val="128"/>
        <w:spacing w:before="156" w:after="156"/>
      </w:pPr>
      <w:bookmarkStart w:id="63" w:name="_Toc106092160"/>
      <w:bookmarkStart w:id="64" w:name="_Toc106095428"/>
      <w:r>
        <w:t>悬挑</w:t>
      </w:r>
      <w:r>
        <w:rPr>
          <w:rFonts w:hint="eastAsia"/>
        </w:rPr>
        <w:t>梁</w:t>
      </w:r>
      <w:r>
        <w:t>构造</w:t>
      </w:r>
      <w:bookmarkEnd w:id="63"/>
      <w:bookmarkEnd w:id="64"/>
    </w:p>
    <w:p>
      <w:pPr>
        <w:pStyle w:val="188"/>
        <w:ind w:left="0"/>
      </w:pPr>
      <w:r>
        <w:t>悬挑</w:t>
      </w:r>
      <w:r>
        <w:rPr>
          <w:rFonts w:hint="eastAsia"/>
        </w:rPr>
        <w:t>梁</w:t>
      </w:r>
      <w:r>
        <w:t>与</w:t>
      </w:r>
      <w:r>
        <w:rPr>
          <w:rFonts w:hint="eastAsia"/>
        </w:rPr>
        <w:t>斜</w:t>
      </w:r>
      <w:r>
        <w:t>拉</w:t>
      </w:r>
      <w:r>
        <w:rPr>
          <w:rFonts w:hint="eastAsia"/>
        </w:rPr>
        <w:t>杆件（或斜撑杆件）</w:t>
      </w:r>
      <w:r>
        <w:t>宜在同一竖直平面内</w:t>
      </w:r>
      <w:r>
        <w:rPr>
          <w:rFonts w:hint="eastAsia"/>
        </w:rPr>
        <w:t>；</w:t>
      </w:r>
      <w:r>
        <w:t>建筑物转角等处</w:t>
      </w:r>
      <w:r>
        <w:rPr>
          <w:rFonts w:hint="eastAsia"/>
        </w:rPr>
        <w:t>，</w:t>
      </w:r>
      <w:r>
        <w:t>悬挑</w:t>
      </w:r>
      <w:r>
        <w:rPr>
          <w:rFonts w:hint="eastAsia"/>
        </w:rPr>
        <w:t>梁</w:t>
      </w:r>
      <w:r>
        <w:t>与</w:t>
      </w:r>
      <w:r>
        <w:rPr>
          <w:rFonts w:hint="eastAsia"/>
        </w:rPr>
        <w:t>斜</w:t>
      </w:r>
      <w:r>
        <w:t>拉</w:t>
      </w:r>
      <w:r>
        <w:rPr>
          <w:rFonts w:hint="eastAsia"/>
        </w:rPr>
        <w:t>杆</w:t>
      </w:r>
      <w:r>
        <w:t>件</w:t>
      </w:r>
      <w:r>
        <w:rPr>
          <w:rFonts w:hint="eastAsia"/>
        </w:rPr>
        <w:t>（或斜撑杆件）</w:t>
      </w:r>
      <w:r>
        <w:t>不在同一平面内时</w:t>
      </w:r>
      <w:r>
        <w:rPr>
          <w:rFonts w:hint="eastAsia"/>
        </w:rPr>
        <w:t>，</w:t>
      </w:r>
      <w:r>
        <w:t>悬挑</w:t>
      </w:r>
      <w:r>
        <w:rPr>
          <w:rFonts w:hint="eastAsia"/>
        </w:rPr>
        <w:t>梁</w:t>
      </w:r>
      <w:r>
        <w:t>外端应设截面高度不大于悬挑梁腹板高度的双向型钢，与相邻悬挑梁采用坡口焊接的形式可靠连接。</w:t>
      </w:r>
    </w:p>
    <w:p>
      <w:pPr>
        <w:pStyle w:val="188"/>
        <w:ind w:left="0"/>
      </w:pPr>
      <w:r>
        <w:t>悬挑</w:t>
      </w:r>
      <w:r>
        <w:rPr>
          <w:rFonts w:hint="eastAsia"/>
        </w:rPr>
        <w:t>梁</w:t>
      </w:r>
      <w:r>
        <w:t>宜采用双轴对称组合截面热轧型钢</w:t>
      </w:r>
      <w:r>
        <w:rPr>
          <w:rFonts w:hint="eastAsia"/>
        </w:rPr>
        <w:t>，</w:t>
      </w:r>
      <w:r>
        <w:t>当采用</w:t>
      </w:r>
      <w:r>
        <w:rPr>
          <w:rFonts w:hint="eastAsia"/>
        </w:rPr>
        <w:t>“I”</w:t>
      </w:r>
      <w:r>
        <w:t>字形截面型钢时</w:t>
      </w:r>
      <w:r>
        <w:rPr>
          <w:rFonts w:hint="eastAsia"/>
        </w:rPr>
        <w:t>，</w:t>
      </w:r>
      <w:r>
        <w:t>其截面高度不应小于160</w:t>
      </w:r>
      <w:r>
        <w:rPr>
          <w:rFonts w:hint="eastAsia"/>
        </w:rPr>
        <w:t>mm</w:t>
      </w:r>
      <w:r>
        <w:t>。</w:t>
      </w:r>
    </w:p>
    <w:p>
      <w:pPr>
        <w:pStyle w:val="188"/>
        <w:ind w:left="0"/>
      </w:pPr>
      <w:r>
        <w:rPr>
          <w:rFonts w:hint="eastAsia"/>
        </w:rPr>
        <w:t>根据</w:t>
      </w:r>
      <w:r>
        <w:t>悬挑</w:t>
      </w:r>
      <w:r>
        <w:rPr>
          <w:rFonts w:hint="eastAsia"/>
        </w:rPr>
        <w:t>梁锚固形式，悬挑梁构造分为楼板锚固形式和侧墙锚固形式。</w:t>
      </w:r>
    </w:p>
    <w:p>
      <w:pPr>
        <w:pStyle w:val="188"/>
        <w:ind w:left="0"/>
      </w:pPr>
      <w:r>
        <w:rPr>
          <w:rFonts w:hint="eastAsia"/>
        </w:rPr>
        <w:t>楼板锚固形式可分为埋入型钢筋锚固式和穿板型螺栓锚固式，如图1a和1b所示。采用楼板锚固形式时，</w:t>
      </w:r>
      <w:r>
        <w:t>悬挑</w:t>
      </w:r>
      <w:r>
        <w:rPr>
          <w:rFonts w:hint="eastAsia"/>
        </w:rPr>
        <w:t>梁</w:t>
      </w:r>
      <w:r>
        <w:t>尾端锚固不宜少于两道</w:t>
      </w:r>
      <w:r>
        <w:rPr>
          <w:rFonts w:hint="eastAsia"/>
        </w:rPr>
        <w:t>；</w:t>
      </w:r>
      <w:r>
        <w:t>锚固件距离悬挑梁尾部不宜小于200mm,两道锚固件间距宜为150</w:t>
      </w:r>
      <w:r>
        <w:rPr>
          <w:rFonts w:hint="eastAsia" w:ascii="微软雅黑" w:hAnsi="微软雅黑" w:eastAsia="微软雅黑" w:cs="微软雅黑"/>
        </w:rPr>
        <w:t>〜</w:t>
      </w:r>
      <w:r>
        <w:t>200mm</w:t>
      </w:r>
      <w:r>
        <w:rPr>
          <w:rFonts w:hint="eastAsia"/>
        </w:rPr>
        <w:t>；</w:t>
      </w:r>
      <w:r>
        <w:t>脚手架最外排立杆与悬挑</w:t>
      </w:r>
      <w:r>
        <w:rPr>
          <w:rFonts w:hint="eastAsia"/>
        </w:rPr>
        <w:t>梁</w:t>
      </w:r>
      <w:r>
        <w:t>端部距离不宜小于100mm</w:t>
      </w:r>
      <w:r>
        <w:rPr>
          <w:rFonts w:hint="eastAsia"/>
        </w:rPr>
        <w:t>；</w:t>
      </w:r>
      <w:r>
        <w:t>悬挑梁悬挑段长度</w:t>
      </w:r>
      <w:r>
        <w:rPr>
          <w:rFonts w:hint="eastAsia"/>
        </w:rPr>
        <w:t>L</w:t>
      </w:r>
      <w:r>
        <w:t>c</w:t>
      </w:r>
      <w:r>
        <w:rPr>
          <w:rFonts w:hint="eastAsia"/>
        </w:rPr>
        <w:t>不宜大于2.5</w:t>
      </w:r>
      <w:r>
        <w:t>m</w:t>
      </w:r>
      <w:r>
        <w:rPr>
          <w:rFonts w:hint="eastAsia"/>
        </w:rPr>
        <w:t>，不应小于悬挑段长度的1.25倍；</w:t>
      </w:r>
    </w:p>
    <w:p>
      <w:pPr>
        <w:pStyle w:val="188"/>
        <w:ind w:left="0"/>
      </w:pPr>
      <w:r>
        <w:rPr>
          <w:rFonts w:hint="eastAsia"/>
        </w:rPr>
        <w:t>侧墙锚固形式可分为穿墙型螺栓锚固式和侧埋型螺栓锚固式，如图1c和1d所示。采用侧墙锚固形式时，</w:t>
      </w:r>
      <w:r>
        <w:t>脚手架最外排立杆与悬挑梁端部距离不宜小于100mm</w:t>
      </w:r>
      <w:r>
        <w:rPr>
          <w:rFonts w:hint="eastAsia"/>
        </w:rPr>
        <w:t>；</w:t>
      </w:r>
      <w:r>
        <w:t>悬挑梁悬挑段长度</w:t>
      </w:r>
      <w:r>
        <w:rPr>
          <w:rFonts w:hint="eastAsia"/>
        </w:rPr>
        <w:t>L</w:t>
      </w:r>
      <w:r>
        <w:t>c</w:t>
      </w:r>
      <w:r>
        <w:rPr>
          <w:rFonts w:hint="eastAsia"/>
        </w:rPr>
        <w:t>不宜大于3</w:t>
      </w:r>
      <w:r>
        <w:t>m</w:t>
      </w:r>
      <w:r>
        <w:rPr>
          <w:rFonts w:hint="eastAsia"/>
        </w:rPr>
        <w:t>。</w:t>
      </w:r>
    </w:p>
    <w:p>
      <w:pPr>
        <w:pStyle w:val="253"/>
        <w:jc w:val="center"/>
      </w:pPr>
      <w:r>
        <w:rPr>
          <w:rFonts w:hint="eastAsia"/>
        </w:rPr>
        <w:drawing>
          <wp:inline distT="0" distB="0" distL="0" distR="0">
            <wp:extent cx="4635500" cy="2120265"/>
            <wp:effectExtent l="0" t="0" r="0" b="0"/>
            <wp:docPr id="1" name="图片 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88"/>
                    <pic:cNvPicPr>
                      <a:picLocks noChangeAspect="true" noChangeArrowheads="true"/>
                    </pic:cNvPicPr>
                  </pic:nvPicPr>
                  <pic:blipFill>
                    <a:blip r:embed="rId16"/>
                    <a:srcRect l="22327" t="19026" r="21211" b="20061"/>
                    <a:stretch>
                      <a:fillRect/>
                    </a:stretch>
                  </pic:blipFill>
                  <pic:spPr>
                    <a:xfrm>
                      <a:off x="0" y="0"/>
                      <a:ext cx="4639012" cy="2121821"/>
                    </a:xfrm>
                    <a:prstGeom prst="rect">
                      <a:avLst/>
                    </a:prstGeom>
                    <a:noFill/>
                    <a:ln w="9525">
                      <a:noFill/>
                      <a:miter lim="800000"/>
                      <a:headEnd/>
                      <a:tailEnd/>
                    </a:ln>
                  </pic:spPr>
                </pic:pic>
              </a:graphicData>
            </a:graphic>
          </wp:inline>
        </w:drawing>
      </w:r>
    </w:p>
    <w:p>
      <w:pPr>
        <w:pStyle w:val="253"/>
        <w:jc w:val="center"/>
      </w:pPr>
      <w:r>
        <w:rPr>
          <w:rFonts w:hint="eastAsia"/>
        </w:rPr>
        <w:t>a 埋入型钢筋锚固式</w:t>
      </w:r>
    </w:p>
    <w:p>
      <w:pPr>
        <w:pStyle w:val="253"/>
        <w:jc w:val="center"/>
      </w:pPr>
      <w:r>
        <w:rPr>
          <w:rFonts w:hint="eastAsia"/>
        </w:rPr>
        <w:drawing>
          <wp:inline distT="0" distB="0" distL="0" distR="0">
            <wp:extent cx="4540250" cy="2313305"/>
            <wp:effectExtent l="0" t="0" r="0" b="0"/>
            <wp:docPr id="2" name="图片 9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91"/>
                    <pic:cNvPicPr>
                      <a:picLocks noChangeAspect="true" noChangeArrowheads="true"/>
                    </pic:cNvPicPr>
                  </pic:nvPicPr>
                  <pic:blipFill>
                    <a:blip r:embed="rId17"/>
                    <a:srcRect l="29712" t="21373" r="36906" b="38429"/>
                    <a:stretch>
                      <a:fillRect/>
                    </a:stretch>
                  </pic:blipFill>
                  <pic:spPr>
                    <a:xfrm>
                      <a:off x="0" y="0"/>
                      <a:ext cx="4546359" cy="2316894"/>
                    </a:xfrm>
                    <a:prstGeom prst="rect">
                      <a:avLst/>
                    </a:prstGeom>
                    <a:noFill/>
                    <a:ln w="9525">
                      <a:noFill/>
                      <a:miter lim="800000"/>
                      <a:headEnd/>
                      <a:tailEnd/>
                    </a:ln>
                  </pic:spPr>
                </pic:pic>
              </a:graphicData>
            </a:graphic>
          </wp:inline>
        </w:drawing>
      </w:r>
    </w:p>
    <w:p>
      <w:pPr>
        <w:pStyle w:val="253"/>
        <w:jc w:val="center"/>
      </w:pPr>
      <w:r>
        <w:rPr>
          <w:rFonts w:hint="eastAsia"/>
        </w:rPr>
        <w:t>b 穿板型螺栓锚固式</w:t>
      </w:r>
    </w:p>
    <w:p>
      <w:pPr>
        <w:pStyle w:val="253"/>
        <w:ind w:firstLine="0" w:firstLineChars="0"/>
        <w:jc w:val="center"/>
      </w:pPr>
      <w:r>
        <w:rPr>
          <w:rFonts w:hint="eastAsia"/>
        </w:rPr>
        <w:drawing>
          <wp:inline distT="0" distB="0" distL="0" distR="0">
            <wp:extent cx="5702300" cy="1898650"/>
            <wp:effectExtent l="0" t="0" r="0" b="0"/>
            <wp:docPr id="11" name="图片 1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06"/>
                    <pic:cNvPicPr>
                      <a:picLocks noChangeAspect="true" noChangeArrowheads="true"/>
                    </pic:cNvPicPr>
                  </pic:nvPicPr>
                  <pic:blipFill>
                    <a:blip r:embed="rId18"/>
                    <a:srcRect l="22969" t="40732" r="23056" b="17036"/>
                    <a:stretch>
                      <a:fillRect/>
                    </a:stretch>
                  </pic:blipFill>
                  <pic:spPr>
                    <a:xfrm>
                      <a:off x="0" y="0"/>
                      <a:ext cx="5702300" cy="1898664"/>
                    </a:xfrm>
                    <a:prstGeom prst="rect">
                      <a:avLst/>
                    </a:prstGeom>
                    <a:noFill/>
                    <a:ln w="9525">
                      <a:noFill/>
                      <a:miter lim="800000"/>
                      <a:headEnd/>
                      <a:tailEnd/>
                    </a:ln>
                  </pic:spPr>
                </pic:pic>
              </a:graphicData>
            </a:graphic>
          </wp:inline>
        </w:drawing>
      </w:r>
    </w:p>
    <w:p>
      <w:pPr>
        <w:pStyle w:val="253"/>
        <w:jc w:val="center"/>
      </w:pPr>
      <w:r>
        <w:rPr>
          <w:rFonts w:hint="eastAsia"/>
        </w:rPr>
        <w:t>c 穿墙型螺栓锚固式</w:t>
      </w:r>
    </w:p>
    <w:p>
      <w:pPr>
        <w:pStyle w:val="253"/>
        <w:ind w:firstLine="0" w:firstLineChars="0"/>
        <w:jc w:val="center"/>
      </w:pPr>
      <w:r>
        <w:drawing>
          <wp:inline distT="0" distB="0" distL="0" distR="0">
            <wp:extent cx="5670550" cy="1951990"/>
            <wp:effectExtent l="0" t="0" r="0" b="0"/>
            <wp:docPr id="4"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true" noChangeArrowheads="true"/>
                    </pic:cNvPicPr>
                  </pic:nvPicPr>
                  <pic:blipFill>
                    <a:blip r:embed="rId19"/>
                    <a:srcRect l="24468" t="25102" r="30509" b="38320"/>
                    <a:stretch>
                      <a:fillRect/>
                    </a:stretch>
                  </pic:blipFill>
                  <pic:spPr>
                    <a:xfrm>
                      <a:off x="0" y="0"/>
                      <a:ext cx="5672976" cy="1953233"/>
                    </a:xfrm>
                    <a:prstGeom prst="rect">
                      <a:avLst/>
                    </a:prstGeom>
                    <a:noFill/>
                    <a:ln w="9525">
                      <a:noFill/>
                      <a:miter lim="800000"/>
                      <a:headEnd/>
                      <a:tailEnd/>
                    </a:ln>
                  </pic:spPr>
                </pic:pic>
              </a:graphicData>
            </a:graphic>
          </wp:inline>
        </w:drawing>
      </w:r>
    </w:p>
    <w:p>
      <w:pPr>
        <w:pStyle w:val="253"/>
        <w:jc w:val="center"/>
      </w:pPr>
      <w:r>
        <w:rPr>
          <w:rFonts w:hint="eastAsia"/>
        </w:rPr>
        <w:t>d 侧埋型螺栓锚固式</w:t>
      </w:r>
    </w:p>
    <w:p>
      <w:pPr>
        <w:pStyle w:val="137"/>
        <w:spacing w:before="156" w:after="156"/>
        <w:ind w:left="0"/>
      </w:pPr>
      <w:r>
        <w:rPr>
          <w:rFonts w:hint="eastAsia"/>
        </w:rPr>
        <w:t>悬挑梁构造图</w:t>
      </w:r>
    </w:p>
    <w:p>
      <w:pPr>
        <w:pStyle w:val="188"/>
        <w:ind w:left="0"/>
      </w:pPr>
      <w:r>
        <w:rPr>
          <w:rFonts w:hint="eastAsia"/>
        </w:rPr>
        <w:t>悬挑承力架构造应由设计确定。悬挑梁悬挑长度不大于1800mm时悬挑承力架宜设计为纯悬挑结构，端部宜设置一根吊拉钢丝绳作为辅助安全构造；悬挑梁悬挑长度大于1800mm时，悬挑承力架宜设计为斜拉或斜撑的三角式结构，悬挑梁端部集中力作用处应设置斜拉杆件（或斜撑杆件）外，悬挑梁上宜另设置一根吊拉钢丝绳作为辅助安全构造。吊拉钢丝绳、斜拉杆件或斜撑杆件的水平夹角应不小于45°。</w:t>
      </w:r>
    </w:p>
    <w:p>
      <w:pPr>
        <w:pStyle w:val="188"/>
        <w:ind w:left="0"/>
      </w:pPr>
      <w:r>
        <w:rPr>
          <w:rFonts w:hint="eastAsia"/>
        </w:rPr>
        <w:t>采用楼板锚固形式时，</w:t>
      </w:r>
      <w:r>
        <w:t>用于锚固悬挑梁的楼板厚度不</w:t>
      </w:r>
      <w:r>
        <w:rPr>
          <w:rFonts w:hint="eastAsia"/>
        </w:rPr>
        <w:t>宜</w:t>
      </w:r>
      <w:r>
        <w:t>小于1</w:t>
      </w:r>
      <w:r>
        <w:rPr>
          <w:rFonts w:hint="eastAsia"/>
        </w:rPr>
        <w:t>2</w:t>
      </w:r>
      <w:r>
        <w:t>0mm</w:t>
      </w:r>
      <w:r>
        <w:rPr>
          <w:rFonts w:hint="eastAsia"/>
        </w:rPr>
        <w:t>。</w:t>
      </w:r>
      <w:r>
        <w:t>当锚固位</w:t>
      </w:r>
      <w:r>
        <w:rPr>
          <w:rFonts w:hint="eastAsia"/>
        </w:rPr>
        <w:t>置楼板厚度不小于120mm时，宜采取</w:t>
      </w:r>
      <w:r>
        <w:t>埋</w:t>
      </w:r>
      <w:r>
        <w:rPr>
          <w:rFonts w:hint="eastAsia"/>
        </w:rPr>
        <w:t>入</w:t>
      </w:r>
      <w:r>
        <w:t>型钢筋锚固；当锚固位置楼板厚度</w:t>
      </w:r>
      <w:r>
        <w:rPr>
          <w:rFonts w:hint="eastAsia"/>
        </w:rPr>
        <w:t>小于</w:t>
      </w:r>
      <w:r>
        <w:t>1</w:t>
      </w:r>
      <w:r>
        <w:rPr>
          <w:rFonts w:hint="eastAsia"/>
        </w:rPr>
        <w:t>2</w:t>
      </w:r>
      <w:r>
        <w:t>0mm时，宜采用穿板型螺栓锚固</w:t>
      </w:r>
      <w:r>
        <w:rPr>
          <w:rFonts w:hint="eastAsia"/>
        </w:rPr>
        <w:t>。</w:t>
      </w:r>
      <w:r>
        <w:t>锚固构造应分别符合下列要求</w:t>
      </w:r>
      <w:r>
        <w:rPr>
          <w:rFonts w:hint="eastAsia"/>
        </w:rPr>
        <w:t>：</w:t>
      </w:r>
    </w:p>
    <w:p>
      <w:pPr>
        <w:pStyle w:val="79"/>
        <w:ind w:firstLine="420"/>
      </w:pPr>
      <w:r>
        <w:rPr>
          <w:rFonts w:hint="eastAsia"/>
        </w:rPr>
        <w:t>a）</w:t>
      </w:r>
      <w:r>
        <w:t>埋入型</w:t>
      </w:r>
      <w:r>
        <w:rPr>
          <w:rFonts w:hint="eastAsia"/>
        </w:rPr>
        <w:t>钢筋</w:t>
      </w:r>
      <w:r>
        <w:t>锚固</w:t>
      </w:r>
      <w:r>
        <w:rPr>
          <w:rFonts w:hint="eastAsia"/>
        </w:rPr>
        <w:t>式，钢筋</w:t>
      </w:r>
      <w:r>
        <w:t>应伸入主体结构钢筋骨架（或钢筋网）内，其直径不应小于16 mm,锚固长度应符合GB 50010中钢筋锚固的规定</w:t>
      </w:r>
      <w:r>
        <w:rPr>
          <w:rFonts w:hint="eastAsia"/>
        </w:rPr>
        <w:t>，如图2所示</w:t>
      </w:r>
      <w:r>
        <w:t>。</w:t>
      </w:r>
    </w:p>
    <w:p>
      <w:pPr>
        <w:pStyle w:val="197"/>
        <w:numPr>
          <w:ilvl w:val="0"/>
          <w:numId w:val="0"/>
        </w:numPr>
        <w:jc w:val="center"/>
      </w:pPr>
      <w:r>
        <w:drawing>
          <wp:inline distT="0" distB="0" distL="0" distR="0">
            <wp:extent cx="3064510" cy="1309370"/>
            <wp:effectExtent l="0" t="0" r="0" b="0"/>
            <wp:docPr id="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true" noChangeArrowheads="true"/>
                    </pic:cNvPicPr>
                  </pic:nvPicPr>
                  <pic:blipFill>
                    <a:blip r:embed="rId20"/>
                    <a:srcRect l="43921" t="55838" r="36442" b="24366"/>
                    <a:stretch>
                      <a:fillRect/>
                    </a:stretch>
                  </pic:blipFill>
                  <pic:spPr>
                    <a:xfrm>
                      <a:off x="0" y="0"/>
                      <a:ext cx="3073099" cy="1313600"/>
                    </a:xfrm>
                    <a:prstGeom prst="rect">
                      <a:avLst/>
                    </a:prstGeom>
                    <a:noFill/>
                    <a:ln w="9525">
                      <a:noFill/>
                      <a:miter lim="800000"/>
                      <a:headEnd/>
                      <a:tailEnd/>
                    </a:ln>
                  </pic:spPr>
                </pic:pic>
              </a:graphicData>
            </a:graphic>
          </wp:inline>
        </w:drawing>
      </w:r>
    </w:p>
    <w:p>
      <w:pPr>
        <w:pStyle w:val="137"/>
        <w:spacing w:before="156" w:after="156"/>
        <w:ind w:left="0"/>
      </w:pPr>
      <w:r>
        <w:rPr>
          <w:rFonts w:hint="eastAsia"/>
        </w:rPr>
        <w:t>埋入型钢筋锚固式节点构造图</w:t>
      </w:r>
    </w:p>
    <w:p>
      <w:pPr>
        <w:pStyle w:val="79"/>
        <w:ind w:firstLine="420"/>
      </w:pPr>
      <w:r>
        <w:rPr>
          <w:rFonts w:hint="eastAsia"/>
        </w:rPr>
        <w:t>b）</w:t>
      </w:r>
      <w:r>
        <w:t>穿板型螺栓锚固</w:t>
      </w:r>
      <w:r>
        <w:rPr>
          <w:rFonts w:hint="eastAsia"/>
        </w:rPr>
        <w:t>式，</w:t>
      </w:r>
      <w:r>
        <w:t>应在楼板对应位置预留孔洞。下方垫板尺寸应根据悬挑梁的尺寸确定，厚度不宜小于5 mm ；锚固螺栓直径不宜小于18mm；上方覆压构件宜采用等边角钢，且截面不宜小于</w:t>
      </w:r>
      <w:r>
        <w:rPr>
          <w:rFonts w:hint="eastAsia" w:hAnsi="宋体"/>
        </w:rPr>
        <w:t>└</w:t>
      </w:r>
      <w:r>
        <w:rPr>
          <w:rFonts w:hint="eastAsia"/>
        </w:rPr>
        <w:t>63</w:t>
      </w:r>
      <w:r>
        <w:t>mm</w:t>
      </w:r>
      <w:r>
        <w:rPr>
          <w:rFonts w:hint="eastAsia" w:hAnsi="宋体"/>
        </w:rPr>
        <w:t>×</w:t>
      </w:r>
      <w:r>
        <w:t>6 mm</w:t>
      </w:r>
      <w:r>
        <w:rPr>
          <w:rFonts w:hint="eastAsia"/>
        </w:rPr>
        <w:t>，如图3所示。</w:t>
      </w:r>
      <w:r>
        <w:t>在悬挑式脚手架拆除完</w:t>
      </w:r>
      <w:r>
        <w:rPr>
          <w:rFonts w:hint="eastAsia"/>
        </w:rPr>
        <w:t>成后，楼板孔洞</w:t>
      </w:r>
      <w:r>
        <w:t>应用膨胀</w:t>
      </w:r>
      <w:r>
        <w:rPr>
          <w:rFonts w:hint="eastAsia"/>
        </w:rPr>
        <w:t>水泥</w:t>
      </w:r>
      <w:r>
        <w:t>砂浆填实</w:t>
      </w:r>
      <w:r>
        <w:rPr>
          <w:rFonts w:hint="eastAsia"/>
        </w:rPr>
        <w:t>。</w:t>
      </w:r>
    </w:p>
    <w:p>
      <w:pPr>
        <w:pStyle w:val="260"/>
        <w:spacing w:before="156" w:after="156"/>
        <w:ind w:left="839" w:hanging="419"/>
        <w:jc w:val="center"/>
      </w:pPr>
      <w:r>
        <w:drawing>
          <wp:inline distT="0" distB="0" distL="0" distR="0">
            <wp:extent cx="2950210" cy="1470660"/>
            <wp:effectExtent l="0" t="0" r="2479" b="0"/>
            <wp:docPr id="1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true" noChangeArrowheads="true"/>
                    </pic:cNvPicPr>
                  </pic:nvPicPr>
                  <pic:blipFill>
                    <a:blip r:embed="rId21"/>
                    <a:srcRect l="56079" t="46612" r="11870" b="15740"/>
                    <a:stretch>
                      <a:fillRect/>
                    </a:stretch>
                  </pic:blipFill>
                  <pic:spPr>
                    <a:xfrm>
                      <a:off x="0" y="0"/>
                      <a:ext cx="2956207" cy="1473718"/>
                    </a:xfrm>
                    <a:prstGeom prst="rect">
                      <a:avLst/>
                    </a:prstGeom>
                    <a:noFill/>
                    <a:ln w="9525">
                      <a:noFill/>
                      <a:miter lim="800000"/>
                      <a:headEnd/>
                      <a:tailEnd/>
                    </a:ln>
                  </pic:spPr>
                </pic:pic>
              </a:graphicData>
            </a:graphic>
          </wp:inline>
        </w:drawing>
      </w:r>
    </w:p>
    <w:p>
      <w:pPr>
        <w:pStyle w:val="261"/>
        <w:numPr>
          <w:ilvl w:val="0"/>
          <w:numId w:val="26"/>
        </w:numPr>
        <w:ind w:left="930" w:hanging="363"/>
        <w:rPr>
          <w:rFonts w:hAnsi="宋体"/>
          <w:sz w:val="21"/>
          <w:szCs w:val="21"/>
        </w:rPr>
      </w:pPr>
      <w:r>
        <w:rPr>
          <w:rStyle w:val="259"/>
          <w:rFonts w:hint="default" w:ascii="宋体" w:hAnsi="宋体" w:eastAsia="宋体"/>
          <w:sz w:val="21"/>
          <w:szCs w:val="21"/>
        </w:rPr>
        <w:t>两根螺杆间距应略大于悬挑工字钢或槽钢宽度;螺杆距离钢板边缘不应小于25mm。</w:t>
      </w:r>
    </w:p>
    <w:p>
      <w:pPr>
        <w:pStyle w:val="137"/>
        <w:spacing w:before="156" w:after="156"/>
        <w:ind w:left="0"/>
      </w:pPr>
      <w:r>
        <w:rPr>
          <w:rFonts w:hint="eastAsia"/>
        </w:rPr>
        <w:t>穿板型螺栓锚固式节点构造图</w:t>
      </w:r>
    </w:p>
    <w:p>
      <w:pPr>
        <w:pStyle w:val="188"/>
        <w:ind w:left="0"/>
      </w:pPr>
      <w:r>
        <w:rPr>
          <w:rFonts w:hint="eastAsia"/>
        </w:rPr>
        <w:t>采用侧墙锚固形式时，</w:t>
      </w:r>
      <w:r>
        <w:t>用于锚固悬挑梁的</w:t>
      </w:r>
      <w:r>
        <w:rPr>
          <w:rFonts w:hint="eastAsia"/>
        </w:rPr>
        <w:t>钢筋混凝土结构墙体</w:t>
      </w:r>
      <w:r>
        <w:t>厚度</w:t>
      </w:r>
      <w:r>
        <w:rPr>
          <w:rFonts w:hint="eastAsia"/>
        </w:rPr>
        <w:t>（或边梁宽度）</w:t>
      </w:r>
      <w:r>
        <w:t>不</w:t>
      </w:r>
      <w:r>
        <w:rPr>
          <w:rFonts w:hint="eastAsia"/>
        </w:rPr>
        <w:t>宜</w:t>
      </w:r>
      <w:r>
        <w:t>小于</w:t>
      </w:r>
      <w:r>
        <w:rPr>
          <w:rFonts w:hint="eastAsia"/>
        </w:rPr>
        <w:t>18</w:t>
      </w:r>
      <w:r>
        <w:t>0mm</w:t>
      </w:r>
      <w:r>
        <w:rPr>
          <w:rFonts w:hint="eastAsia"/>
        </w:rPr>
        <w:t>。</w:t>
      </w:r>
      <w:r>
        <w:t>锚固构造应分别符合下列要求</w:t>
      </w:r>
      <w:r>
        <w:rPr>
          <w:rFonts w:hint="eastAsia"/>
        </w:rPr>
        <w:t>：</w:t>
      </w:r>
    </w:p>
    <w:p>
      <w:pPr>
        <w:pStyle w:val="79"/>
        <w:ind w:firstLine="420"/>
      </w:pPr>
      <w:r>
        <w:rPr>
          <w:rFonts w:hint="eastAsia"/>
        </w:rPr>
        <w:t>a）穿墙螺栓</w:t>
      </w:r>
      <w:r>
        <w:t>直径不</w:t>
      </w:r>
      <w:r>
        <w:rPr>
          <w:rFonts w:hint="eastAsia"/>
        </w:rPr>
        <w:t>宜</w:t>
      </w:r>
      <w:r>
        <w:t>小于1</w:t>
      </w:r>
      <w:r>
        <w:rPr>
          <w:rFonts w:hint="eastAsia"/>
        </w:rPr>
        <w:t>8</w:t>
      </w:r>
      <w:r>
        <w:t>mm,</w:t>
      </w:r>
      <w:r>
        <w:rPr>
          <w:rFonts w:hint="eastAsia"/>
        </w:rPr>
        <w:t>且</w:t>
      </w:r>
      <w:r>
        <w:t>应符合</w:t>
      </w:r>
      <w:r>
        <w:rPr>
          <w:rFonts w:hint="eastAsia"/>
        </w:rPr>
        <w:t>悬挑梁设计要求</w:t>
      </w:r>
      <w:r>
        <w:t>。</w:t>
      </w:r>
    </w:p>
    <w:p>
      <w:pPr>
        <w:pStyle w:val="79"/>
        <w:ind w:firstLine="420"/>
      </w:pPr>
      <w:r>
        <w:rPr>
          <w:rFonts w:hint="eastAsia"/>
        </w:rPr>
        <w:t>b）预埋螺栓采用高强螺栓时不宜小于M16，且</w:t>
      </w:r>
      <w:r>
        <w:t>应符合</w:t>
      </w:r>
      <w:r>
        <w:rPr>
          <w:rFonts w:hint="eastAsia"/>
        </w:rPr>
        <w:t>悬挑梁设计要求。</w:t>
      </w:r>
    </w:p>
    <w:p>
      <w:pPr>
        <w:pStyle w:val="79"/>
        <w:ind w:firstLine="420"/>
      </w:pPr>
      <w:r>
        <w:rPr>
          <w:rFonts w:hint="eastAsia"/>
        </w:rPr>
        <w:t>c） 单根悬挑梁的螺栓数量不应少于2根，螺栓应设置双螺母，螺杆露出螺母长度应不少于3扣和10mm。</w:t>
      </w:r>
    </w:p>
    <w:p>
      <w:pPr>
        <w:pStyle w:val="79"/>
        <w:ind w:firstLine="420"/>
      </w:pPr>
      <w:r>
        <w:rPr>
          <w:rFonts w:hint="eastAsia"/>
        </w:rPr>
        <w:t>d）</w:t>
      </w:r>
      <w:r>
        <w:t>悬挑式脚手架拆除完</w:t>
      </w:r>
      <w:r>
        <w:rPr>
          <w:rFonts w:hint="eastAsia"/>
        </w:rPr>
        <w:t>成后，</w:t>
      </w:r>
      <w:r>
        <w:t>应用</w:t>
      </w:r>
      <w:r>
        <w:rPr>
          <w:rFonts w:hint="eastAsia"/>
        </w:rPr>
        <w:t>防水材料</w:t>
      </w:r>
      <w:r>
        <w:t>填实</w:t>
      </w:r>
      <w:r>
        <w:rPr>
          <w:rFonts w:hint="eastAsia"/>
        </w:rPr>
        <w:t>穿墙</w:t>
      </w:r>
      <w:r>
        <w:t>孔洞</w:t>
      </w:r>
      <w:r>
        <w:rPr>
          <w:rFonts w:hint="eastAsia"/>
        </w:rPr>
        <w:t>或用膨胀水泥砂浆</w:t>
      </w:r>
      <w:r>
        <w:t>填实</w:t>
      </w:r>
      <w:r>
        <w:rPr>
          <w:rFonts w:hint="eastAsia"/>
        </w:rPr>
        <w:t>预留</w:t>
      </w:r>
      <w:r>
        <w:t>孔洞</w:t>
      </w:r>
      <w:r>
        <w:rPr>
          <w:rFonts w:hint="eastAsia"/>
        </w:rPr>
        <w:t>。</w:t>
      </w:r>
    </w:p>
    <w:p>
      <w:pPr>
        <w:pStyle w:val="188"/>
        <w:rPr>
          <w:rStyle w:val="259"/>
          <w:rFonts w:hint="default" w:ascii="宋体" w:hAnsi="宋体" w:eastAsia="宋体"/>
          <w:sz w:val="21"/>
          <w:szCs w:val="21"/>
        </w:rPr>
      </w:pPr>
      <w:r>
        <w:rPr>
          <w:rStyle w:val="259"/>
          <w:rFonts w:hint="default" w:ascii="宋体" w:hAnsi="宋体" w:eastAsia="宋体"/>
          <w:sz w:val="21"/>
          <w:szCs w:val="21"/>
        </w:rPr>
        <w:t>悬挑梁与斜拉杆件或斜撑杆件的连接应采用铰接。</w:t>
      </w:r>
      <w:r>
        <w:rPr>
          <w:rStyle w:val="259"/>
          <w:rFonts w:hint="default" w:hAnsi="宋体"/>
          <w:sz w:val="21"/>
          <w:szCs w:val="21"/>
        </w:rPr>
        <w:t>（补充构造示意图）</w:t>
      </w:r>
    </w:p>
    <w:p>
      <w:pPr>
        <w:pStyle w:val="188"/>
        <w:rPr>
          <w:rStyle w:val="259"/>
          <w:rFonts w:hint="default" w:ascii="宋体" w:hAnsi="Times New Roman" w:eastAsia="宋体"/>
          <w:sz w:val="21"/>
          <w:szCs w:val="20"/>
        </w:rPr>
      </w:pPr>
      <w:r>
        <w:rPr>
          <w:rStyle w:val="259"/>
          <w:rFonts w:hint="default" w:ascii="宋体" w:hAnsi="宋体" w:eastAsia="宋体"/>
          <w:sz w:val="21"/>
          <w:szCs w:val="21"/>
        </w:rPr>
        <w:t>悬挑梁上应设置立杆定位件，其直径不应小于25mm、长度不应小于100mm，定位件应与悬挑梁可靠连接。</w:t>
      </w:r>
    </w:p>
    <w:p>
      <w:pPr>
        <w:pStyle w:val="188"/>
        <w:ind w:left="0"/>
      </w:pPr>
      <w:r>
        <w:rPr>
          <w:rFonts w:hint="eastAsia"/>
        </w:rPr>
        <w:t>采用楼板锚固形式时，</w:t>
      </w:r>
      <w:r>
        <w:t>建筑转角处悬挑</w:t>
      </w:r>
      <w:r>
        <w:rPr>
          <w:rFonts w:hint="eastAsia"/>
        </w:rPr>
        <w:t>承力架</w:t>
      </w:r>
      <w:r>
        <w:t>构造做法</w:t>
      </w:r>
      <w:r>
        <w:rPr>
          <w:rFonts w:hint="eastAsia"/>
        </w:rPr>
        <w:t>如图4所示，</w:t>
      </w:r>
      <w:r>
        <w:t>宜符合下列规定</w:t>
      </w:r>
      <w:r>
        <w:rPr>
          <w:rFonts w:hint="eastAsia"/>
        </w:rPr>
        <w:t>：</w:t>
      </w:r>
    </w:p>
    <w:p>
      <w:pPr>
        <w:pStyle w:val="79"/>
        <w:ind w:firstLine="420"/>
        <w:rPr>
          <w:rFonts w:hAnsi="宋体"/>
        </w:rPr>
      </w:pPr>
      <w:r>
        <w:rPr>
          <w:rFonts w:hint="eastAsia"/>
        </w:rPr>
        <w:t>a）</w:t>
      </w:r>
      <w:r>
        <w:rPr>
          <w:rFonts w:hAnsi="宋体"/>
        </w:rPr>
        <w:t>多根悬挑梁位置重叠时</w:t>
      </w:r>
      <w:r>
        <w:rPr>
          <w:rFonts w:hint="eastAsia" w:hAnsi="宋体"/>
        </w:rPr>
        <w:t>，</w:t>
      </w:r>
      <w:r>
        <w:rPr>
          <w:rFonts w:hAnsi="宋体"/>
        </w:rPr>
        <w:t>宜采用预制混凝土垫块可靠支承后相互跨越。</w:t>
      </w:r>
    </w:p>
    <w:p>
      <w:pPr>
        <w:pStyle w:val="79"/>
        <w:ind w:firstLine="420"/>
        <w:rPr>
          <w:rFonts w:hAnsi="宋体"/>
        </w:rPr>
      </w:pPr>
      <w:r>
        <w:rPr>
          <w:rFonts w:hint="eastAsia"/>
        </w:rPr>
        <w:t>b）</w:t>
      </w:r>
      <w:r>
        <w:rPr>
          <w:rFonts w:hAnsi="宋体"/>
        </w:rPr>
        <w:t>建筑物角部斜向悬挑梁端部应双向设置限位型钢</w:t>
      </w:r>
      <w:r>
        <w:rPr>
          <w:rFonts w:hint="eastAsia" w:hAnsi="宋体"/>
        </w:rPr>
        <w:t>，</w:t>
      </w:r>
      <w:r>
        <w:rPr>
          <w:rFonts w:hAnsi="宋体"/>
        </w:rPr>
        <w:t>限位型钢截面高度与悬挑梁腹板高度相等,且与悬挑梁腹板用坡口形式可靠焊接。</w:t>
      </w:r>
    </w:p>
    <w:p>
      <w:pPr>
        <w:pStyle w:val="79"/>
        <w:ind w:firstLine="420"/>
        <w:rPr>
          <w:rFonts w:hAnsi="宋体"/>
        </w:rPr>
      </w:pPr>
      <w:r>
        <w:rPr>
          <w:rFonts w:hint="eastAsia"/>
        </w:rPr>
        <w:t>c）</w:t>
      </w:r>
      <w:r>
        <w:rPr>
          <w:rFonts w:hAnsi="宋体"/>
        </w:rPr>
        <w:t>混凝土垫块厚度应与下层悬挑梁截面高度相同</w:t>
      </w:r>
      <w:r>
        <w:rPr>
          <w:rFonts w:hint="eastAsia" w:hAnsi="宋体"/>
        </w:rPr>
        <w:t>，</w:t>
      </w:r>
      <w:r>
        <w:rPr>
          <w:rFonts w:hAnsi="宋体"/>
        </w:rPr>
        <w:t>长度不宜小于400 mm</w:t>
      </w:r>
      <w:r>
        <w:rPr>
          <w:rFonts w:hint="eastAsia" w:hAnsi="宋体"/>
        </w:rPr>
        <w:t>，</w:t>
      </w:r>
      <w:r>
        <w:rPr>
          <w:rFonts w:hAnsi="宋体"/>
        </w:rPr>
        <w:t>宽度不宜小于400 mm</w:t>
      </w:r>
      <w:r>
        <w:rPr>
          <w:rFonts w:hint="eastAsia" w:hAnsi="宋体"/>
        </w:rPr>
        <w:t>，</w:t>
      </w:r>
      <w:r>
        <w:t>其混凝土强度等级不宜低于C30 级。</w:t>
      </w:r>
    </w:p>
    <w:p>
      <w:pPr>
        <w:pStyle w:val="79"/>
        <w:ind w:firstLine="420"/>
        <w:rPr>
          <w:rFonts w:hAnsi="宋体"/>
        </w:rPr>
      </w:pPr>
      <w:r>
        <w:rPr>
          <w:rFonts w:hint="eastAsia"/>
        </w:rPr>
        <w:t>d）</w:t>
      </w:r>
      <w:r>
        <w:t>不同梁的锚固螺栓，其螺孔最小间距不应小于500mm</w:t>
      </w:r>
      <w:r>
        <w:rPr>
          <w:rFonts w:hint="eastAsia"/>
        </w:rPr>
        <w:t>。</w:t>
      </w:r>
    </w:p>
    <w:p>
      <w:pPr>
        <w:pStyle w:val="79"/>
        <w:ind w:firstLine="0" w:firstLineChars="0"/>
        <w:jc w:val="center"/>
      </w:pPr>
      <w:r>
        <w:drawing>
          <wp:inline distT="0" distB="0" distL="0" distR="0">
            <wp:extent cx="2275205" cy="1934845"/>
            <wp:effectExtent l="0" t="0" r="0" b="0"/>
            <wp:docPr id="18"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true" noChangeArrowheads="true"/>
                    </pic:cNvPicPr>
                  </pic:nvPicPr>
                  <pic:blipFill>
                    <a:blip r:embed="rId22"/>
                    <a:srcRect l="56106" t="21401" r="22937" b="36576"/>
                    <a:stretch>
                      <a:fillRect/>
                    </a:stretch>
                  </pic:blipFill>
                  <pic:spPr>
                    <a:xfrm>
                      <a:off x="0" y="0"/>
                      <a:ext cx="2277193" cy="1936510"/>
                    </a:xfrm>
                    <a:prstGeom prst="rect">
                      <a:avLst/>
                    </a:prstGeom>
                    <a:noFill/>
                    <a:ln w="9525">
                      <a:noFill/>
                      <a:miter lim="800000"/>
                      <a:headEnd/>
                      <a:tailEnd/>
                    </a:ln>
                  </pic:spPr>
                </pic:pic>
              </a:graphicData>
            </a:graphic>
          </wp:inline>
        </w:drawing>
      </w:r>
    </w:p>
    <w:p>
      <w:pPr>
        <w:jc w:val="center"/>
      </w:pPr>
      <w:r>
        <w:rPr>
          <w:rFonts w:hint="eastAsia"/>
        </w:rPr>
        <w:t>(a)</w:t>
      </w:r>
    </w:p>
    <w:p>
      <w:pPr>
        <w:pStyle w:val="79"/>
        <w:ind w:firstLine="0" w:firstLineChars="0"/>
        <w:jc w:val="center"/>
      </w:pPr>
      <w:r>
        <w:drawing>
          <wp:inline distT="0" distB="0" distL="0" distR="0">
            <wp:extent cx="4028440" cy="1185545"/>
            <wp:effectExtent l="0" t="0" r="0" b="0"/>
            <wp:docPr id="15"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true" noChangeArrowheads="true"/>
                    </pic:cNvPicPr>
                  </pic:nvPicPr>
                  <pic:blipFill>
                    <a:blip r:embed="rId23"/>
                    <a:srcRect l="27055" t="25681" r="35447" b="48290"/>
                    <a:stretch>
                      <a:fillRect/>
                    </a:stretch>
                  </pic:blipFill>
                  <pic:spPr>
                    <a:xfrm>
                      <a:off x="0" y="0"/>
                      <a:ext cx="4027706" cy="1185690"/>
                    </a:xfrm>
                    <a:prstGeom prst="rect">
                      <a:avLst/>
                    </a:prstGeom>
                    <a:noFill/>
                    <a:ln w="9525">
                      <a:noFill/>
                      <a:miter lim="800000"/>
                      <a:headEnd/>
                      <a:tailEnd/>
                    </a:ln>
                  </pic:spPr>
                </pic:pic>
              </a:graphicData>
            </a:graphic>
          </wp:inline>
        </w:drawing>
      </w:r>
    </w:p>
    <w:p>
      <w:pPr>
        <w:jc w:val="center"/>
      </w:pPr>
      <w:r>
        <w:rPr>
          <w:rFonts w:hint="eastAsia"/>
        </w:rPr>
        <w:t>(b)</w:t>
      </w:r>
    </w:p>
    <w:p>
      <w:pPr>
        <w:pStyle w:val="137"/>
        <w:spacing w:before="156" w:after="156"/>
        <w:ind w:left="0"/>
      </w:pPr>
      <w:r>
        <w:rPr>
          <w:rFonts w:hint="eastAsia"/>
        </w:rPr>
        <w:t>悬挑梁重叠部位构造图</w:t>
      </w:r>
    </w:p>
    <w:p>
      <w:pPr>
        <w:pStyle w:val="188"/>
        <w:ind w:left="0"/>
      </w:pPr>
      <w:r>
        <w:rPr>
          <w:rFonts w:hint="eastAsia"/>
        </w:rPr>
        <w:t>当</w:t>
      </w:r>
      <w:r>
        <w:t>悬挑段设置于建筑物悬挑构件上方时，应在锚固段梁底设置钢垫板，数量不少于2块</w:t>
      </w:r>
      <w:r>
        <w:rPr>
          <w:rFonts w:hint="eastAsia"/>
        </w:rPr>
        <w:t>，</w:t>
      </w:r>
      <w:r>
        <w:t>将悬挑梁架空</w:t>
      </w:r>
      <w:r>
        <w:rPr>
          <w:rFonts w:hint="eastAsia"/>
        </w:rPr>
        <w:t>，</w:t>
      </w:r>
      <w:r>
        <w:t>其构造做法应符合图</w:t>
      </w:r>
      <w:r>
        <w:rPr>
          <w:rFonts w:hint="eastAsia"/>
        </w:rPr>
        <w:t>5</w:t>
      </w:r>
      <w:r>
        <w:t>的规定</w:t>
      </w:r>
      <w:r>
        <w:rPr>
          <w:rFonts w:hint="eastAsia"/>
        </w:rPr>
        <w:t>。</w:t>
      </w:r>
      <w:r>
        <w:t>锚固螺栓螺母拧紧力矩不应小于40N·m。钢垫板尺寸宜大于200mm</w:t>
      </w:r>
      <w:r>
        <w:rPr>
          <w:rFonts w:hint="eastAsia"/>
        </w:rPr>
        <w:t>×</w:t>
      </w:r>
      <w:r>
        <w:t>200mm</w:t>
      </w:r>
      <w:r>
        <w:rPr>
          <w:rFonts w:hint="eastAsia"/>
        </w:rPr>
        <w:t>×</w:t>
      </w:r>
      <w:r>
        <w:t>10mm</w:t>
      </w:r>
      <w:r>
        <w:rPr>
          <w:rFonts w:hint="eastAsia"/>
        </w:rPr>
        <w:t>。</w:t>
      </w:r>
    </w:p>
    <w:p>
      <w:pPr>
        <w:pStyle w:val="79"/>
        <w:ind w:firstLine="0" w:firstLineChars="0"/>
        <w:jc w:val="center"/>
      </w:pPr>
      <w:r>
        <w:drawing>
          <wp:inline distT="0" distB="0" distL="0" distR="0">
            <wp:extent cx="4123055" cy="1019175"/>
            <wp:effectExtent l="0" t="0" r="0" b="0"/>
            <wp:docPr id="20"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true" noChangeArrowheads="true"/>
                    </pic:cNvPicPr>
                  </pic:nvPicPr>
                  <pic:blipFill>
                    <a:blip r:embed="rId24"/>
                    <a:srcRect l="37459" t="30739" r="38944" b="55503"/>
                    <a:stretch>
                      <a:fillRect/>
                    </a:stretch>
                  </pic:blipFill>
                  <pic:spPr>
                    <a:xfrm>
                      <a:off x="0" y="0"/>
                      <a:ext cx="4132313" cy="1021727"/>
                    </a:xfrm>
                    <a:prstGeom prst="rect">
                      <a:avLst/>
                    </a:prstGeom>
                    <a:noFill/>
                    <a:ln w="9525">
                      <a:noFill/>
                      <a:miter lim="800000"/>
                      <a:headEnd/>
                      <a:tailEnd/>
                    </a:ln>
                  </pic:spPr>
                </pic:pic>
              </a:graphicData>
            </a:graphic>
          </wp:inline>
        </w:drawing>
      </w:r>
    </w:p>
    <w:p>
      <w:pPr>
        <w:pStyle w:val="137"/>
        <w:spacing w:before="156" w:after="156"/>
        <w:ind w:left="0"/>
      </w:pPr>
      <w:r>
        <w:rPr>
          <w:rFonts w:hint="eastAsia"/>
        </w:rPr>
        <w:t>悬挑板处型钢梁图</w:t>
      </w:r>
    </w:p>
    <w:p>
      <w:pPr>
        <w:pStyle w:val="188"/>
        <w:ind w:left="0"/>
      </w:pPr>
      <w:r>
        <w:rPr>
          <w:rFonts w:hint="eastAsia"/>
        </w:rPr>
        <w:t>采用侧墙锚固形式时，</w:t>
      </w:r>
      <w:r>
        <w:t>建筑转角处</w:t>
      </w:r>
      <w:r>
        <w:rPr>
          <w:rFonts w:hint="eastAsia"/>
        </w:rPr>
        <w:t>预埋螺栓</w:t>
      </w:r>
      <w:r>
        <w:t>位置</w:t>
      </w:r>
      <w:r>
        <w:rPr>
          <w:rFonts w:hint="eastAsia"/>
        </w:rPr>
        <w:t>应合理设计避免</w:t>
      </w:r>
      <w:r>
        <w:t>重叠。</w:t>
      </w:r>
    </w:p>
    <w:p>
      <w:pPr>
        <w:pStyle w:val="128"/>
        <w:spacing w:before="156" w:after="156"/>
      </w:pPr>
      <w:bookmarkStart w:id="65" w:name="_Toc106095429"/>
      <w:bookmarkStart w:id="66" w:name="_Toc106092161"/>
      <w:r>
        <w:rPr>
          <w:rFonts w:hint="eastAsia"/>
        </w:rPr>
        <w:t>吊拉钢丝绳构造</w:t>
      </w:r>
    </w:p>
    <w:p>
      <w:pPr>
        <w:pStyle w:val="188"/>
        <w:ind w:left="0"/>
      </w:pPr>
      <w:r>
        <w:rPr>
          <w:rFonts w:hint="eastAsia"/>
        </w:rPr>
        <w:t>吊拉钢丝绳直径不应小于14 mm，其规格宜为6×37。</w:t>
      </w:r>
    </w:p>
    <w:p>
      <w:pPr>
        <w:pStyle w:val="188"/>
        <w:ind w:left="0"/>
      </w:pPr>
      <w:r>
        <w:rPr>
          <w:rFonts w:hint="eastAsia"/>
        </w:rPr>
        <w:t>吊拉钢丝绳上端与主体结构连接位置应焊接U形钢筋拉环，下端与悬挑梁连接位置应焊接U形钢筋拉环或连接耳板。钢筋拉环直径不应小于16mm，连接耳板应焊接固定于悬挑钢梁翼缘中间部位，连接耳板尺寸及焊缝长度应由设计确定。</w:t>
      </w:r>
    </w:p>
    <w:p>
      <w:pPr>
        <w:pStyle w:val="188"/>
        <w:ind w:left="0"/>
      </w:pPr>
      <w:r>
        <w:t>钢丝绳在上、下两端的锚固点</w:t>
      </w:r>
      <w:r>
        <w:rPr>
          <w:rFonts w:hint="eastAsia"/>
        </w:rPr>
        <w:t>应设置鸡心环，钢丝绳绳卡设置应符合JGJ33的相关</w:t>
      </w:r>
      <w:r>
        <w:t>规定</w:t>
      </w:r>
      <w:r>
        <w:rPr>
          <w:rFonts w:hint="eastAsia"/>
        </w:rPr>
        <w:t>，</w:t>
      </w:r>
      <w:r>
        <w:t>绳卡</w:t>
      </w:r>
      <w:r>
        <w:rPr>
          <w:rFonts w:hint="eastAsia"/>
        </w:rPr>
        <w:t>数量</w:t>
      </w:r>
      <w:r>
        <w:t>不</w:t>
      </w:r>
      <w:r>
        <w:rPr>
          <w:rFonts w:hint="eastAsia"/>
        </w:rPr>
        <w:t>应</w:t>
      </w:r>
      <w:r>
        <w:t>少于3个</w:t>
      </w:r>
      <w:r>
        <w:rPr>
          <w:rFonts w:hint="eastAsia"/>
        </w:rPr>
        <w:t>，</w:t>
      </w:r>
      <w:r>
        <w:t>内部两个绳卡间距宜为80</w:t>
      </w:r>
      <w:r>
        <w:rPr>
          <w:rFonts w:hint="eastAsia"/>
        </w:rPr>
        <w:t>～</w:t>
      </w:r>
      <w:r>
        <w:t>100mm；端部最后两个绳卡间距应大于500 mm,并应设一个安全弯。</w:t>
      </w:r>
    </w:p>
    <w:p>
      <w:pPr>
        <w:pStyle w:val="128"/>
        <w:spacing w:before="156" w:after="156"/>
      </w:pPr>
      <w:r>
        <w:rPr>
          <w:rFonts w:hint="eastAsia"/>
        </w:rPr>
        <w:t>斜</w:t>
      </w:r>
      <w:r>
        <w:t>拉</w:t>
      </w:r>
      <w:r>
        <w:rPr>
          <w:rFonts w:hint="eastAsia"/>
        </w:rPr>
        <w:t>杆件</w:t>
      </w:r>
      <w:r>
        <w:t>构造</w:t>
      </w:r>
      <w:bookmarkEnd w:id="65"/>
      <w:bookmarkEnd w:id="66"/>
    </w:p>
    <w:p>
      <w:pPr>
        <w:pStyle w:val="188"/>
        <w:ind w:left="0"/>
      </w:pPr>
      <w:r>
        <w:rPr>
          <w:rFonts w:hint="eastAsia"/>
        </w:rPr>
        <w:t>斜拉杆件构造与尺寸应由设计确定。斜拉杆件宜采用钢筋,钢筋直径不应小于18mm。</w:t>
      </w:r>
    </w:p>
    <w:p>
      <w:pPr>
        <w:pStyle w:val="188"/>
        <w:ind w:left="0"/>
      </w:pPr>
      <w:r>
        <w:rPr>
          <w:rFonts w:hint="eastAsia"/>
        </w:rPr>
        <w:t>斜拉杆件与主体结构、悬挑梁的连接节点应设计为铰接，宜采用连接耳板及高强螺栓的连接形式。</w:t>
      </w:r>
    </w:p>
    <w:p>
      <w:pPr>
        <w:pStyle w:val="188"/>
        <w:ind w:left="0"/>
      </w:pPr>
      <w:r>
        <w:rPr>
          <w:rFonts w:hint="eastAsia"/>
        </w:rPr>
        <w:t>斜拉杆件</w:t>
      </w:r>
      <w:r>
        <w:t>宜</w:t>
      </w:r>
      <w:r>
        <w:rPr>
          <w:rFonts w:hint="eastAsia"/>
        </w:rPr>
        <w:t>设置可调节杆件长度的花篮螺栓以</w:t>
      </w:r>
      <w:r>
        <w:t>保证其与悬挑梁协同工作，花篮螺栓连接应满足</w:t>
      </w:r>
      <w:r>
        <w:rPr>
          <w:rFonts w:hint="eastAsia"/>
        </w:rPr>
        <w:t>JGJ33的相关</w:t>
      </w:r>
      <w:r>
        <w:t>规定。</w:t>
      </w:r>
    </w:p>
    <w:p>
      <w:pPr>
        <w:pStyle w:val="128"/>
        <w:spacing w:before="156" w:after="156"/>
      </w:pPr>
      <w:r>
        <w:rPr>
          <w:rFonts w:hint="eastAsia"/>
        </w:rPr>
        <w:t>斜撑杆件</w:t>
      </w:r>
      <w:r>
        <w:t>构造</w:t>
      </w:r>
    </w:p>
    <w:p>
      <w:pPr>
        <w:pStyle w:val="188"/>
        <w:ind w:left="0"/>
      </w:pPr>
      <w:r>
        <w:rPr>
          <w:rFonts w:hint="eastAsia"/>
        </w:rPr>
        <w:t>斜撑杆件构造与尺寸应由设计确定。斜撑杆件宜采用钢管或型钢。</w:t>
      </w:r>
    </w:p>
    <w:p>
      <w:pPr>
        <w:pStyle w:val="188"/>
        <w:ind w:left="0"/>
      </w:pPr>
      <w:r>
        <w:rPr>
          <w:rFonts w:hint="eastAsia"/>
        </w:rPr>
        <w:t>斜撑杆件与主体结构、悬挑梁的连接节点可设计为刚接或铰接。</w:t>
      </w:r>
    </w:p>
    <w:p>
      <w:pPr>
        <w:pStyle w:val="188"/>
        <w:ind w:left="0"/>
      </w:pPr>
      <w:r>
        <w:rPr>
          <w:rFonts w:hint="eastAsia"/>
        </w:rPr>
        <w:t>斜撑杆件应计算确定其稳定性，并应设置防止平面内外失稳的构造措施</w:t>
      </w:r>
      <w:r>
        <w:t>。</w:t>
      </w:r>
    </w:p>
    <w:p>
      <w:pPr>
        <w:pStyle w:val="128"/>
        <w:spacing w:before="156" w:after="156"/>
      </w:pPr>
      <w:bookmarkStart w:id="67" w:name="_Toc106095430"/>
      <w:bookmarkStart w:id="68" w:name="_Toc106092162"/>
      <w:r>
        <w:rPr>
          <w:rFonts w:hint="eastAsia"/>
        </w:rPr>
        <w:t>架体构造</w:t>
      </w:r>
      <w:bookmarkEnd w:id="67"/>
      <w:bookmarkEnd w:id="68"/>
    </w:p>
    <w:p>
      <w:pPr>
        <w:pStyle w:val="188"/>
        <w:ind w:left="0"/>
      </w:pPr>
      <w:r>
        <w:t>悬挑式脚手架应搭设成双排形式</w:t>
      </w:r>
      <w:r>
        <w:rPr>
          <w:rFonts w:hint="eastAsia"/>
        </w:rPr>
        <w:t>，</w:t>
      </w:r>
      <w:r>
        <w:t>步距不应大于</w:t>
      </w:r>
      <w:r>
        <w:rPr>
          <w:rFonts w:hint="eastAsia"/>
        </w:rPr>
        <w:t>2</w:t>
      </w:r>
      <w:r>
        <w:t>m。</w:t>
      </w:r>
    </w:p>
    <w:p>
      <w:pPr>
        <w:pStyle w:val="188"/>
        <w:ind w:left="0"/>
      </w:pPr>
      <w:r>
        <w:t>悬挑式脚手架立杆</w:t>
      </w:r>
      <w:r>
        <w:rPr>
          <w:rFonts w:hint="eastAsia"/>
        </w:rPr>
        <w:t>宜采用不同长度的立杆交错布置。立杆</w:t>
      </w:r>
      <w:r>
        <w:t>底部应设置纵向和横向水平杆，</w:t>
      </w:r>
      <w:r>
        <w:rPr>
          <w:rFonts w:hint="eastAsia"/>
        </w:rPr>
        <w:t>采用扣件式钢管脚手架时</w:t>
      </w:r>
      <w:r>
        <w:t>纵向水平杆应采用直角扣件固定在距悬挑梁上表面不大于200mm处的立杆上，底部横向水平杆应紧靠于纵向水平杆的下方，并用直角扣件固定在立杆上</w:t>
      </w:r>
      <w:r>
        <w:rPr>
          <w:rFonts w:hint="eastAsia"/>
        </w:rPr>
        <w:t>；采用承插盘扣式钢管脚手架时作为扫地杆的最底层水平杆中心与悬挑梁上表面距离不应大于550mm</w:t>
      </w:r>
      <w:r>
        <w:t>。</w:t>
      </w:r>
    </w:p>
    <w:p>
      <w:pPr>
        <w:pStyle w:val="188"/>
        <w:ind w:left="0"/>
      </w:pPr>
      <w:r>
        <w:t>悬挑式脚手架外侧应沿全高和全长连续设置剪刀撑。</w:t>
      </w:r>
    </w:p>
    <w:p>
      <w:pPr>
        <w:pStyle w:val="188"/>
        <w:ind w:left="0"/>
      </w:pPr>
      <w:r>
        <w:t>悬挑式脚手架的转角部位、一字形和开口型脚手架的端部等位置,应设置封口型斜撑。封口型斜撑应在横向同一节间内由底至顶</w:t>
      </w:r>
      <w:r>
        <w:rPr>
          <w:rFonts w:hint="eastAsia"/>
        </w:rPr>
        <w:t>,</w:t>
      </w:r>
      <w:r>
        <w:t>呈“之”字形连续布置</w:t>
      </w:r>
      <w:r>
        <w:rPr>
          <w:rFonts w:hint="eastAsia"/>
        </w:rPr>
        <w:t>,</w:t>
      </w:r>
      <w:r>
        <w:t>具体构造如图</w:t>
      </w:r>
      <w:r>
        <w:rPr>
          <w:rFonts w:hint="eastAsia"/>
        </w:rPr>
        <w:t>6所示。</w:t>
      </w:r>
    </w:p>
    <w:p>
      <w:pPr>
        <w:pStyle w:val="264"/>
        <w:ind w:left="0" w:firstLine="0"/>
        <w:jc w:val="center"/>
        <w:rPr>
          <w:rStyle w:val="259"/>
          <w:rFonts w:hint="default" w:hAnsi="宋体"/>
          <w:szCs w:val="21"/>
        </w:rPr>
      </w:pPr>
      <w:r>
        <w:rPr>
          <w:rStyle w:val="259"/>
          <w:rFonts w:hint="default" w:hAnsi="宋体"/>
          <w:szCs w:val="21"/>
        </w:rPr>
        <w:drawing>
          <wp:inline distT="0" distB="0" distL="0" distR="0">
            <wp:extent cx="2172970" cy="2200910"/>
            <wp:effectExtent l="0" t="0" r="0" b="0"/>
            <wp:docPr id="21"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true" noChangeArrowheads="true"/>
                    </pic:cNvPicPr>
                  </pic:nvPicPr>
                  <pic:blipFill>
                    <a:blip r:embed="rId25"/>
                    <a:srcRect l="50660" t="44358" r="36469" b="24903"/>
                    <a:stretch>
                      <a:fillRect/>
                    </a:stretch>
                  </pic:blipFill>
                  <pic:spPr>
                    <a:xfrm>
                      <a:off x="0" y="0"/>
                      <a:ext cx="2174545" cy="2202424"/>
                    </a:xfrm>
                    <a:prstGeom prst="rect">
                      <a:avLst/>
                    </a:prstGeom>
                    <a:noFill/>
                    <a:ln w="9525">
                      <a:noFill/>
                      <a:miter lim="800000"/>
                      <a:headEnd/>
                      <a:tailEnd/>
                    </a:ln>
                  </pic:spPr>
                </pic:pic>
              </a:graphicData>
            </a:graphic>
          </wp:inline>
        </w:drawing>
      </w:r>
    </w:p>
    <w:p>
      <w:pPr>
        <w:pStyle w:val="137"/>
        <w:spacing w:before="156" w:after="156"/>
        <w:ind w:left="0"/>
      </w:pPr>
      <w:r>
        <w:rPr>
          <w:rFonts w:hint="eastAsia"/>
        </w:rPr>
        <w:t>封口型斜撑构造图</w:t>
      </w:r>
    </w:p>
    <w:p>
      <w:pPr>
        <w:pStyle w:val="188"/>
        <w:ind w:left="0"/>
      </w:pPr>
      <w:r>
        <w:t>悬挑式脚手架连墙件</w:t>
      </w:r>
      <w:r>
        <w:rPr>
          <w:rFonts w:hint="eastAsia"/>
        </w:rPr>
        <w:t>宜采用钢管</w:t>
      </w:r>
      <w:r>
        <w:t>与主体结构可靠连接,不应采用钢筋或钢丝绳类柔性拉结构件。连墙件的布置应符合下列规定：</w:t>
      </w:r>
    </w:p>
    <w:p>
      <w:pPr>
        <w:pStyle w:val="79"/>
        <w:ind w:firstLine="420"/>
      </w:pPr>
      <w:r>
        <w:rPr>
          <w:rFonts w:hint="eastAsia"/>
        </w:rPr>
        <w:t>a）连墙件应</w:t>
      </w:r>
      <w:r>
        <w:t>靠近主节点设置,偏离主节点的距离不</w:t>
      </w:r>
      <w:r>
        <w:rPr>
          <w:rFonts w:hint="eastAsia"/>
        </w:rPr>
        <w:t>应</w:t>
      </w:r>
      <w:r>
        <w:t>大于300mm。</w:t>
      </w:r>
    </w:p>
    <w:p>
      <w:pPr>
        <w:pStyle w:val="79"/>
        <w:ind w:firstLine="420"/>
        <w:rPr>
          <w:rFonts w:hAnsi="宋体"/>
          <w:szCs w:val="21"/>
        </w:rPr>
      </w:pPr>
      <w:r>
        <w:rPr>
          <w:rFonts w:hint="eastAsia"/>
        </w:rPr>
        <w:t>b）连墙件</w:t>
      </w:r>
      <w:r>
        <w:rPr>
          <w:rFonts w:hAnsi="宋体"/>
          <w:szCs w:val="21"/>
        </w:rPr>
        <w:t>应从每一悬挑节段的第一步架开始设置;当从第一步架开始设置有困难时，应采取其他可靠措施固定悬挑架。</w:t>
      </w:r>
    </w:p>
    <w:p>
      <w:pPr>
        <w:pStyle w:val="79"/>
        <w:ind w:firstLine="420"/>
        <w:rPr>
          <w:rFonts w:hAnsi="宋体"/>
          <w:szCs w:val="21"/>
        </w:rPr>
      </w:pPr>
      <w:r>
        <w:rPr>
          <w:rFonts w:hint="eastAsia"/>
        </w:rPr>
        <w:t>c）</w:t>
      </w:r>
      <w:r>
        <w:rPr>
          <w:rFonts w:hAnsi="宋体"/>
          <w:szCs w:val="21"/>
        </w:rPr>
        <w:t>连墙件宜水平设置;当连墙件不能水平设置时，与脚手架连接的一端应低于与主体结构连接的一端</w:t>
      </w:r>
      <w:r>
        <w:rPr>
          <w:rFonts w:hint="eastAsia" w:hAnsi="宋体"/>
          <w:szCs w:val="21"/>
        </w:rPr>
        <w:t>。</w:t>
      </w:r>
    </w:p>
    <w:p>
      <w:pPr>
        <w:pStyle w:val="79"/>
        <w:ind w:firstLine="420"/>
        <w:rPr>
          <w:rStyle w:val="259"/>
          <w:rFonts w:hint="default" w:ascii="宋体" w:hAnsi="Times New Roman" w:eastAsia="宋体"/>
          <w:sz w:val="21"/>
          <w:szCs w:val="20"/>
        </w:rPr>
      </w:pPr>
      <w:r>
        <w:rPr>
          <w:rFonts w:hint="eastAsia"/>
        </w:rPr>
        <w:t>d）</w:t>
      </w:r>
      <w:r>
        <w:rPr>
          <w:rStyle w:val="259"/>
          <w:rFonts w:hint="default" w:ascii="宋体" w:hAnsi="宋体" w:eastAsia="宋体"/>
          <w:sz w:val="21"/>
          <w:szCs w:val="21"/>
        </w:rPr>
        <w:t>连墙件应分别与悬挑架内、外排立杆扣紧，扣件拧紧力矩不小于40N.m。</w:t>
      </w:r>
    </w:p>
    <w:p>
      <w:pPr>
        <w:pStyle w:val="79"/>
        <w:ind w:firstLine="420"/>
        <w:rPr>
          <w:rStyle w:val="259"/>
          <w:rFonts w:hint="default" w:ascii="宋体" w:hAnsi="Times New Roman" w:eastAsia="宋体"/>
          <w:sz w:val="21"/>
          <w:szCs w:val="20"/>
        </w:rPr>
      </w:pPr>
      <w:r>
        <w:rPr>
          <w:rFonts w:hint="eastAsia"/>
        </w:rPr>
        <w:t>e）</w:t>
      </w:r>
      <w:r>
        <w:rPr>
          <w:rStyle w:val="259"/>
          <w:rFonts w:hint="default" w:ascii="宋体" w:hAnsi="宋体" w:eastAsia="宋体"/>
          <w:sz w:val="21"/>
          <w:szCs w:val="21"/>
        </w:rPr>
        <w:t>连墙件的设置间距除应满足计算要求外，尚应符合表1的规定。</w:t>
      </w:r>
    </w:p>
    <w:p>
      <w:pPr>
        <w:pStyle w:val="330"/>
        <w:numPr>
          <w:ilvl w:val="0"/>
          <w:numId w:val="16"/>
        </w:numPr>
        <w:spacing w:before="156" w:after="156"/>
      </w:pPr>
      <w:r>
        <w:rPr>
          <w:rFonts w:hint="eastAsia"/>
        </w:rPr>
        <w:t>脚手架连墙件布置最大间距</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07"/>
        <w:gridCol w:w="1990"/>
        <w:gridCol w:w="2127"/>
        <w:gridCol w:w="24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2307" w:type="dxa"/>
            <w:tcBorders>
              <w:top w:val="single" w:color="auto" w:sz="8" w:space="0"/>
              <w:bottom w:val="single" w:color="auto" w:sz="8" w:space="0"/>
            </w:tcBorders>
            <w:vAlign w:val="center"/>
          </w:tcPr>
          <w:p>
            <w:pPr>
              <w:pStyle w:val="253"/>
              <w:tabs>
                <w:tab w:val="center" w:pos="1238"/>
                <w:tab w:val="clear" w:pos="4201"/>
                <w:tab w:val="clear" w:pos="9298"/>
              </w:tabs>
              <w:ind w:firstLine="0" w:firstLineChars="0"/>
              <w:jc w:val="center"/>
              <w:rPr>
                <w:sz w:val="18"/>
                <w:szCs w:val="18"/>
              </w:rPr>
            </w:pPr>
            <w:r>
              <w:rPr>
                <w:rFonts w:hint="eastAsia"/>
                <w:sz w:val="18"/>
                <w:szCs w:val="18"/>
              </w:rPr>
              <w:t>脚手架离地高度（m）</w:t>
            </w:r>
          </w:p>
        </w:tc>
        <w:tc>
          <w:tcPr>
            <w:tcW w:w="1990" w:type="dxa"/>
            <w:tcBorders>
              <w:top w:val="single" w:color="auto" w:sz="8" w:space="0"/>
              <w:bottom w:val="single" w:color="auto" w:sz="8" w:space="0"/>
            </w:tcBorders>
            <w:vAlign w:val="center"/>
          </w:tcPr>
          <w:p>
            <w:pPr>
              <w:pStyle w:val="253"/>
              <w:tabs>
                <w:tab w:val="center" w:pos="1238"/>
                <w:tab w:val="clear" w:pos="4201"/>
                <w:tab w:val="clear" w:pos="9298"/>
              </w:tabs>
              <w:ind w:firstLine="0" w:firstLineChars="0"/>
              <w:jc w:val="center"/>
              <w:rPr>
                <w:sz w:val="18"/>
                <w:szCs w:val="18"/>
              </w:rPr>
            </w:pPr>
            <w:r>
              <w:rPr>
                <w:rFonts w:hint="eastAsia"/>
                <w:sz w:val="18"/>
                <w:szCs w:val="18"/>
              </w:rPr>
              <w:t>竖向间距（m）</w:t>
            </w:r>
          </w:p>
        </w:tc>
        <w:tc>
          <w:tcPr>
            <w:tcW w:w="2127" w:type="dxa"/>
            <w:tcBorders>
              <w:top w:val="single" w:color="auto" w:sz="8" w:space="0"/>
              <w:bottom w:val="single" w:color="auto" w:sz="8" w:space="0"/>
            </w:tcBorders>
            <w:vAlign w:val="center"/>
          </w:tcPr>
          <w:p>
            <w:pPr>
              <w:jc w:val="center"/>
              <w:rPr>
                <w:rFonts w:ascii="宋体"/>
                <w:sz w:val="18"/>
                <w:vertAlign w:val="superscript"/>
              </w:rPr>
            </w:pPr>
            <w:r>
              <w:rPr>
                <w:rFonts w:hint="eastAsia"/>
                <w:sz w:val="18"/>
                <w:szCs w:val="18"/>
              </w:rPr>
              <w:t>水平间距（m）</w:t>
            </w:r>
          </w:p>
        </w:tc>
        <w:tc>
          <w:tcPr>
            <w:tcW w:w="2452" w:type="dxa"/>
            <w:tcBorders>
              <w:top w:val="single" w:color="auto" w:sz="8" w:space="0"/>
              <w:bottom w:val="single" w:color="auto" w:sz="8" w:space="0"/>
            </w:tcBorders>
            <w:vAlign w:val="center"/>
          </w:tcPr>
          <w:p>
            <w:pPr>
              <w:jc w:val="center"/>
              <w:rPr>
                <w:rFonts w:ascii="宋体"/>
                <w:sz w:val="18"/>
                <w:vertAlign w:val="superscript"/>
              </w:rPr>
            </w:pPr>
            <w:r>
              <w:rPr>
                <w:rFonts w:hint="eastAsia"/>
                <w:sz w:val="18"/>
                <w:szCs w:val="18"/>
              </w:rPr>
              <w:t>每个连墙件覆盖的面积（m</w:t>
            </w:r>
            <w:r>
              <w:rPr>
                <w:rFonts w:hint="eastAsia"/>
                <w:sz w:val="18"/>
                <w:szCs w:val="18"/>
                <w:vertAlign w:val="superscript"/>
              </w:rPr>
              <w:t>2</w:t>
            </w:r>
            <w:r>
              <w:rPr>
                <w:rFonts w:hint="eastAsia"/>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1" w:hRule="atLeast"/>
          <w:jc w:val="center"/>
        </w:trPr>
        <w:tc>
          <w:tcPr>
            <w:tcW w:w="2307" w:type="dxa"/>
            <w:tcBorders>
              <w:top w:val="single" w:color="auto" w:sz="8" w:space="0"/>
            </w:tcBorders>
          </w:tcPr>
          <w:p>
            <w:pPr>
              <w:jc w:val="center"/>
              <w:rPr>
                <w:rFonts w:ascii="宋体"/>
                <w:sz w:val="18"/>
                <w:szCs w:val="18"/>
              </w:rPr>
            </w:pPr>
            <w:r>
              <w:rPr>
                <w:rFonts w:hint="eastAsia" w:ascii="宋体"/>
                <w:sz w:val="18"/>
                <w:szCs w:val="18"/>
              </w:rPr>
              <w:t>≤100</w:t>
            </w:r>
          </w:p>
        </w:tc>
        <w:tc>
          <w:tcPr>
            <w:tcW w:w="1990" w:type="dxa"/>
            <w:tcBorders>
              <w:top w:val="single" w:color="auto" w:sz="8" w:space="0"/>
            </w:tcBorders>
          </w:tcPr>
          <w:p>
            <w:pPr>
              <w:jc w:val="center"/>
              <w:rPr>
                <w:rFonts w:ascii="宋体"/>
                <w:sz w:val="18"/>
                <w:szCs w:val="18"/>
              </w:rPr>
            </w:pPr>
            <w:r>
              <w:rPr>
                <w:rFonts w:hint="eastAsia" w:ascii="宋体"/>
                <w:sz w:val="18"/>
                <w:szCs w:val="18"/>
              </w:rPr>
              <w:t>2h</w:t>
            </w:r>
          </w:p>
        </w:tc>
        <w:tc>
          <w:tcPr>
            <w:tcW w:w="2127" w:type="dxa"/>
            <w:tcBorders>
              <w:top w:val="single" w:color="auto" w:sz="8" w:space="0"/>
            </w:tcBorders>
          </w:tcPr>
          <w:p>
            <w:pPr>
              <w:jc w:val="center"/>
              <w:rPr>
                <w:rFonts w:ascii="宋体"/>
                <w:sz w:val="18"/>
                <w:szCs w:val="18"/>
              </w:rPr>
            </w:pPr>
            <w:r>
              <w:rPr>
                <w:rFonts w:hint="eastAsia" w:ascii="宋体"/>
                <w:sz w:val="18"/>
                <w:szCs w:val="18"/>
              </w:rPr>
              <w:t>3l</w:t>
            </w:r>
            <w:r>
              <w:rPr>
                <w:rFonts w:hint="eastAsia" w:ascii="宋体"/>
                <w:sz w:val="18"/>
                <w:szCs w:val="18"/>
                <w:vertAlign w:val="subscript"/>
              </w:rPr>
              <w:t>a</w:t>
            </w:r>
          </w:p>
        </w:tc>
        <w:tc>
          <w:tcPr>
            <w:tcW w:w="2452" w:type="dxa"/>
            <w:tcBorders>
              <w:top w:val="single" w:color="auto" w:sz="8" w:space="0"/>
            </w:tcBorders>
          </w:tcPr>
          <w:p>
            <w:pPr>
              <w:jc w:val="center"/>
              <w:rPr>
                <w:rFonts w:ascii="宋体"/>
                <w:sz w:val="18"/>
                <w:szCs w:val="18"/>
              </w:rPr>
            </w:pPr>
            <w:r>
              <w:rPr>
                <w:rFonts w:hint="eastAsia" w:ascii="宋体"/>
                <w:sz w:val="18"/>
                <w:szCs w:val="18"/>
              </w:rPr>
              <w:t>≤27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1" w:hRule="atLeast"/>
          <w:jc w:val="center"/>
        </w:trPr>
        <w:tc>
          <w:tcPr>
            <w:tcW w:w="2307" w:type="dxa"/>
          </w:tcPr>
          <w:p>
            <w:pPr>
              <w:jc w:val="center"/>
              <w:rPr>
                <w:rFonts w:ascii="宋体"/>
                <w:sz w:val="18"/>
                <w:szCs w:val="18"/>
              </w:rPr>
            </w:pPr>
            <w:r>
              <w:rPr>
                <w:rFonts w:hint="eastAsia" w:ascii="宋体"/>
                <w:sz w:val="18"/>
                <w:szCs w:val="18"/>
              </w:rPr>
              <w:t>＞100</w:t>
            </w:r>
          </w:p>
        </w:tc>
        <w:tc>
          <w:tcPr>
            <w:tcW w:w="1990" w:type="dxa"/>
          </w:tcPr>
          <w:p>
            <w:pPr>
              <w:jc w:val="center"/>
              <w:rPr>
                <w:rFonts w:ascii="宋体"/>
                <w:sz w:val="18"/>
                <w:szCs w:val="18"/>
              </w:rPr>
            </w:pPr>
            <w:r>
              <w:rPr>
                <w:rFonts w:hint="eastAsia" w:ascii="宋体"/>
                <w:sz w:val="18"/>
                <w:szCs w:val="18"/>
              </w:rPr>
              <w:t>2h</w:t>
            </w:r>
          </w:p>
        </w:tc>
        <w:tc>
          <w:tcPr>
            <w:tcW w:w="2127" w:type="dxa"/>
          </w:tcPr>
          <w:p>
            <w:pPr>
              <w:jc w:val="center"/>
              <w:rPr>
                <w:rFonts w:ascii="宋体"/>
                <w:sz w:val="18"/>
                <w:szCs w:val="18"/>
              </w:rPr>
            </w:pPr>
            <w:r>
              <w:rPr>
                <w:rFonts w:hint="eastAsia" w:ascii="宋体"/>
                <w:sz w:val="18"/>
                <w:szCs w:val="18"/>
              </w:rPr>
              <w:t>2l</w:t>
            </w:r>
            <w:r>
              <w:rPr>
                <w:rFonts w:hint="eastAsia" w:ascii="宋体"/>
                <w:sz w:val="18"/>
                <w:szCs w:val="18"/>
                <w:vertAlign w:val="subscript"/>
              </w:rPr>
              <w:t>a</w:t>
            </w:r>
          </w:p>
        </w:tc>
        <w:tc>
          <w:tcPr>
            <w:tcW w:w="2452" w:type="dxa"/>
          </w:tcPr>
          <w:p>
            <w:pPr>
              <w:jc w:val="center"/>
              <w:rPr>
                <w:rFonts w:ascii="宋体"/>
                <w:sz w:val="18"/>
                <w:szCs w:val="18"/>
              </w:rPr>
            </w:pPr>
            <w:r>
              <w:rPr>
                <w:rFonts w:hint="eastAsia" w:ascii="宋体"/>
                <w:sz w:val="18"/>
                <w:szCs w:val="1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80" w:hRule="atLeast"/>
          <w:jc w:val="center"/>
        </w:trPr>
        <w:tc>
          <w:tcPr>
            <w:tcW w:w="8876" w:type="dxa"/>
            <w:gridSpan w:val="4"/>
            <w:tcBorders>
              <w:top w:val="single" w:color="auto" w:sz="4" w:space="0"/>
              <w:bottom w:val="single" w:color="auto" w:sz="8" w:space="0"/>
            </w:tcBorders>
          </w:tcPr>
          <w:p>
            <w:pPr>
              <w:pStyle w:val="202"/>
            </w:pPr>
            <w:r>
              <w:rPr>
                <w:rFonts w:hint="eastAsia"/>
              </w:rPr>
              <w:t>表中h为脚手架步高，l</w:t>
            </w:r>
            <w:r>
              <w:rPr>
                <w:rFonts w:hint="eastAsia"/>
                <w:vertAlign w:val="subscript"/>
              </w:rPr>
              <w:t>a</w:t>
            </w:r>
            <w:r>
              <w:rPr>
                <w:rFonts w:hint="eastAsia"/>
              </w:rPr>
              <w:t>为脚手架立杆纵向间距。</w:t>
            </w:r>
          </w:p>
        </w:tc>
      </w:tr>
    </w:tbl>
    <w:p>
      <w:pPr>
        <w:pStyle w:val="197"/>
        <w:numPr>
          <w:ilvl w:val="0"/>
          <w:numId w:val="0"/>
        </w:numPr>
        <w:ind w:left="851"/>
      </w:pPr>
    </w:p>
    <w:p>
      <w:pPr>
        <w:pStyle w:val="188"/>
        <w:ind w:left="0"/>
      </w:pPr>
      <w:r>
        <w:t>边沿构件为梁时，连墙件在预埋钢管内侧（伸入建筑物内部一侧）长度不应小于100mmo其构造做法如图7所示。</w:t>
      </w:r>
    </w:p>
    <w:p>
      <w:pPr>
        <w:pStyle w:val="264"/>
        <w:ind w:left="0" w:firstLine="0"/>
        <w:jc w:val="center"/>
        <w:rPr>
          <w:rStyle w:val="259"/>
          <w:rFonts w:hint="default" w:hAnsi="宋体"/>
          <w:szCs w:val="21"/>
        </w:rPr>
      </w:pPr>
      <w:r>
        <w:rPr>
          <w:rStyle w:val="259"/>
          <w:rFonts w:hint="default" w:hAnsi="宋体"/>
          <w:szCs w:val="21"/>
        </w:rPr>
        <w:drawing>
          <wp:inline distT="0" distB="0" distL="0" distR="0">
            <wp:extent cx="2115185" cy="2492375"/>
            <wp:effectExtent l="0" t="0" r="0" b="0"/>
            <wp:docPr id="22"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true" noChangeArrowheads="true"/>
                    </pic:cNvPicPr>
                  </pic:nvPicPr>
                  <pic:blipFill>
                    <a:blip r:embed="rId26"/>
                    <a:srcRect l="44554" t="17510" r="35829" b="28016"/>
                    <a:stretch>
                      <a:fillRect/>
                    </a:stretch>
                  </pic:blipFill>
                  <pic:spPr>
                    <a:xfrm>
                      <a:off x="0" y="0"/>
                      <a:ext cx="2120808" cy="2499007"/>
                    </a:xfrm>
                    <a:prstGeom prst="rect">
                      <a:avLst/>
                    </a:prstGeom>
                    <a:noFill/>
                    <a:ln w="9525">
                      <a:noFill/>
                      <a:miter lim="800000"/>
                      <a:headEnd/>
                      <a:tailEnd/>
                    </a:ln>
                  </pic:spPr>
                </pic:pic>
              </a:graphicData>
            </a:graphic>
          </wp:inline>
        </w:drawing>
      </w:r>
    </w:p>
    <w:p>
      <w:pPr>
        <w:pStyle w:val="137"/>
        <w:spacing w:before="156" w:after="156"/>
        <w:ind w:left="0"/>
      </w:pPr>
      <w:r>
        <w:rPr>
          <w:rFonts w:hint="eastAsia"/>
        </w:rPr>
        <w:t>连墙件的构造（边沿构件为梁）图</w:t>
      </w:r>
    </w:p>
    <w:p>
      <w:pPr>
        <w:pStyle w:val="188"/>
        <w:ind w:left="0"/>
      </w:pPr>
      <w:r>
        <w:t>边沿构件为剪力墙时，连墙件在剪力墙内侧（伸入建筑物内部一侧）长度不应小于200mm</w:t>
      </w:r>
      <w:r>
        <w:rPr>
          <w:rFonts w:hint="eastAsia"/>
        </w:rPr>
        <w:t>;其</w:t>
      </w:r>
      <w:r>
        <w:t>构造做法</w:t>
      </w:r>
      <w:r>
        <w:rPr>
          <w:rFonts w:hint="eastAsia"/>
        </w:rPr>
        <w:t>如图8所示.</w:t>
      </w:r>
    </w:p>
    <w:p>
      <w:pPr>
        <w:pStyle w:val="264"/>
        <w:ind w:left="0" w:firstLine="0"/>
        <w:jc w:val="center"/>
      </w:pPr>
      <w:r>
        <w:drawing>
          <wp:inline distT="0" distB="0" distL="0" distR="0">
            <wp:extent cx="2065655" cy="2491740"/>
            <wp:effectExtent l="0" t="0" r="0" b="0"/>
            <wp:docPr id="23"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true" noChangeArrowheads="true"/>
                    </pic:cNvPicPr>
                  </pic:nvPicPr>
                  <pic:blipFill>
                    <a:blip r:embed="rId27"/>
                    <a:srcRect l="45050" t="23735" r="35498" b="20969"/>
                    <a:stretch>
                      <a:fillRect/>
                    </a:stretch>
                  </pic:blipFill>
                  <pic:spPr>
                    <a:xfrm>
                      <a:off x="0" y="0"/>
                      <a:ext cx="2068827" cy="2495506"/>
                    </a:xfrm>
                    <a:prstGeom prst="rect">
                      <a:avLst/>
                    </a:prstGeom>
                    <a:noFill/>
                    <a:ln w="9525">
                      <a:noFill/>
                      <a:miter lim="800000"/>
                      <a:headEnd/>
                      <a:tailEnd/>
                    </a:ln>
                  </pic:spPr>
                </pic:pic>
              </a:graphicData>
            </a:graphic>
          </wp:inline>
        </w:drawing>
      </w:r>
    </w:p>
    <w:p>
      <w:pPr>
        <w:pStyle w:val="137"/>
        <w:spacing w:before="156" w:after="156"/>
        <w:ind w:left="0"/>
      </w:pPr>
      <w:r>
        <w:rPr>
          <w:rFonts w:hint="eastAsia"/>
        </w:rPr>
        <w:t>连墙件的构造（边沿构件为剪力墙）图</w:t>
      </w:r>
    </w:p>
    <w:p>
      <w:pPr>
        <w:pStyle w:val="188"/>
        <w:ind w:left="0"/>
      </w:pPr>
      <w:r>
        <w:rPr>
          <w:rFonts w:hint="eastAsia"/>
        </w:rPr>
        <w:t>连墙件在</w:t>
      </w:r>
      <w:r>
        <w:t>剪力</w:t>
      </w:r>
      <w:r>
        <w:rPr>
          <w:rFonts w:hint="eastAsia"/>
        </w:rPr>
        <w:t>墙洞处</w:t>
      </w:r>
      <w:r>
        <w:t>应采用钢管扣件搭设</w:t>
      </w:r>
      <w:r>
        <w:rPr>
          <w:rFonts w:hint="eastAsia"/>
        </w:rPr>
        <w:t>墙</w:t>
      </w:r>
      <w:r>
        <w:t>洞锚固架</w:t>
      </w:r>
      <w:r>
        <w:rPr>
          <w:rFonts w:hint="eastAsia"/>
        </w:rPr>
        <w:t>,洞口</w:t>
      </w:r>
      <w:r>
        <w:t>锚固架中竖向、横向钢管应延长到</w:t>
      </w:r>
      <w:r>
        <w:rPr>
          <w:rFonts w:hint="eastAsia"/>
        </w:rPr>
        <w:t>洞</w:t>
      </w:r>
      <w:r>
        <w:t>口边沿200mm之外</w:t>
      </w:r>
      <w:r>
        <w:rPr>
          <w:rFonts w:hint="eastAsia"/>
        </w:rPr>
        <w:t>;</w:t>
      </w:r>
      <w:r>
        <w:t>连墙件伸过</w:t>
      </w:r>
      <w:r>
        <w:rPr>
          <w:rFonts w:hint="eastAsia"/>
        </w:rPr>
        <w:t>墙</w:t>
      </w:r>
      <w:r>
        <w:t>洞锚固架（伸入建筑物内部一侧）长度不应小于200mm</w:t>
      </w:r>
      <w:r>
        <w:rPr>
          <w:rFonts w:hint="eastAsia"/>
        </w:rPr>
        <w:t>。</w:t>
      </w:r>
      <w:r>
        <w:t>连墙件的构造做法如图</w:t>
      </w:r>
      <w:r>
        <w:rPr>
          <w:rFonts w:hint="eastAsia"/>
        </w:rPr>
        <w:t>9所示。</w:t>
      </w:r>
    </w:p>
    <w:p>
      <w:pPr>
        <w:pStyle w:val="264"/>
        <w:ind w:left="0" w:firstLine="0"/>
        <w:jc w:val="center"/>
      </w:pPr>
      <w:r>
        <w:rPr>
          <w:rFonts w:hint="eastAsia"/>
        </w:rPr>
        <w:drawing>
          <wp:inline distT="0" distB="0" distL="0" distR="0">
            <wp:extent cx="2430780" cy="2543175"/>
            <wp:effectExtent l="0" t="0" r="0" b="0"/>
            <wp:docPr id="24"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true" noChangeArrowheads="true"/>
                    </pic:cNvPicPr>
                  </pic:nvPicPr>
                  <pic:blipFill>
                    <a:blip r:embed="rId28"/>
                    <a:srcRect l="58238" t="32694" r="27719" b="32666"/>
                    <a:stretch>
                      <a:fillRect/>
                    </a:stretch>
                  </pic:blipFill>
                  <pic:spPr>
                    <a:xfrm>
                      <a:off x="0" y="0"/>
                      <a:ext cx="2444140" cy="2556995"/>
                    </a:xfrm>
                    <a:prstGeom prst="rect">
                      <a:avLst/>
                    </a:prstGeom>
                    <a:noFill/>
                    <a:ln w="9525">
                      <a:noFill/>
                      <a:miter lim="800000"/>
                      <a:headEnd/>
                      <a:tailEnd/>
                    </a:ln>
                  </pic:spPr>
                </pic:pic>
              </a:graphicData>
            </a:graphic>
          </wp:inline>
        </w:drawing>
      </w:r>
    </w:p>
    <w:p>
      <w:pPr>
        <w:pStyle w:val="137"/>
        <w:spacing w:before="156" w:after="156"/>
        <w:ind w:left="0"/>
      </w:pPr>
      <w:r>
        <w:rPr>
          <w:rFonts w:hint="eastAsia"/>
        </w:rPr>
        <w:t>连墙件的构造（边沿构件为墙洞）图</w:t>
      </w:r>
    </w:p>
    <w:p>
      <w:pPr>
        <w:pStyle w:val="127"/>
        <w:spacing w:before="312" w:after="312"/>
      </w:pPr>
      <w:bookmarkStart w:id="69" w:name="_Toc106092163"/>
      <w:bookmarkStart w:id="70" w:name="_Toc106095431"/>
      <w:bookmarkStart w:id="71" w:name="_Toc40636257"/>
      <w:bookmarkStart w:id="72" w:name="_Toc40694689"/>
      <w:bookmarkStart w:id="73" w:name="_Toc40536263"/>
      <w:bookmarkStart w:id="74" w:name="_Toc40626472"/>
      <w:r>
        <w:rPr>
          <w:rFonts w:hint="eastAsia"/>
        </w:rPr>
        <w:t>荷载</w:t>
      </w:r>
      <w:bookmarkEnd w:id="69"/>
      <w:bookmarkEnd w:id="70"/>
      <w:bookmarkEnd w:id="71"/>
      <w:bookmarkEnd w:id="72"/>
      <w:bookmarkEnd w:id="73"/>
      <w:bookmarkEnd w:id="74"/>
    </w:p>
    <w:p>
      <w:pPr>
        <w:pStyle w:val="128"/>
        <w:spacing w:before="156" w:after="156"/>
        <w:rPr>
          <w:rFonts w:hAnsi="黑体"/>
        </w:rPr>
      </w:pPr>
      <w:bookmarkStart w:id="75" w:name="_Toc106092164"/>
      <w:bookmarkStart w:id="76" w:name="_Toc106095432"/>
      <w:r>
        <w:t>荷载分类</w:t>
      </w:r>
      <w:bookmarkEnd w:id="75"/>
      <w:bookmarkEnd w:id="76"/>
    </w:p>
    <w:p>
      <w:pPr>
        <w:pStyle w:val="188"/>
        <w:ind w:left="0"/>
      </w:pPr>
      <w:r>
        <w:t>作用于悬挑</w:t>
      </w:r>
      <w:r>
        <w:rPr>
          <w:rFonts w:hint="eastAsia"/>
        </w:rPr>
        <w:t>承力架</w:t>
      </w:r>
      <w:r>
        <w:t>上的荷载，可分为</w:t>
      </w:r>
      <w:r>
        <w:rPr>
          <w:rFonts w:hint="eastAsia"/>
        </w:rPr>
        <w:t>恒</w:t>
      </w:r>
      <w:r>
        <w:t>载和</w:t>
      </w:r>
      <w:r>
        <w:rPr>
          <w:rFonts w:hint="eastAsia"/>
        </w:rPr>
        <w:t>活荷载</w:t>
      </w:r>
      <w:r>
        <w:t>。</w:t>
      </w:r>
    </w:p>
    <w:p>
      <w:pPr>
        <w:pStyle w:val="188"/>
        <w:ind w:left="0"/>
      </w:pPr>
      <w:r>
        <w:rPr>
          <w:rFonts w:hint="eastAsia"/>
        </w:rPr>
        <w:t>恒</w:t>
      </w:r>
      <w:r>
        <w:t>载应包括</w:t>
      </w:r>
      <w:r>
        <w:rPr>
          <w:rFonts w:hint="eastAsia"/>
        </w:rPr>
        <w:t>以下</w:t>
      </w:r>
      <w:r>
        <w:t>内容：</w:t>
      </w:r>
    </w:p>
    <w:p>
      <w:pPr>
        <w:pStyle w:val="79"/>
        <w:ind w:firstLine="420"/>
      </w:pPr>
      <w:r>
        <w:rPr>
          <w:rFonts w:hint="eastAsia"/>
        </w:rPr>
        <w:t>a）</w:t>
      </w:r>
      <w:r>
        <w:t>悬挑</w:t>
      </w:r>
      <w:r>
        <w:rPr>
          <w:rFonts w:hint="eastAsia"/>
        </w:rPr>
        <w:t>承力架</w:t>
      </w:r>
      <w:r>
        <w:t>的自重</w:t>
      </w:r>
      <w:r>
        <w:rPr>
          <w:rFonts w:hint="eastAsia"/>
        </w:rPr>
        <w:t>。</w:t>
      </w:r>
    </w:p>
    <w:p>
      <w:pPr>
        <w:pStyle w:val="79"/>
        <w:ind w:firstLine="420"/>
      </w:pPr>
      <w:r>
        <w:rPr>
          <w:rFonts w:hint="eastAsia"/>
        </w:rPr>
        <w:t>b）</w:t>
      </w:r>
      <w:r>
        <w:t>上部钢管脚手架架体的自重</w:t>
      </w:r>
      <w:r>
        <w:rPr>
          <w:rFonts w:hint="eastAsia"/>
        </w:rPr>
        <w:t>。</w:t>
      </w:r>
    </w:p>
    <w:p>
      <w:pPr>
        <w:pStyle w:val="79"/>
        <w:ind w:firstLine="420"/>
      </w:pPr>
      <w:r>
        <w:rPr>
          <w:rFonts w:hint="eastAsia"/>
        </w:rPr>
        <w:t>c）</w:t>
      </w:r>
      <w:r>
        <w:t>附着在脚手架上的标语、广告设施</w:t>
      </w:r>
      <w:r>
        <w:rPr>
          <w:rFonts w:hint="eastAsia"/>
        </w:rPr>
        <w:t>、</w:t>
      </w:r>
      <w:r>
        <w:t>安全网等的自重</w:t>
      </w:r>
      <w:r>
        <w:rPr>
          <w:rFonts w:hint="eastAsia"/>
        </w:rPr>
        <w:t>。</w:t>
      </w:r>
    </w:p>
    <w:p>
      <w:pPr>
        <w:pStyle w:val="79"/>
        <w:ind w:firstLine="420"/>
      </w:pPr>
      <w:r>
        <w:rPr>
          <w:rFonts w:hint="eastAsia"/>
        </w:rPr>
        <w:t>d）其他可按恒载计算</w:t>
      </w:r>
      <w:r>
        <w:t>的</w:t>
      </w:r>
      <w:r>
        <w:rPr>
          <w:rFonts w:hint="eastAsia"/>
        </w:rPr>
        <w:t>荷载</w:t>
      </w:r>
      <w:r>
        <w:t>。</w:t>
      </w:r>
    </w:p>
    <w:p>
      <w:pPr>
        <w:pStyle w:val="188"/>
        <w:ind w:left="0"/>
      </w:pPr>
      <w:r>
        <w:rPr>
          <w:rFonts w:hint="eastAsia"/>
        </w:rPr>
        <w:t>活</w:t>
      </w:r>
      <w:r>
        <w:t>荷载应包括下列内容：</w:t>
      </w:r>
    </w:p>
    <w:p>
      <w:pPr>
        <w:pStyle w:val="79"/>
        <w:ind w:firstLine="420"/>
      </w:pPr>
      <w:r>
        <w:rPr>
          <w:rFonts w:hint="eastAsia"/>
        </w:rPr>
        <w:t>a）</w:t>
      </w:r>
      <w:r>
        <w:t>作业层上的操作人员、器具及材料等施工荷载</w:t>
      </w:r>
      <w:r>
        <w:rPr>
          <w:rFonts w:hint="eastAsia"/>
        </w:rPr>
        <w:t>。</w:t>
      </w:r>
    </w:p>
    <w:p>
      <w:pPr>
        <w:pStyle w:val="79"/>
        <w:ind w:firstLine="420"/>
      </w:pPr>
      <w:r>
        <w:rPr>
          <w:rFonts w:hint="eastAsia"/>
        </w:rPr>
        <w:t>b）</w:t>
      </w:r>
      <w:r>
        <w:t>风荷载</w:t>
      </w:r>
      <w:r>
        <w:rPr>
          <w:rFonts w:hint="eastAsia"/>
        </w:rPr>
        <w:t>。</w:t>
      </w:r>
    </w:p>
    <w:p>
      <w:pPr>
        <w:pStyle w:val="79"/>
        <w:ind w:firstLine="420"/>
      </w:pPr>
      <w:r>
        <w:rPr>
          <w:rFonts w:hint="eastAsia"/>
        </w:rPr>
        <w:t>c）</w:t>
      </w:r>
      <w:r>
        <w:t>其他</w:t>
      </w:r>
      <w:r>
        <w:rPr>
          <w:rFonts w:hint="eastAsia"/>
        </w:rPr>
        <w:t>活</w:t>
      </w:r>
      <w:r>
        <w:t>荷载</w:t>
      </w:r>
      <w:r>
        <w:rPr>
          <w:rFonts w:hint="eastAsia"/>
        </w:rPr>
        <w:t>。</w:t>
      </w:r>
    </w:p>
    <w:p>
      <w:pPr>
        <w:pStyle w:val="128"/>
        <w:spacing w:before="156" w:after="156"/>
      </w:pPr>
      <w:bookmarkStart w:id="77" w:name="_Toc106095433"/>
      <w:bookmarkStart w:id="78" w:name="_Toc106092165"/>
      <w:r>
        <w:t>荷载标准值</w:t>
      </w:r>
      <w:bookmarkEnd w:id="77"/>
      <w:bookmarkEnd w:id="78"/>
    </w:p>
    <w:p>
      <w:pPr>
        <w:pStyle w:val="188"/>
        <w:ind w:left="0"/>
      </w:pPr>
      <w:r>
        <w:t>悬挑</w:t>
      </w:r>
      <w:r>
        <w:rPr>
          <w:rFonts w:hint="eastAsia"/>
        </w:rPr>
        <w:t>承力架</w:t>
      </w:r>
      <w:r>
        <w:t>结构自重标准值按施工方案计算确定。</w:t>
      </w:r>
    </w:p>
    <w:p>
      <w:pPr>
        <w:pStyle w:val="188"/>
        <w:ind w:left="0"/>
      </w:pPr>
      <w:r>
        <w:t>构配件自重标准值可按下列规定：</w:t>
      </w:r>
    </w:p>
    <w:p>
      <w:pPr>
        <w:pStyle w:val="79"/>
        <w:ind w:firstLine="420"/>
      </w:pPr>
      <w:r>
        <w:rPr>
          <w:rFonts w:hint="eastAsia"/>
        </w:rPr>
        <w:t>a）</w:t>
      </w:r>
      <w:r>
        <w:t>脚手板自重标准值可按表</w:t>
      </w:r>
      <w:r>
        <w:rPr>
          <w:rFonts w:hint="eastAsia"/>
        </w:rPr>
        <w:t>2</w:t>
      </w:r>
      <w:r>
        <w:t>采用</w:t>
      </w:r>
      <w:r>
        <w:rPr>
          <w:rFonts w:hint="eastAsia"/>
        </w:rPr>
        <w:t>。</w:t>
      </w:r>
    </w:p>
    <w:p>
      <w:pPr>
        <w:pStyle w:val="135"/>
        <w:spacing w:before="156" w:after="156"/>
      </w:pPr>
      <w:r>
        <w:rPr>
          <w:rFonts w:hint="eastAsia"/>
        </w:rPr>
        <w:t>脚手板自重标准值</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685"/>
        <w:gridCol w:w="34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85" w:type="dxa"/>
            <w:tcBorders>
              <w:top w:val="single" w:color="auto" w:sz="8" w:space="0"/>
              <w:bottom w:val="single" w:color="auto" w:sz="8" w:space="0"/>
            </w:tcBorders>
          </w:tcPr>
          <w:p>
            <w:pPr>
              <w:pStyle w:val="253"/>
              <w:tabs>
                <w:tab w:val="center" w:pos="1238"/>
                <w:tab w:val="clear" w:pos="4201"/>
                <w:tab w:val="clear" w:pos="9298"/>
              </w:tabs>
              <w:ind w:firstLine="0" w:firstLineChars="0"/>
              <w:jc w:val="center"/>
              <w:rPr>
                <w:sz w:val="18"/>
                <w:szCs w:val="18"/>
              </w:rPr>
            </w:pPr>
            <w:r>
              <w:rPr>
                <w:rFonts w:hint="eastAsia"/>
                <w:sz w:val="18"/>
                <w:szCs w:val="18"/>
              </w:rPr>
              <w:t>类别</w:t>
            </w:r>
          </w:p>
        </w:tc>
        <w:tc>
          <w:tcPr>
            <w:tcW w:w="3402" w:type="dxa"/>
            <w:tcBorders>
              <w:top w:val="single" w:color="auto" w:sz="8" w:space="0"/>
              <w:bottom w:val="single" w:color="auto" w:sz="8" w:space="0"/>
            </w:tcBorders>
          </w:tcPr>
          <w:p>
            <w:pPr>
              <w:jc w:val="center"/>
              <w:rPr>
                <w:rFonts w:ascii="宋体"/>
                <w:sz w:val="18"/>
                <w:vertAlign w:val="superscript"/>
              </w:rPr>
            </w:pPr>
            <w:r>
              <w:rPr>
                <w:rFonts w:hint="eastAsia" w:ascii="宋体"/>
                <w:sz w:val="18"/>
              </w:rPr>
              <w:t>标准值（kN/m</w:t>
            </w:r>
            <w:r>
              <w:rPr>
                <w:rFonts w:hint="eastAsia" w:ascii="宋体"/>
                <w:sz w:val="18"/>
                <w:vertAlign w:val="superscript"/>
              </w:rPr>
              <w:t>2</w:t>
            </w:r>
            <w:r>
              <w:rPr>
                <w:rFonts w:hint="eastAsia" w:ascii="宋体"/>
                <w:sz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85" w:type="dxa"/>
            <w:tcBorders>
              <w:top w:val="single" w:color="auto" w:sz="8" w:space="0"/>
            </w:tcBorders>
            <w:vAlign w:val="center"/>
          </w:tcPr>
          <w:p>
            <w:pPr>
              <w:pStyle w:val="253"/>
              <w:ind w:firstLine="0" w:firstLineChars="0"/>
              <w:jc w:val="center"/>
              <w:rPr>
                <w:sz w:val="18"/>
                <w:szCs w:val="18"/>
              </w:rPr>
            </w:pPr>
            <w:r>
              <w:rPr>
                <w:sz w:val="18"/>
                <w:szCs w:val="18"/>
              </w:rPr>
              <w:t>冲压钢板脚手板</w:t>
            </w:r>
          </w:p>
        </w:tc>
        <w:tc>
          <w:tcPr>
            <w:tcW w:w="3402" w:type="dxa"/>
            <w:tcBorders>
              <w:top w:val="single" w:color="auto" w:sz="8" w:space="0"/>
            </w:tcBorders>
            <w:vAlign w:val="center"/>
          </w:tcPr>
          <w:p>
            <w:pPr>
              <w:jc w:val="center"/>
              <w:rPr>
                <w:rFonts w:ascii="宋体"/>
                <w:sz w:val="18"/>
              </w:rPr>
            </w:pPr>
            <w:r>
              <w:rPr>
                <w:rFonts w:hint="eastAsia" w:ascii="宋体"/>
                <w:sz w:val="18"/>
              </w:rPr>
              <w:t>0.30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85" w:type="dxa"/>
            <w:tcBorders>
              <w:top w:val="single" w:color="auto" w:sz="8" w:space="0"/>
            </w:tcBorders>
            <w:vAlign w:val="center"/>
          </w:tcPr>
          <w:p>
            <w:pPr>
              <w:pStyle w:val="253"/>
              <w:ind w:firstLine="0" w:firstLineChars="0"/>
              <w:jc w:val="center"/>
              <w:rPr>
                <w:sz w:val="18"/>
                <w:szCs w:val="18"/>
              </w:rPr>
            </w:pPr>
            <w:r>
              <w:rPr>
                <w:rFonts w:hint="eastAsia"/>
                <w:sz w:val="18"/>
                <w:szCs w:val="18"/>
              </w:rPr>
              <w:t>钢</w:t>
            </w:r>
            <w:r>
              <w:rPr>
                <w:sz w:val="18"/>
                <w:szCs w:val="18"/>
              </w:rPr>
              <w:t>笆片脚手板</w:t>
            </w:r>
          </w:p>
        </w:tc>
        <w:tc>
          <w:tcPr>
            <w:tcW w:w="3402" w:type="dxa"/>
            <w:tcBorders>
              <w:top w:val="single" w:color="auto" w:sz="8" w:space="0"/>
            </w:tcBorders>
            <w:vAlign w:val="center"/>
          </w:tcPr>
          <w:p>
            <w:pPr>
              <w:jc w:val="center"/>
              <w:rPr>
                <w:rFonts w:ascii="宋体"/>
                <w:sz w:val="18"/>
                <w:szCs w:val="24"/>
              </w:rPr>
            </w:pPr>
            <w:r>
              <w:rPr>
                <w:rFonts w:hint="eastAsia" w:ascii="宋体"/>
                <w:sz w:val="18"/>
              </w:rPr>
              <w:t>0.10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vAlign w:val="center"/>
          </w:tcPr>
          <w:p>
            <w:pPr>
              <w:pStyle w:val="253"/>
              <w:ind w:firstLine="0" w:firstLineChars="0"/>
              <w:jc w:val="center"/>
              <w:rPr>
                <w:sz w:val="18"/>
                <w:szCs w:val="18"/>
              </w:rPr>
            </w:pPr>
            <w:r>
              <w:rPr>
                <w:sz w:val="18"/>
                <w:szCs w:val="18"/>
              </w:rPr>
              <w:t>木脚手板</w:t>
            </w:r>
          </w:p>
        </w:tc>
        <w:tc>
          <w:tcPr>
            <w:tcW w:w="3402" w:type="dxa"/>
            <w:vAlign w:val="center"/>
          </w:tcPr>
          <w:p>
            <w:pPr>
              <w:jc w:val="center"/>
              <w:rPr>
                <w:rFonts w:ascii="宋体"/>
                <w:sz w:val="18"/>
              </w:rPr>
            </w:pPr>
            <w:r>
              <w:rPr>
                <w:rFonts w:hint="eastAsia" w:ascii="宋体"/>
                <w:sz w:val="18"/>
              </w:rPr>
              <w:t>0.35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85" w:type="dxa"/>
            <w:tcBorders>
              <w:bottom w:val="single" w:color="auto" w:sz="4" w:space="0"/>
            </w:tcBorders>
            <w:vAlign w:val="center"/>
          </w:tcPr>
          <w:p>
            <w:pPr>
              <w:pStyle w:val="253"/>
              <w:ind w:firstLine="0" w:firstLineChars="0"/>
              <w:jc w:val="center"/>
              <w:rPr>
                <w:sz w:val="18"/>
                <w:szCs w:val="18"/>
              </w:rPr>
            </w:pPr>
            <w:r>
              <w:rPr>
                <w:sz w:val="18"/>
                <w:szCs w:val="18"/>
              </w:rPr>
              <w:t>竹串片脚手板</w:t>
            </w:r>
          </w:p>
        </w:tc>
        <w:tc>
          <w:tcPr>
            <w:tcW w:w="3402" w:type="dxa"/>
            <w:tcBorders>
              <w:bottom w:val="single" w:color="auto" w:sz="4" w:space="0"/>
            </w:tcBorders>
            <w:vAlign w:val="center"/>
          </w:tcPr>
          <w:p>
            <w:pPr>
              <w:jc w:val="center"/>
              <w:rPr>
                <w:rFonts w:ascii="宋体"/>
                <w:sz w:val="18"/>
              </w:rPr>
            </w:pPr>
            <w:r>
              <w:rPr>
                <w:rFonts w:hint="eastAsia" w:ascii="宋体"/>
                <w:sz w:val="18"/>
              </w:rPr>
              <w:t>0.35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85" w:type="dxa"/>
            <w:tcBorders>
              <w:top w:val="single" w:color="auto" w:sz="4" w:space="0"/>
              <w:bottom w:val="single" w:color="auto" w:sz="4" w:space="0"/>
            </w:tcBorders>
            <w:vAlign w:val="center"/>
          </w:tcPr>
          <w:p>
            <w:pPr>
              <w:pStyle w:val="253"/>
              <w:ind w:firstLine="0" w:firstLineChars="0"/>
              <w:jc w:val="center"/>
              <w:rPr>
                <w:sz w:val="18"/>
                <w:szCs w:val="18"/>
              </w:rPr>
            </w:pPr>
            <w:r>
              <w:rPr>
                <w:sz w:val="18"/>
                <w:szCs w:val="18"/>
              </w:rPr>
              <w:t>竹笆片脚手板</w:t>
            </w:r>
          </w:p>
        </w:tc>
        <w:tc>
          <w:tcPr>
            <w:tcW w:w="3402" w:type="dxa"/>
            <w:tcBorders>
              <w:top w:val="single" w:color="auto" w:sz="4" w:space="0"/>
              <w:bottom w:val="single" w:color="auto" w:sz="4" w:space="0"/>
            </w:tcBorders>
            <w:vAlign w:val="center"/>
          </w:tcPr>
          <w:p>
            <w:pPr>
              <w:jc w:val="center"/>
              <w:rPr>
                <w:rFonts w:ascii="宋体"/>
                <w:sz w:val="18"/>
                <w:szCs w:val="24"/>
              </w:rPr>
            </w:pPr>
            <w:r>
              <w:rPr>
                <w:rFonts w:hint="eastAsia" w:ascii="宋体"/>
                <w:sz w:val="18"/>
              </w:rPr>
              <w:t>0.10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87" w:type="dxa"/>
            <w:gridSpan w:val="2"/>
            <w:tcBorders>
              <w:top w:val="single" w:color="auto" w:sz="4" w:space="0"/>
              <w:bottom w:val="single" w:color="auto" w:sz="8" w:space="0"/>
            </w:tcBorders>
            <w:vAlign w:val="center"/>
          </w:tcPr>
          <w:p>
            <w:pPr>
              <w:pStyle w:val="202"/>
            </w:pPr>
            <w:r>
              <w:t>竹笆片</w:t>
            </w:r>
            <w:r>
              <w:rPr>
                <w:rFonts w:hint="eastAsia"/>
              </w:rPr>
              <w:t>、钢</w:t>
            </w:r>
            <w:r>
              <w:t>笆片脚手板是指采用平放的竹片</w:t>
            </w:r>
            <w:r>
              <w:rPr>
                <w:rFonts w:hint="eastAsia"/>
              </w:rPr>
              <w:t>、钢丝网</w:t>
            </w:r>
            <w:r>
              <w:t>纵横编织而成的脚手板，一般竹片</w:t>
            </w:r>
            <w:r>
              <w:rPr>
                <w:rFonts w:hint="eastAsia"/>
              </w:rPr>
              <w:t>、钢丝网</w:t>
            </w:r>
            <w:r>
              <w:t>宽 30mm～40mm，横筋正反间隔布置，边缘部位纵横筋交点处用铁丝扎紧</w:t>
            </w:r>
            <w:r>
              <w:rPr>
                <w:rFonts w:hint="eastAsia"/>
              </w:rPr>
              <w:t>或焊接</w:t>
            </w:r>
            <w:r>
              <w:t>。</w:t>
            </w:r>
          </w:p>
        </w:tc>
      </w:tr>
    </w:tbl>
    <w:p>
      <w:pPr>
        <w:pStyle w:val="197"/>
        <w:numPr>
          <w:ilvl w:val="0"/>
          <w:numId w:val="0"/>
        </w:numPr>
        <w:ind w:left="851"/>
      </w:pPr>
    </w:p>
    <w:p>
      <w:pPr>
        <w:pStyle w:val="79"/>
        <w:ind w:firstLine="420"/>
      </w:pPr>
      <w:r>
        <w:rPr>
          <w:rFonts w:hint="eastAsia"/>
        </w:rPr>
        <w:t>b）</w:t>
      </w:r>
      <w:r>
        <w:t>栏杆与挡脚板自重标准值可按表</w:t>
      </w:r>
      <w:r>
        <w:rPr>
          <w:rFonts w:hint="eastAsia"/>
        </w:rPr>
        <w:t>3</w:t>
      </w:r>
      <w:r>
        <w:t>采用</w:t>
      </w:r>
      <w:r>
        <w:rPr>
          <w:rFonts w:hint="eastAsia"/>
        </w:rPr>
        <w:t>。</w:t>
      </w:r>
    </w:p>
    <w:p>
      <w:pPr>
        <w:pStyle w:val="330"/>
        <w:numPr>
          <w:ilvl w:val="0"/>
          <w:numId w:val="16"/>
        </w:numPr>
        <w:spacing w:before="156" w:after="156"/>
      </w:pPr>
      <w:r>
        <w:t>栏杆、挡脚板自重标准值</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685"/>
        <w:gridCol w:w="34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6" w:hRule="atLeast"/>
          <w:jc w:val="center"/>
        </w:trPr>
        <w:tc>
          <w:tcPr>
            <w:tcW w:w="3685" w:type="dxa"/>
            <w:tcBorders>
              <w:top w:val="single" w:color="auto" w:sz="8" w:space="0"/>
              <w:bottom w:val="single" w:color="auto" w:sz="8" w:space="0"/>
            </w:tcBorders>
          </w:tcPr>
          <w:p>
            <w:pPr>
              <w:pStyle w:val="253"/>
              <w:tabs>
                <w:tab w:val="center" w:pos="1238"/>
                <w:tab w:val="clear" w:pos="4201"/>
                <w:tab w:val="clear" w:pos="9298"/>
              </w:tabs>
              <w:ind w:firstLine="0" w:firstLineChars="0"/>
              <w:jc w:val="center"/>
              <w:rPr>
                <w:sz w:val="18"/>
                <w:szCs w:val="18"/>
              </w:rPr>
            </w:pPr>
            <w:r>
              <w:rPr>
                <w:rFonts w:hint="eastAsia"/>
                <w:sz w:val="18"/>
                <w:szCs w:val="18"/>
              </w:rPr>
              <w:t>类别</w:t>
            </w:r>
          </w:p>
        </w:tc>
        <w:tc>
          <w:tcPr>
            <w:tcW w:w="3402" w:type="dxa"/>
            <w:tcBorders>
              <w:top w:val="single" w:color="auto" w:sz="8" w:space="0"/>
              <w:bottom w:val="single" w:color="auto" w:sz="8" w:space="0"/>
            </w:tcBorders>
          </w:tcPr>
          <w:p>
            <w:pPr>
              <w:jc w:val="center"/>
              <w:rPr>
                <w:rFonts w:ascii="宋体"/>
                <w:sz w:val="18"/>
                <w:vertAlign w:val="superscript"/>
              </w:rPr>
            </w:pPr>
            <w:r>
              <w:rPr>
                <w:rFonts w:hint="eastAsia" w:ascii="宋体"/>
                <w:sz w:val="18"/>
              </w:rPr>
              <w:t>标准值（kN/m）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tcBorders>
              <w:top w:val="single" w:color="auto" w:sz="8" w:space="0"/>
            </w:tcBorders>
          </w:tcPr>
          <w:p>
            <w:pPr>
              <w:jc w:val="center"/>
              <w:rPr>
                <w:rFonts w:ascii="宋体"/>
                <w:sz w:val="18"/>
                <w:szCs w:val="18"/>
              </w:rPr>
            </w:pPr>
            <w:r>
              <w:rPr>
                <w:rFonts w:ascii="宋体"/>
                <w:sz w:val="18"/>
                <w:szCs w:val="18"/>
              </w:rPr>
              <w:t>栏杆、冲压钢脚手板挡板</w:t>
            </w:r>
          </w:p>
        </w:tc>
        <w:tc>
          <w:tcPr>
            <w:tcW w:w="3402" w:type="dxa"/>
            <w:tcBorders>
              <w:top w:val="single" w:color="auto" w:sz="8" w:space="0"/>
            </w:tcBorders>
          </w:tcPr>
          <w:p>
            <w:pPr>
              <w:jc w:val="center"/>
              <w:rPr>
                <w:rFonts w:ascii="宋体"/>
                <w:sz w:val="18"/>
                <w:szCs w:val="18"/>
              </w:rPr>
            </w:pPr>
            <w:r>
              <w:rPr>
                <w:rFonts w:hint="eastAsia" w:ascii="宋体"/>
                <w:sz w:val="18"/>
                <w:szCs w:val="18"/>
              </w:rPr>
              <w:t>0.16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tcPr>
          <w:p>
            <w:pPr>
              <w:jc w:val="center"/>
              <w:rPr>
                <w:rFonts w:ascii="宋体"/>
                <w:sz w:val="18"/>
                <w:szCs w:val="18"/>
              </w:rPr>
            </w:pPr>
            <w:r>
              <w:rPr>
                <w:rFonts w:ascii="宋体"/>
                <w:sz w:val="18"/>
                <w:szCs w:val="18"/>
              </w:rPr>
              <w:t>栏杆、竹笆片</w:t>
            </w:r>
            <w:r>
              <w:rPr>
                <w:rFonts w:hint="eastAsia" w:ascii="宋体"/>
                <w:sz w:val="18"/>
                <w:szCs w:val="18"/>
              </w:rPr>
              <w:t>、</w:t>
            </w:r>
            <w:r>
              <w:rPr>
                <w:rFonts w:hint="eastAsia"/>
                <w:sz w:val="18"/>
                <w:szCs w:val="18"/>
              </w:rPr>
              <w:t>钢</w:t>
            </w:r>
            <w:r>
              <w:rPr>
                <w:sz w:val="18"/>
                <w:szCs w:val="18"/>
              </w:rPr>
              <w:t>笆片</w:t>
            </w:r>
            <w:r>
              <w:rPr>
                <w:rFonts w:ascii="宋体"/>
                <w:sz w:val="18"/>
                <w:szCs w:val="18"/>
              </w:rPr>
              <w:t>脚手板挡板</w:t>
            </w:r>
          </w:p>
        </w:tc>
        <w:tc>
          <w:tcPr>
            <w:tcW w:w="3402" w:type="dxa"/>
          </w:tcPr>
          <w:p>
            <w:pPr>
              <w:jc w:val="center"/>
              <w:rPr>
                <w:rFonts w:ascii="宋体"/>
                <w:sz w:val="18"/>
                <w:szCs w:val="18"/>
              </w:rPr>
            </w:pPr>
            <w:r>
              <w:rPr>
                <w:rFonts w:hint="eastAsia" w:ascii="宋体"/>
                <w:sz w:val="18"/>
                <w:szCs w:val="18"/>
              </w:rPr>
              <w:t>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tcBorders>
              <w:top w:val="single" w:color="auto" w:sz="4" w:space="0"/>
              <w:bottom w:val="single" w:color="auto" w:sz="4" w:space="0"/>
            </w:tcBorders>
          </w:tcPr>
          <w:p>
            <w:pPr>
              <w:pStyle w:val="253"/>
              <w:ind w:firstLine="0" w:firstLineChars="0"/>
              <w:jc w:val="center"/>
              <w:rPr>
                <w:sz w:val="18"/>
                <w:szCs w:val="18"/>
              </w:rPr>
            </w:pPr>
            <w:r>
              <w:rPr>
                <w:sz w:val="18"/>
                <w:szCs w:val="18"/>
              </w:rPr>
              <w:t>栏杆、木脚手板挡板</w:t>
            </w:r>
          </w:p>
        </w:tc>
        <w:tc>
          <w:tcPr>
            <w:tcW w:w="3402" w:type="dxa"/>
            <w:tcBorders>
              <w:top w:val="single" w:color="auto" w:sz="4" w:space="0"/>
              <w:bottom w:val="single" w:color="auto" w:sz="4" w:space="0"/>
            </w:tcBorders>
          </w:tcPr>
          <w:p>
            <w:pPr>
              <w:jc w:val="center"/>
              <w:rPr>
                <w:rFonts w:ascii="宋体"/>
                <w:sz w:val="18"/>
                <w:szCs w:val="18"/>
              </w:rPr>
            </w:pPr>
            <w:r>
              <w:rPr>
                <w:rFonts w:hint="eastAsia" w:ascii="宋体"/>
                <w:sz w:val="18"/>
                <w:szCs w:val="18"/>
              </w:rPr>
              <w:t>0.17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87" w:type="dxa"/>
            <w:gridSpan w:val="2"/>
            <w:tcBorders>
              <w:top w:val="single" w:color="auto" w:sz="4" w:space="0"/>
              <w:bottom w:val="single" w:color="auto" w:sz="8" w:space="0"/>
            </w:tcBorders>
          </w:tcPr>
          <w:p>
            <w:pPr>
              <w:pStyle w:val="202"/>
            </w:pPr>
            <w:r>
              <w:t>栏杆、竹笆片</w:t>
            </w:r>
            <w:r>
              <w:rPr>
                <w:rFonts w:hint="eastAsia"/>
              </w:rPr>
              <w:t>、钢</w:t>
            </w:r>
            <w:r>
              <w:t>笆片脚手板挡板的自重标准值，按照钢管栏杆二道及竹笆片</w:t>
            </w:r>
            <w:r>
              <w:rPr>
                <w:rFonts w:hint="eastAsia"/>
              </w:rPr>
              <w:t>、钢</w:t>
            </w:r>
            <w:r>
              <w:t>笆片1m 高度计算。</w:t>
            </w:r>
          </w:p>
        </w:tc>
      </w:tr>
    </w:tbl>
    <w:p>
      <w:pPr>
        <w:pStyle w:val="197"/>
        <w:numPr>
          <w:ilvl w:val="0"/>
          <w:numId w:val="0"/>
        </w:numPr>
        <w:ind w:left="851"/>
      </w:pPr>
    </w:p>
    <w:p>
      <w:pPr>
        <w:pStyle w:val="79"/>
        <w:ind w:firstLine="420"/>
      </w:pPr>
      <w:r>
        <w:rPr>
          <w:rFonts w:hint="eastAsia"/>
        </w:rPr>
        <w:t>c）</w:t>
      </w:r>
      <w:r>
        <w:t>密目安全网自重标准值可按 0.0</w:t>
      </w:r>
      <w:r>
        <w:rPr>
          <w:rFonts w:hint="eastAsia"/>
        </w:rPr>
        <w:t>1</w:t>
      </w:r>
      <w:r>
        <w:t>kN/</w:t>
      </w:r>
      <w:r>
        <w:rPr>
          <w:rFonts w:hint="eastAsia"/>
        </w:rPr>
        <w:t>m</w:t>
      </w:r>
      <w:r>
        <w:rPr>
          <w:rFonts w:hint="eastAsia"/>
          <w:vertAlign w:val="superscript"/>
        </w:rPr>
        <w:t>2</w:t>
      </w:r>
      <w:r>
        <w:t xml:space="preserve"> 取值</w:t>
      </w:r>
      <w:r>
        <w:rPr>
          <w:rFonts w:hint="eastAsia"/>
        </w:rPr>
        <w:t>,钢板网自重标准值可按0.05</w:t>
      </w:r>
      <w:r>
        <w:t>kN/</w:t>
      </w:r>
      <w:r>
        <w:rPr>
          <w:rFonts w:hint="eastAsia"/>
        </w:rPr>
        <w:t>m</w:t>
      </w:r>
      <w:r>
        <w:rPr>
          <w:rFonts w:hint="eastAsia"/>
          <w:vertAlign w:val="superscript"/>
        </w:rPr>
        <w:t>2</w:t>
      </w:r>
      <w:r>
        <w:t xml:space="preserve"> 取值。</w:t>
      </w:r>
    </w:p>
    <w:p>
      <w:pPr>
        <w:pStyle w:val="79"/>
        <w:ind w:firstLine="420"/>
      </w:pPr>
      <w:r>
        <w:rPr>
          <w:rFonts w:hint="eastAsia"/>
        </w:rPr>
        <w:t>d）</w:t>
      </w:r>
      <w:r>
        <w:t>其他安全设施及标语等自重标准值按实际值采用。</w:t>
      </w:r>
    </w:p>
    <w:p>
      <w:pPr>
        <w:pStyle w:val="188"/>
      </w:pPr>
      <w:r>
        <w:t>悬挑式脚手架作业层的施工荷载标准值根据脚手架用途不同，应按表</w:t>
      </w:r>
      <w:r>
        <w:rPr>
          <w:rFonts w:hint="eastAsia"/>
        </w:rPr>
        <w:t>4</w:t>
      </w:r>
      <w:r>
        <w:t>规定采用。</w:t>
      </w:r>
    </w:p>
    <w:p>
      <w:pPr>
        <w:pStyle w:val="330"/>
        <w:numPr>
          <w:ilvl w:val="0"/>
          <w:numId w:val="16"/>
        </w:numPr>
        <w:spacing w:before="156" w:after="156"/>
      </w:pPr>
      <w:r>
        <w:t>作业层均布施工荷载标准值</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685"/>
        <w:gridCol w:w="34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tcBorders>
              <w:top w:val="single" w:color="auto" w:sz="8" w:space="0"/>
              <w:bottom w:val="single" w:color="auto" w:sz="8" w:space="0"/>
            </w:tcBorders>
          </w:tcPr>
          <w:p>
            <w:pPr>
              <w:pStyle w:val="253"/>
              <w:tabs>
                <w:tab w:val="center" w:pos="1238"/>
                <w:tab w:val="clear" w:pos="4201"/>
                <w:tab w:val="clear" w:pos="9298"/>
              </w:tabs>
              <w:ind w:firstLine="0" w:firstLineChars="0"/>
              <w:jc w:val="center"/>
              <w:rPr>
                <w:sz w:val="18"/>
                <w:szCs w:val="18"/>
              </w:rPr>
            </w:pPr>
            <w:r>
              <w:rPr>
                <w:rFonts w:hint="eastAsia"/>
                <w:sz w:val="18"/>
                <w:szCs w:val="18"/>
              </w:rPr>
              <w:t>脚手架用途</w:t>
            </w:r>
          </w:p>
        </w:tc>
        <w:tc>
          <w:tcPr>
            <w:tcW w:w="3402" w:type="dxa"/>
            <w:tcBorders>
              <w:top w:val="single" w:color="auto" w:sz="8" w:space="0"/>
              <w:bottom w:val="single" w:color="auto" w:sz="8" w:space="0"/>
            </w:tcBorders>
          </w:tcPr>
          <w:p>
            <w:pPr>
              <w:jc w:val="center"/>
              <w:rPr>
                <w:rFonts w:ascii="宋体"/>
                <w:sz w:val="18"/>
                <w:vertAlign w:val="superscript"/>
              </w:rPr>
            </w:pPr>
            <w:r>
              <w:rPr>
                <w:rFonts w:hint="eastAsia" w:ascii="宋体"/>
                <w:sz w:val="18"/>
              </w:rPr>
              <w:t>荷载标准值(kN/m</w:t>
            </w:r>
            <w:r>
              <w:rPr>
                <w:rFonts w:hint="eastAsia" w:ascii="宋体"/>
                <w:sz w:val="18"/>
                <w:vertAlign w:val="superscript"/>
              </w:rPr>
              <w:t>2</w:t>
            </w:r>
            <w:r>
              <w:rPr>
                <w:rFonts w:hint="eastAsia" w:ascii="宋体"/>
                <w:sz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tcBorders>
              <w:top w:val="single" w:color="auto" w:sz="8" w:space="0"/>
            </w:tcBorders>
          </w:tcPr>
          <w:p>
            <w:pPr>
              <w:jc w:val="center"/>
              <w:rPr>
                <w:rFonts w:ascii="宋体"/>
                <w:sz w:val="18"/>
              </w:rPr>
            </w:pPr>
            <w:r>
              <w:rPr>
                <w:rFonts w:hint="eastAsia" w:ascii="宋体"/>
                <w:sz w:val="18"/>
              </w:rPr>
              <w:t>装饰脚手架</w:t>
            </w:r>
          </w:p>
        </w:tc>
        <w:tc>
          <w:tcPr>
            <w:tcW w:w="3402" w:type="dxa"/>
            <w:tcBorders>
              <w:top w:val="single" w:color="auto" w:sz="8" w:space="0"/>
            </w:tcBorders>
          </w:tcPr>
          <w:p>
            <w:pPr>
              <w:jc w:val="center"/>
              <w:rPr>
                <w:rFonts w:ascii="宋体"/>
                <w:sz w:val="18"/>
              </w:rPr>
            </w:pPr>
            <w:r>
              <w:rPr>
                <w:rFonts w:hint="eastAsia" w:ascii="宋体"/>
                <w:sz w:val="1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685" w:type="dxa"/>
            <w:tcBorders>
              <w:top w:val="single" w:color="auto" w:sz="4" w:space="0"/>
              <w:bottom w:val="single" w:color="auto" w:sz="4" w:space="0"/>
            </w:tcBorders>
          </w:tcPr>
          <w:p>
            <w:pPr>
              <w:pStyle w:val="253"/>
              <w:ind w:firstLine="0" w:firstLineChars="0"/>
              <w:jc w:val="center"/>
              <w:rPr>
                <w:sz w:val="18"/>
                <w:szCs w:val="18"/>
              </w:rPr>
            </w:pPr>
            <w:r>
              <w:rPr>
                <w:rFonts w:hint="eastAsia"/>
                <w:sz w:val="18"/>
                <w:szCs w:val="18"/>
              </w:rPr>
              <w:t>结构脚手架</w:t>
            </w:r>
          </w:p>
        </w:tc>
        <w:tc>
          <w:tcPr>
            <w:tcW w:w="3402" w:type="dxa"/>
            <w:tcBorders>
              <w:top w:val="single" w:color="auto" w:sz="4" w:space="0"/>
              <w:bottom w:val="single" w:color="auto" w:sz="4" w:space="0"/>
            </w:tcBorders>
          </w:tcPr>
          <w:p>
            <w:pPr>
              <w:jc w:val="center"/>
              <w:rPr>
                <w:rFonts w:ascii="宋体"/>
                <w:sz w:val="18"/>
              </w:rPr>
            </w:pPr>
            <w:r>
              <w:rPr>
                <w:rFonts w:hint="eastAsia" w:ascii="宋体"/>
                <w:sz w:val="18"/>
              </w:rPr>
              <w:t>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87" w:type="dxa"/>
            <w:gridSpan w:val="2"/>
            <w:tcBorders>
              <w:top w:val="single" w:color="auto" w:sz="4" w:space="0"/>
              <w:bottom w:val="single" w:color="auto" w:sz="8" w:space="0"/>
            </w:tcBorders>
          </w:tcPr>
          <w:p>
            <w:pPr>
              <w:pStyle w:val="203"/>
            </w:pPr>
            <w:r>
              <w:rPr>
                <w:rFonts w:hint="eastAsia"/>
              </w:rPr>
              <w:t>当</w:t>
            </w:r>
            <w:r>
              <w:t>悬挑</w:t>
            </w:r>
            <w:r>
              <w:rPr>
                <w:rFonts w:hint="eastAsia"/>
              </w:rPr>
              <w:t>式</w:t>
            </w:r>
            <w:r>
              <w:t>脚手架</w:t>
            </w:r>
            <w:r>
              <w:rPr>
                <w:rFonts w:hint="eastAsia"/>
              </w:rPr>
              <w:t>存在2个及以上作业层同时作业时,在同一跨距内各操作层的施工荷载标准值总和取值</w:t>
            </w:r>
            <w:r>
              <w:t>不</w:t>
            </w:r>
            <w:r>
              <w:rPr>
                <w:rFonts w:hint="eastAsia"/>
              </w:rPr>
              <w:t>应</w:t>
            </w:r>
            <w:r>
              <w:t>小于</w:t>
            </w:r>
            <w:r>
              <w:rPr>
                <w:rFonts w:hint="eastAsia"/>
              </w:rPr>
              <w:t>5</w:t>
            </w:r>
            <w:r>
              <w:t>kN/</w:t>
            </w:r>
            <w:r>
              <w:rPr>
                <w:rFonts w:hint="eastAsia"/>
              </w:rPr>
              <w:t>m</w:t>
            </w:r>
            <w:r>
              <w:rPr>
                <w:rFonts w:hint="eastAsia"/>
                <w:vertAlign w:val="superscript"/>
              </w:rPr>
              <w:t>2</w:t>
            </w:r>
            <w:r>
              <w:t>；</w:t>
            </w:r>
          </w:p>
          <w:p>
            <w:pPr>
              <w:pStyle w:val="203"/>
            </w:pPr>
            <w:r>
              <w:t>石材幕墙、玻璃幕墙等施工荷载较大的分项工程施工，应按实际情况采用。</w:t>
            </w:r>
          </w:p>
        </w:tc>
      </w:tr>
    </w:tbl>
    <w:p>
      <w:pPr>
        <w:pStyle w:val="197"/>
        <w:numPr>
          <w:ilvl w:val="0"/>
          <w:numId w:val="0"/>
        </w:numPr>
        <w:ind w:left="851"/>
      </w:pPr>
    </w:p>
    <w:p>
      <w:pPr>
        <w:pStyle w:val="188"/>
        <w:ind w:left="0"/>
      </w:pPr>
      <w:r>
        <w:t>作用于悬挑式脚手架的水平风荷载应按</w:t>
      </w:r>
      <w:r>
        <w:rPr>
          <w:rFonts w:hint="eastAsia"/>
        </w:rPr>
        <w:t>下式(1)</w:t>
      </w:r>
      <w:r>
        <w:t>计算：</w:t>
      </w:r>
    </w:p>
    <w:p>
      <w:pPr>
        <w:pStyle w:val="136"/>
      </w:pPr>
      <w:r>
        <w:tab/>
      </w:r>
      <w:r>
        <w:rPr>
          <w:position w:val="-12"/>
        </w:rPr>
        <w:object>
          <v:shape id="_x0000_i1025" o:spt="75" type="#_x0000_t75" style="height:18.75pt;width:63pt;" o:ole="t" filled="f" o:preferrelative="t" stroked="f" coordsize="21600,21600">
            <v:path/>
            <v:fill on="f" focussize="0,0"/>
            <v:stroke on="f" joinstyle="miter"/>
            <v:imagedata r:id="rId30" o:title=""/>
            <o:lock v:ext="edit" aspectratio="t"/>
            <w10:wrap type="none"/>
            <w10:anchorlock/>
          </v:shape>
          <o:OLEObject Type="Embed" ProgID="Equation.3" ShapeID="_x0000_i1025" DrawAspect="Content" ObjectID="_1468075725" r:id="rId29">
            <o:LockedField>false</o:LockedField>
          </o:OLEObject>
        </w:object>
      </w:r>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136"/>
        <w:ind w:firstLine="420" w:firstLineChars="200"/>
        <w:rPr>
          <w:vertAlign w:val="subscript"/>
        </w:rPr>
      </w:pPr>
      <w:r>
        <w:t>w</w:t>
      </w:r>
      <w:r>
        <w:rPr>
          <w:rFonts w:hint="eastAsia"/>
          <w:vertAlign w:val="subscript"/>
        </w:rPr>
        <w:t>k</w:t>
      </w:r>
      <w:r>
        <w:rPr>
          <w:rFonts w:ascii="Times New Roman" w:hAnsi="Times New Roman"/>
        </w:rPr>
        <w:t>——</w:t>
      </w:r>
      <w:r>
        <w:t>风荷载标准值</w:t>
      </w:r>
      <w:r>
        <w:rPr>
          <w:rFonts w:hint="eastAsia"/>
        </w:rPr>
        <w:t>(</w:t>
      </w:r>
      <w:r>
        <w:t>kN/m</w:t>
      </w:r>
      <w:r>
        <w:rPr>
          <w:rFonts w:hint="eastAsia"/>
          <w:vertAlign w:val="superscript"/>
        </w:rPr>
        <w:t>2</w:t>
      </w:r>
      <w:r>
        <w:rPr>
          <w:rFonts w:hint="eastAsia"/>
        </w:rPr>
        <w:t>)；</w:t>
      </w:r>
    </w:p>
    <w:p>
      <w:pPr>
        <w:ind w:firstLine="420" w:firstLineChars="200"/>
        <w:rPr>
          <w:rFonts w:ascii="宋体" w:hAnsi="宋体"/>
        </w:rPr>
      </w:pPr>
      <w:r>
        <w:rPr>
          <w:rFonts w:ascii="宋体" w:hAnsi="宋体"/>
        </w:rPr>
        <w:t>µ</w:t>
      </w:r>
      <w:r>
        <w:rPr>
          <w:rFonts w:ascii="宋体" w:hAnsi="宋体"/>
          <w:vertAlign w:val="subscript"/>
        </w:rPr>
        <w:t>z</w:t>
      </w:r>
      <w:r>
        <w:rPr>
          <w:rFonts w:ascii="Times New Roman" w:hAnsi="Times New Roman"/>
        </w:rPr>
        <w:t>——</w:t>
      </w:r>
      <w:r>
        <w:rPr>
          <w:rFonts w:ascii="宋体" w:hAnsi="宋体"/>
        </w:rPr>
        <w:t>风压高度变化系数，应按GB50009规定采用；</w:t>
      </w:r>
    </w:p>
    <w:p>
      <w:pPr>
        <w:ind w:firstLine="420" w:firstLineChars="200"/>
        <w:rPr>
          <w:rFonts w:ascii="宋体" w:hAnsi="宋体"/>
        </w:rPr>
      </w:pPr>
      <w:r>
        <w:rPr>
          <w:rFonts w:ascii="宋体" w:hAnsi="宋体"/>
        </w:rPr>
        <w:t>µ</w:t>
      </w:r>
      <w:r>
        <w:rPr>
          <w:rFonts w:ascii="宋体" w:hAnsi="宋体"/>
          <w:vertAlign w:val="subscript"/>
        </w:rPr>
        <w:t>s</w:t>
      </w:r>
      <w:r>
        <w:rPr>
          <w:rFonts w:ascii="Times New Roman" w:hAnsi="Times New Roman"/>
        </w:rPr>
        <w:t>——</w:t>
      </w:r>
      <w:r>
        <w:rPr>
          <w:rFonts w:ascii="宋体" w:hAnsi="宋体"/>
        </w:rPr>
        <w:t>脚手架风荷载体型系数，按</w:t>
      </w:r>
      <w:r>
        <w:rPr>
          <w:rFonts w:hint="eastAsia" w:ascii="宋体" w:hAnsi="宋体"/>
        </w:rPr>
        <w:t>6</w:t>
      </w:r>
      <w:r>
        <w:rPr>
          <w:rFonts w:ascii="宋体" w:hAnsi="宋体"/>
        </w:rPr>
        <w:t>.2.</w:t>
      </w:r>
      <w:r>
        <w:rPr>
          <w:rFonts w:hint="eastAsia" w:ascii="宋体" w:hAnsi="宋体"/>
        </w:rPr>
        <w:t>5</w:t>
      </w:r>
      <w:r>
        <w:rPr>
          <w:rFonts w:ascii="宋体" w:hAnsi="宋体"/>
        </w:rPr>
        <w:t>的规定采用；</w:t>
      </w:r>
    </w:p>
    <w:p>
      <w:pPr>
        <w:ind w:firstLine="420" w:firstLineChars="200"/>
        <w:rPr>
          <w:rFonts w:ascii="宋体" w:hAnsi="宋体"/>
        </w:rPr>
      </w:pPr>
      <w:r>
        <w:rPr>
          <w:rFonts w:ascii="宋体" w:hAnsi="宋体"/>
        </w:rPr>
        <w:t>w</w:t>
      </w:r>
      <w:r>
        <w:rPr>
          <w:rFonts w:ascii="宋体" w:hAnsi="宋体"/>
          <w:vertAlign w:val="subscript"/>
        </w:rPr>
        <w:t>0</w:t>
      </w:r>
      <w:r>
        <w:rPr>
          <w:rFonts w:ascii="Times New Roman" w:hAnsi="Times New Roman"/>
        </w:rPr>
        <w:t>——</w:t>
      </w:r>
      <w:r>
        <w:rPr>
          <w:rFonts w:ascii="宋体" w:hAnsi="宋体"/>
        </w:rPr>
        <w:t>基本风压 （kN/m</w:t>
      </w:r>
      <w:r>
        <w:rPr>
          <w:rFonts w:ascii="宋体" w:hAnsi="宋体"/>
          <w:vertAlign w:val="superscript"/>
        </w:rPr>
        <w:t>2</w:t>
      </w:r>
      <w:r>
        <w:rPr>
          <w:rFonts w:ascii="宋体" w:hAnsi="宋体"/>
        </w:rPr>
        <w:t>），按GB50009的</w:t>
      </w:r>
      <w:r>
        <w:rPr>
          <w:rFonts w:hint="eastAsia" w:ascii="宋体" w:hAnsi="宋体"/>
        </w:rPr>
        <w:t>中</w:t>
      </w:r>
      <w:r>
        <w:rPr>
          <w:rFonts w:ascii="宋体" w:hAnsi="宋体"/>
        </w:rPr>
        <w:t>附表</w:t>
      </w:r>
      <w:r>
        <w:rPr>
          <w:rFonts w:hint="eastAsia" w:ascii="宋体" w:hAnsi="宋体"/>
        </w:rPr>
        <w:t>E</w:t>
      </w:r>
      <w:r>
        <w:rPr>
          <w:rFonts w:ascii="宋体" w:hAnsi="宋体"/>
        </w:rPr>
        <w:t>.</w:t>
      </w:r>
      <w:r>
        <w:rPr>
          <w:rFonts w:hint="eastAsia" w:ascii="宋体" w:hAnsi="宋体"/>
        </w:rPr>
        <w:t>5</w:t>
      </w:r>
      <w:r>
        <w:rPr>
          <w:rFonts w:ascii="宋体" w:hAnsi="宋体"/>
        </w:rPr>
        <w:t>取重现期</w:t>
      </w:r>
      <w:r>
        <w:rPr>
          <w:rFonts w:hint="eastAsia" w:ascii="宋体" w:hAnsi="宋体"/>
        </w:rPr>
        <w:t>R</w:t>
      </w:r>
      <w:r>
        <w:rPr>
          <w:rFonts w:ascii="宋体" w:hAnsi="宋体"/>
        </w:rPr>
        <w:t>=10对应的风压。</w:t>
      </w:r>
    </w:p>
    <w:p>
      <w:pPr>
        <w:pStyle w:val="188"/>
        <w:ind w:left="0"/>
      </w:pPr>
      <w:r>
        <w:t>悬挑</w:t>
      </w:r>
      <w:r>
        <w:rPr>
          <w:rFonts w:hint="eastAsia"/>
        </w:rPr>
        <w:t>式</w:t>
      </w:r>
      <w:r>
        <w:t>脚手架风荷载体型系数按表</w:t>
      </w:r>
      <w:r>
        <w:rPr>
          <w:rFonts w:hint="eastAsia"/>
        </w:rPr>
        <w:t>5</w:t>
      </w:r>
      <w:r>
        <w:t>采用：</w:t>
      </w:r>
    </w:p>
    <w:p>
      <w:pPr>
        <w:pStyle w:val="330"/>
        <w:numPr>
          <w:ilvl w:val="0"/>
          <w:numId w:val="16"/>
        </w:numPr>
        <w:spacing w:before="156" w:after="156"/>
      </w:pPr>
      <w:r>
        <w:t>悬挑</w:t>
      </w:r>
      <w:r>
        <w:rPr>
          <w:rFonts w:hint="eastAsia"/>
        </w:rPr>
        <w:t>式</w:t>
      </w:r>
      <w:r>
        <w:t>脚手架的风荷载体型系数μ</w:t>
      </w:r>
      <w:r>
        <w:rPr>
          <w:vertAlign w:val="subscript"/>
        </w:rPr>
        <w:t>s</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984"/>
        <w:gridCol w:w="1843"/>
        <w:gridCol w:w="19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260" w:type="dxa"/>
            <w:gridSpan w:val="2"/>
            <w:tcBorders>
              <w:top w:val="single" w:color="auto" w:sz="8" w:space="0"/>
              <w:bottom w:val="single" w:color="auto" w:sz="8" w:space="0"/>
            </w:tcBorders>
          </w:tcPr>
          <w:p>
            <w:pPr>
              <w:jc w:val="center"/>
              <w:rPr>
                <w:sz w:val="18"/>
                <w:szCs w:val="18"/>
              </w:rPr>
            </w:pPr>
            <w:r>
              <w:rPr>
                <w:sz w:val="18"/>
                <w:szCs w:val="18"/>
              </w:rPr>
              <w:t>背靠建筑物的状况</w:t>
            </w:r>
          </w:p>
        </w:tc>
        <w:tc>
          <w:tcPr>
            <w:tcW w:w="1843" w:type="dxa"/>
            <w:tcBorders>
              <w:top w:val="single" w:color="auto" w:sz="8" w:space="0"/>
              <w:bottom w:val="single" w:color="auto" w:sz="8" w:space="0"/>
            </w:tcBorders>
          </w:tcPr>
          <w:p>
            <w:pPr>
              <w:rPr>
                <w:sz w:val="18"/>
                <w:szCs w:val="18"/>
              </w:rPr>
            </w:pPr>
            <w:r>
              <w:rPr>
                <w:sz w:val="18"/>
                <w:szCs w:val="18"/>
              </w:rPr>
              <w:t>全封闭墙</w:t>
            </w:r>
          </w:p>
        </w:tc>
        <w:tc>
          <w:tcPr>
            <w:tcW w:w="1984" w:type="dxa"/>
            <w:tcBorders>
              <w:top w:val="single" w:color="auto" w:sz="8" w:space="0"/>
              <w:bottom w:val="single" w:color="auto" w:sz="8" w:space="0"/>
            </w:tcBorders>
          </w:tcPr>
          <w:p>
            <w:pPr>
              <w:rPr>
                <w:sz w:val="18"/>
                <w:szCs w:val="18"/>
              </w:rPr>
            </w:pPr>
            <w:r>
              <w:rPr>
                <w:sz w:val="18"/>
                <w:szCs w:val="18"/>
              </w:rPr>
              <w:t>敞开、框架和开洞墙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276" w:type="dxa"/>
            <w:vMerge w:val="restart"/>
            <w:tcBorders>
              <w:top w:val="single" w:color="auto" w:sz="8" w:space="0"/>
            </w:tcBorders>
            <w:vAlign w:val="center"/>
          </w:tcPr>
          <w:p>
            <w:pPr>
              <w:jc w:val="center"/>
              <w:rPr>
                <w:sz w:val="18"/>
                <w:szCs w:val="18"/>
              </w:rPr>
            </w:pPr>
            <w:r>
              <w:rPr>
                <w:sz w:val="18"/>
                <w:szCs w:val="18"/>
              </w:rPr>
              <w:t>脚手架状况</w:t>
            </w:r>
          </w:p>
        </w:tc>
        <w:tc>
          <w:tcPr>
            <w:tcW w:w="1984" w:type="dxa"/>
            <w:tcBorders>
              <w:top w:val="single" w:color="auto" w:sz="8" w:space="0"/>
            </w:tcBorders>
          </w:tcPr>
          <w:p>
            <w:pPr>
              <w:rPr>
                <w:sz w:val="18"/>
                <w:szCs w:val="18"/>
              </w:rPr>
            </w:pPr>
            <w:r>
              <w:rPr>
                <w:sz w:val="18"/>
                <w:szCs w:val="18"/>
              </w:rPr>
              <w:t>全封闭、半封闭</w:t>
            </w:r>
          </w:p>
        </w:tc>
        <w:tc>
          <w:tcPr>
            <w:tcW w:w="1843" w:type="dxa"/>
            <w:tcBorders>
              <w:top w:val="single" w:color="auto" w:sz="8" w:space="0"/>
            </w:tcBorders>
          </w:tcPr>
          <w:p>
            <w:pPr>
              <w:rPr>
                <w:sz w:val="18"/>
                <w:szCs w:val="18"/>
              </w:rPr>
            </w:pPr>
            <w:r>
              <w:rPr>
                <w:sz w:val="18"/>
                <w:szCs w:val="18"/>
              </w:rPr>
              <w:t>1.0</w:t>
            </w:r>
            <w:r>
              <w:rPr>
                <w:rFonts w:hint="eastAsia" w:hAnsi="宋体"/>
                <w:i/>
                <w:iCs/>
              </w:rPr>
              <w:t>φ</w:t>
            </w:r>
          </w:p>
        </w:tc>
        <w:tc>
          <w:tcPr>
            <w:tcW w:w="1984" w:type="dxa"/>
            <w:tcBorders>
              <w:top w:val="single" w:color="auto" w:sz="8" w:space="0"/>
            </w:tcBorders>
          </w:tcPr>
          <w:p>
            <w:pPr>
              <w:rPr>
                <w:sz w:val="18"/>
                <w:szCs w:val="18"/>
              </w:rPr>
            </w:pPr>
            <w:r>
              <w:rPr>
                <w:sz w:val="18"/>
                <w:szCs w:val="18"/>
              </w:rPr>
              <w:t>1.</w:t>
            </w:r>
            <w:r>
              <w:rPr>
                <w:rFonts w:hint="eastAsia"/>
                <w:sz w:val="18"/>
                <w:szCs w:val="18"/>
              </w:rPr>
              <w:t>3</w:t>
            </w:r>
            <w:r>
              <w:rPr>
                <w:rFonts w:hint="eastAsia" w:hAnsi="宋体"/>
                <w:i/>
                <w:iCs/>
              </w:rPr>
              <w:t>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276" w:type="dxa"/>
            <w:vMerge w:val="continue"/>
          </w:tcPr>
          <w:p>
            <w:pPr>
              <w:pStyle w:val="253"/>
              <w:ind w:firstLine="0" w:firstLineChars="0"/>
              <w:jc w:val="left"/>
              <w:rPr>
                <w:sz w:val="18"/>
                <w:szCs w:val="18"/>
              </w:rPr>
            </w:pPr>
          </w:p>
        </w:tc>
        <w:tc>
          <w:tcPr>
            <w:tcW w:w="1984" w:type="dxa"/>
            <w:tcBorders>
              <w:top w:val="single" w:color="auto" w:sz="4" w:space="0"/>
              <w:bottom w:val="single" w:color="auto" w:sz="4" w:space="0"/>
            </w:tcBorders>
          </w:tcPr>
          <w:p>
            <w:pPr>
              <w:rPr>
                <w:sz w:val="18"/>
                <w:szCs w:val="18"/>
              </w:rPr>
            </w:pPr>
            <w:r>
              <w:rPr>
                <w:sz w:val="18"/>
                <w:szCs w:val="18"/>
              </w:rPr>
              <w:t>敞开</w:t>
            </w:r>
          </w:p>
        </w:tc>
        <w:tc>
          <w:tcPr>
            <w:tcW w:w="3827" w:type="dxa"/>
            <w:gridSpan w:val="2"/>
            <w:tcBorders>
              <w:top w:val="single" w:color="auto" w:sz="4" w:space="0"/>
              <w:bottom w:val="single" w:color="auto" w:sz="4" w:space="0"/>
            </w:tcBorders>
          </w:tcPr>
          <w:p>
            <w:pPr>
              <w:rPr>
                <w:sz w:val="18"/>
                <w:szCs w:val="18"/>
              </w:rPr>
            </w:pPr>
            <w:r>
              <w:rPr>
                <w:sz w:val="18"/>
                <w:szCs w:val="18"/>
              </w:rPr>
              <w:t>μ</w:t>
            </w:r>
            <w:r>
              <w:rPr>
                <w:sz w:val="18"/>
                <w:szCs w:val="18"/>
                <w:vertAlign w:val="subscript"/>
              </w:rPr>
              <w:t>stw</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87" w:type="dxa"/>
            <w:gridSpan w:val="4"/>
            <w:tcBorders>
              <w:bottom w:val="single" w:color="auto" w:sz="8" w:space="0"/>
            </w:tcBorders>
          </w:tcPr>
          <w:p>
            <w:pPr>
              <w:pStyle w:val="203"/>
              <w:numPr>
                <w:ilvl w:val="0"/>
                <w:numId w:val="33"/>
              </w:numPr>
            </w:pPr>
            <w:r>
              <w:t>μ</w:t>
            </w:r>
            <w:r>
              <w:rPr>
                <w:vertAlign w:val="subscript"/>
              </w:rPr>
              <w:t xml:space="preserve">stw </w:t>
            </w:r>
            <w:r>
              <w:t xml:space="preserve">值可将脚手架视为桁架，按GB50009 表 </w:t>
            </w:r>
            <w:r>
              <w:rPr>
                <w:rFonts w:hint="eastAsia"/>
              </w:rPr>
              <w:t>8</w:t>
            </w:r>
            <w:r>
              <w:t>.3.1 第 32 项和第 3</w:t>
            </w:r>
            <w:r>
              <w:rPr>
                <w:rFonts w:hint="eastAsia"/>
              </w:rPr>
              <w:t>3</w:t>
            </w:r>
            <w:r>
              <w:t xml:space="preserve"> 项的规定计算；</w:t>
            </w:r>
          </w:p>
          <w:p>
            <w:pPr>
              <w:pStyle w:val="203"/>
            </w:pPr>
            <w:r>
              <w:rPr>
                <w:rFonts w:hint="eastAsia" w:hAnsi="宋体"/>
                <w:i/>
                <w:iCs/>
              </w:rPr>
              <w:t>φ</w:t>
            </w:r>
            <w:r>
              <w:t>为挡风系数，</w:t>
            </w:r>
            <w:r>
              <w:rPr>
                <w:rFonts w:hint="eastAsia" w:hAnsi="宋体"/>
                <w:i/>
                <w:iCs/>
              </w:rPr>
              <w:t>φ</w:t>
            </w:r>
            <w:r>
              <w:t>=1.2A</w:t>
            </w:r>
            <w:r>
              <w:rPr>
                <w:vertAlign w:val="subscript"/>
              </w:rPr>
              <w:t>n</w:t>
            </w:r>
            <w:r>
              <w:t>/A</w:t>
            </w:r>
            <w:r>
              <w:rPr>
                <w:vertAlign w:val="subscript"/>
              </w:rPr>
              <w:t>w</w:t>
            </w:r>
            <w:r>
              <w:t>，其中：A</w:t>
            </w:r>
            <w:r>
              <w:rPr>
                <w:rFonts w:hint="eastAsia"/>
                <w:vertAlign w:val="subscript"/>
              </w:rPr>
              <w:t>n</w:t>
            </w:r>
            <w:r>
              <w:t>为挡风面积；A</w:t>
            </w:r>
            <w:r>
              <w:rPr>
                <w:rFonts w:hint="eastAsia"/>
                <w:vertAlign w:val="subscript"/>
              </w:rPr>
              <w:t>w</w:t>
            </w:r>
            <w:r>
              <w:t>为迎风面积。</w:t>
            </w:r>
          </w:p>
        </w:tc>
      </w:tr>
    </w:tbl>
    <w:p>
      <w:pPr>
        <w:pStyle w:val="197"/>
        <w:numPr>
          <w:ilvl w:val="0"/>
          <w:numId w:val="0"/>
        </w:numPr>
        <w:ind w:left="851"/>
      </w:pPr>
    </w:p>
    <w:p>
      <w:pPr>
        <w:pStyle w:val="188"/>
        <w:ind w:left="0"/>
      </w:pPr>
      <w:r>
        <w:rPr>
          <w:rFonts w:hint="eastAsia"/>
        </w:rPr>
        <w:t>采用密目安全网全封闭的脚手架挡风系数φ可按下式计算：</w:t>
      </w:r>
    </w:p>
    <w:p>
      <w:pPr>
        <w:pStyle w:val="136"/>
      </w:pPr>
      <w:r>
        <w:tab/>
      </w:r>
      <m:oMath>
        <m:r>
          <m:rPr/>
          <w:rPr>
            <w:rFonts w:ascii="Cambria Math" w:hAnsi="Cambria Math"/>
          </w:rPr>
          <m:t>∅</m:t>
        </m:r>
        <m:r>
          <m:rPr>
            <m:sty m:val="p"/>
          </m:rPr>
          <w:rPr>
            <w:rFonts w:ascii="Cambria Math"/>
          </w:rPr>
          <m:t>=</m:t>
        </m:r>
        <m:sSub>
          <m:sSubPr>
            <m:ctrlPr>
              <w:rPr>
                <w:rFonts w:ascii="Cambria Math" w:hAnsi="Cambria Math"/>
                <w:i/>
              </w:rPr>
            </m:ctrlPr>
          </m:sSubPr>
          <m:e>
            <m:r>
              <m:rPr/>
              <w:rPr>
                <w:rFonts w:ascii="Cambria Math" w:hAnsi="Cambria Math"/>
              </w:rPr>
              <m:t>∅</m:t>
            </m:r>
            <m:ctrlPr>
              <w:rPr>
                <w:rFonts w:ascii="Cambria Math" w:hAnsi="Cambria Math"/>
                <w:i/>
              </w:rPr>
            </m:ctrlPr>
          </m:e>
          <m:sub>
            <m:r>
              <m:rPr/>
              <w:rPr>
                <w:rFonts w:ascii="Cambria Math"/>
              </w:rPr>
              <m:t>1</m:t>
            </m:r>
            <m:ctrlPr>
              <w:rPr>
                <w:rFonts w:ascii="Cambria Math" w:hAnsi="Cambria Math"/>
                <w:i/>
              </w:rPr>
            </m:ctrlPr>
          </m:sub>
        </m:sSub>
        <m:r>
          <m:rPr/>
          <w:rPr>
            <w:rFonts w:ascii="Cambria Math"/>
          </w:rPr>
          <m:t>+</m:t>
        </m:r>
        <m:sSub>
          <m:sSubPr>
            <m:ctrlPr>
              <w:rPr>
                <w:rFonts w:ascii="Cambria Math" w:hAnsi="Cambria Math"/>
                <w:i/>
              </w:rPr>
            </m:ctrlPr>
          </m:sSubPr>
          <m:e>
            <m:r>
              <m:rPr/>
              <w:rPr>
                <w:rFonts w:ascii="Cambria Math" w:hAnsi="Cambria Math"/>
              </w:rPr>
              <m:t>∅</m:t>
            </m:r>
            <m:ctrlPr>
              <w:rPr>
                <w:rFonts w:ascii="Cambria Math" w:hAnsi="Cambria Math"/>
                <w:i/>
              </w:rPr>
            </m:ctrlPr>
          </m:e>
          <m:sub>
            <m:r>
              <m:rPr/>
              <w:rPr>
                <w:rFonts w:ascii="Cambria Math"/>
              </w:rPr>
              <m:t>2</m:t>
            </m:r>
            <m:ctrlPr>
              <w:rPr>
                <w:rFonts w:ascii="Cambria Math" w:hAnsi="Cambria Math"/>
                <w:i/>
              </w:rPr>
            </m:ctrlPr>
          </m:sub>
        </m:sSub>
        <m:r>
          <m:rPr/>
          <w:rPr>
            <w:rFonts w:hAnsi="Cambria Math"/>
          </w:rPr>
          <m:t>−</m:t>
        </m:r>
        <m:r>
          <m:rPr>
            <m:sty m:val="p"/>
          </m:rPr>
          <w:rPr>
            <w:rFonts w:ascii="Cambria Math"/>
            <w:position w:val="-24"/>
          </w:rPr>
          <w:object>
            <v:shape id="_x0000_i1026" o:spt="75" type="#_x0000_t75" style="height:32.25pt;width:24.75pt;" o:ole="t" filled="f" o:preferrelative="t" stroked="f" coordsize="21600,21600">
              <v:path/>
              <v:fill on="f" focussize="0,0"/>
              <v:stroke on="f" joinstyle="miter"/>
              <v:imagedata r:id="rId32" o:title=""/>
              <o:lock v:ext="edit" aspectratio="t"/>
              <w10:wrap type="none"/>
              <w10:anchorlock/>
            </v:shape>
            <o:OLEObject Type="Embed" ProgID="Equation.3" ShapeID="_x0000_i1026" DrawAspect="Content" ObjectID="_1468075726" r:id="rId31">
              <o:LockedField>false</o:LockedField>
            </o:OLEObject>
          </w:objec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79"/>
        <w:spacing w:line="320" w:lineRule="exact"/>
        <w:ind w:firstLine="420"/>
      </w:pPr>
      <w:r>
        <w:rPr>
          <w:rFonts w:ascii="Times New Roman"/>
          <w:position w:val="-10"/>
        </w:rPr>
        <w:object>
          <v:shape id="_x0000_i1027" o:spt="75" type="#_x0000_t75" style="height:17.25pt;width:10.5pt;" o:ole="t" filled="f" o:preferrelative="t" stroked="f" coordsize="21600,21600">
            <v:path/>
            <v:fill on="f" focussize="0,0"/>
            <v:stroke on="f" joinstyle="miter"/>
            <v:imagedata r:id="rId34" o:title=""/>
            <o:lock v:ext="edit" aspectratio="t"/>
            <w10:wrap type="none"/>
            <w10:anchorlock/>
          </v:shape>
          <o:OLEObject Type="Embed" ProgID="Equation.3" ShapeID="_x0000_i1027" DrawAspect="Content" ObjectID="_1468075727" r:id="rId33">
            <o:LockedField>false</o:LockedField>
          </o:OLEObject>
        </w:object>
      </w:r>
      <w:r>
        <w:rPr>
          <w:szCs w:val="21"/>
        </w:rPr>
        <w:t>——</w:t>
      </w:r>
      <w:r>
        <w:rPr>
          <w:rFonts w:hint="eastAsia"/>
          <w:spacing w:val="-5"/>
        </w:rPr>
        <w:t>敞开式扣件式钢管脚手架的挡风系数，按附录</w:t>
      </w:r>
      <w:r>
        <w:rPr>
          <w:rFonts w:ascii="CWIBKC+SimSun-Identity-H" w:hAnsi="Calibri" w:eastAsia="Times New Roman"/>
        </w:rPr>
        <w:t>A</w:t>
      </w:r>
      <w:r>
        <w:rPr>
          <w:rFonts w:hint="eastAsia"/>
        </w:rPr>
        <w:t>表</w:t>
      </w:r>
      <w:r>
        <w:rPr>
          <w:rFonts w:ascii="CWIBKC+SimSun-Identity-H" w:hAnsi="Calibri" w:eastAsia="Times New Roman"/>
        </w:rPr>
        <w:t>A</w:t>
      </w:r>
      <w:r>
        <w:rPr>
          <w:rFonts w:hint="eastAsia" w:ascii="CWIBKC+SimSun-Identity-H" w:hAnsi="Calibri" w:eastAsiaTheme="minorEastAsia"/>
        </w:rPr>
        <w:t>.4</w:t>
      </w:r>
      <w:r>
        <w:rPr>
          <w:rFonts w:hint="eastAsia" w:hAnsi="Calibri"/>
          <w:spacing w:val="-2"/>
        </w:rPr>
        <w:t>数据</w:t>
      </w:r>
      <w:r>
        <w:rPr>
          <w:rFonts w:hint="eastAsia"/>
        </w:rPr>
        <w:t>；</w:t>
      </w:r>
    </w:p>
    <w:p>
      <w:pPr>
        <w:pStyle w:val="79"/>
        <w:spacing w:line="320" w:lineRule="exact"/>
        <w:ind w:firstLine="420"/>
      </w:pPr>
      <w:r>
        <w:rPr>
          <w:position w:val="-10"/>
        </w:rPr>
        <w:object>
          <v:shape id="_x0000_i1028" o:spt="75" type="#_x0000_t75" style="height:17.25pt;width:13.5pt;" o:ole="t" filled="f" o:preferrelative="t" stroked="f" coordsize="21600,21600">
            <v:path/>
            <v:fill on="f" focussize="0,0"/>
            <v:stroke on="f" joinstyle="miter"/>
            <v:imagedata r:id="rId36" o:title=""/>
            <o:lock v:ext="edit" aspectratio="t"/>
            <w10:wrap type="none"/>
            <w10:anchorlock/>
          </v:shape>
          <o:OLEObject Type="Embed" ProgID="Equation.3" ShapeID="_x0000_i1028" DrawAspect="Content" ObjectID="_1468075728" r:id="rId35">
            <o:LockedField>false</o:LockedField>
          </o:OLEObject>
        </w:object>
      </w:r>
      <w:r>
        <w:t>——</w:t>
      </w:r>
      <w:r>
        <w:rPr>
          <w:rFonts w:hint="eastAsia"/>
          <w:spacing w:val="3"/>
        </w:rPr>
        <w:t>密目安全网的挡风系数，</w:t>
      </w:r>
      <w:r>
        <w:rPr>
          <w:rFonts w:ascii="CWIBKC+SimSun-Identity-H" w:hAnsi="CWIBKC+SimSun-Identity-H" w:eastAsia="Times New Roman"/>
          <w:spacing w:val="3"/>
        </w:rPr>
        <w:t>2000/100cm</w:t>
      </w:r>
      <w:r>
        <w:rPr>
          <w:rFonts w:ascii="CWIBKC+SimSun-Identity-H" w:hAnsi="Calibri" w:eastAsia="Times New Roman"/>
          <w:vertAlign w:val="superscript"/>
        </w:rPr>
        <w:t>2</w:t>
      </w:r>
      <w:r>
        <w:rPr>
          <w:rFonts w:hint="eastAsia"/>
          <w:spacing w:val="6"/>
        </w:rPr>
        <w:t>密目安全网宜按0.841计算。</w:t>
      </w:r>
    </w:p>
    <w:p>
      <w:pPr>
        <w:pStyle w:val="188"/>
        <w:ind w:left="0"/>
      </w:pPr>
      <w:r>
        <w:rPr>
          <w:rFonts w:hint="eastAsia"/>
        </w:rPr>
        <w:t>采用密目安全网加竹笆片脚手板双重防护时，脚手架挡风系数宜取</w:t>
      </w:r>
      <w:r>
        <w:t>1.0</w:t>
      </w:r>
      <w:r>
        <w:rPr>
          <w:rFonts w:hint="eastAsia"/>
        </w:rPr>
        <w:t>；在脚手架上张挂广告设施、宣传标语时，相应部位的脚手架挡风系数宜取</w:t>
      </w:r>
      <w:r>
        <w:t>1.0</w:t>
      </w:r>
      <w:r>
        <w:rPr>
          <w:rFonts w:hint="eastAsia"/>
        </w:rPr>
        <w:t>。</w:t>
      </w:r>
    </w:p>
    <w:p>
      <w:pPr>
        <w:pStyle w:val="128"/>
        <w:spacing w:before="156" w:after="156"/>
      </w:pPr>
      <w:bookmarkStart w:id="79" w:name="_Toc106092166"/>
      <w:bookmarkStart w:id="80" w:name="_Toc106095434"/>
      <w:r>
        <w:rPr>
          <w:rFonts w:hint="eastAsia"/>
        </w:rPr>
        <w:t>荷载效应组合</w:t>
      </w:r>
      <w:bookmarkEnd w:id="79"/>
      <w:bookmarkEnd w:id="80"/>
    </w:p>
    <w:p>
      <w:pPr>
        <w:pStyle w:val="188"/>
        <w:ind w:left="0"/>
      </w:pPr>
      <w:r>
        <w:rPr>
          <w:rFonts w:hint="eastAsia"/>
        </w:rPr>
        <w:t>设计悬挑式脚手架的承重构件时，应根据使用过程中可能出现</w:t>
      </w:r>
      <w:r>
        <w:t>的荷载，</w:t>
      </w:r>
      <w:r>
        <w:rPr>
          <w:rFonts w:hint="eastAsia"/>
        </w:rPr>
        <w:t>应</w:t>
      </w:r>
      <w:r>
        <w:t>按承载能力极限状态和正常使用极限状态分别进行荷载组合，并应取其最不利</w:t>
      </w:r>
      <w:r>
        <w:rPr>
          <w:rFonts w:hint="eastAsia"/>
        </w:rPr>
        <w:t>荷载</w:t>
      </w:r>
      <w:r>
        <w:t>组合进行</w:t>
      </w:r>
      <w:r>
        <w:rPr>
          <w:rFonts w:hint="eastAsia"/>
        </w:rPr>
        <w:t>设计</w:t>
      </w:r>
      <w:r>
        <w:t>。荷载效应组合宜按表</w:t>
      </w:r>
      <w:r>
        <w:rPr>
          <w:rFonts w:hint="eastAsia"/>
        </w:rPr>
        <w:t>6</w:t>
      </w:r>
      <w:r>
        <w:t>计算</w:t>
      </w:r>
      <w:r>
        <w:rPr>
          <w:rFonts w:hint="eastAsia"/>
        </w:rPr>
        <w:t>。</w:t>
      </w:r>
    </w:p>
    <w:p>
      <w:pPr>
        <w:pStyle w:val="330"/>
        <w:numPr>
          <w:ilvl w:val="0"/>
          <w:numId w:val="16"/>
        </w:numPr>
        <w:spacing w:before="156" w:after="156"/>
      </w:pPr>
      <w:r>
        <w:rPr>
          <w:rFonts w:hint="eastAsia"/>
        </w:rPr>
        <w:t>荷载效应组合</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10"/>
        <w:gridCol w:w="35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tcBorders>
              <w:top w:val="single" w:color="auto" w:sz="8" w:space="0"/>
              <w:bottom w:val="single" w:color="auto" w:sz="8" w:space="0"/>
            </w:tcBorders>
            <w:vAlign w:val="center"/>
          </w:tcPr>
          <w:p>
            <w:pPr>
              <w:pStyle w:val="253"/>
              <w:ind w:firstLine="0" w:firstLineChars="0"/>
              <w:jc w:val="center"/>
              <w:rPr>
                <w:sz w:val="18"/>
                <w:szCs w:val="18"/>
              </w:rPr>
            </w:pPr>
            <w:r>
              <w:rPr>
                <w:sz w:val="18"/>
                <w:szCs w:val="18"/>
              </w:rPr>
              <w:t>计算项目</w:t>
            </w:r>
          </w:p>
        </w:tc>
        <w:tc>
          <w:tcPr>
            <w:tcW w:w="3545" w:type="dxa"/>
            <w:tcBorders>
              <w:top w:val="single" w:color="auto" w:sz="8" w:space="0"/>
              <w:bottom w:val="single" w:color="auto" w:sz="8" w:space="0"/>
            </w:tcBorders>
          </w:tcPr>
          <w:p>
            <w:pPr>
              <w:pStyle w:val="253"/>
              <w:ind w:firstLine="0" w:firstLineChars="0"/>
              <w:rPr>
                <w:sz w:val="18"/>
                <w:szCs w:val="18"/>
              </w:rPr>
            </w:pPr>
            <w:r>
              <w:rPr>
                <w:sz w:val="18"/>
                <w:szCs w:val="18"/>
              </w:rPr>
              <w:t>荷载组合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tcBorders>
              <w:top w:val="single" w:color="auto" w:sz="8" w:space="0"/>
            </w:tcBorders>
            <w:vAlign w:val="center"/>
          </w:tcPr>
          <w:p>
            <w:pPr>
              <w:autoSpaceDE w:val="0"/>
              <w:autoSpaceDN w:val="0"/>
              <w:spacing w:line="281" w:lineRule="exact"/>
              <w:jc w:val="center"/>
              <w:rPr>
                <w:rFonts w:ascii="宋体"/>
                <w:kern w:val="0"/>
                <w:sz w:val="18"/>
                <w:szCs w:val="18"/>
              </w:rPr>
            </w:pPr>
            <w:r>
              <w:rPr>
                <w:rFonts w:hint="eastAsia" w:ascii="宋体"/>
                <w:kern w:val="0"/>
                <w:sz w:val="18"/>
                <w:szCs w:val="18"/>
              </w:rPr>
              <w:t>架体纵向、横向水平杆承载力与变形</w:t>
            </w:r>
          </w:p>
        </w:tc>
        <w:tc>
          <w:tcPr>
            <w:tcW w:w="3545" w:type="dxa"/>
            <w:tcBorders>
              <w:top w:val="single" w:color="auto" w:sz="8" w:space="0"/>
            </w:tcBorders>
          </w:tcPr>
          <w:p>
            <w:pPr>
              <w:autoSpaceDE w:val="0"/>
              <w:autoSpaceDN w:val="0"/>
              <w:spacing w:line="281" w:lineRule="exact"/>
              <w:rPr>
                <w:rFonts w:ascii="宋体"/>
                <w:kern w:val="0"/>
                <w:sz w:val="18"/>
                <w:szCs w:val="18"/>
              </w:rPr>
            </w:pPr>
            <w:r>
              <w:rPr>
                <w:rFonts w:hint="eastAsia" w:ascii="宋体"/>
                <w:kern w:val="0"/>
                <w:sz w:val="18"/>
                <w:szCs w:val="18"/>
              </w:rPr>
              <w:t>恒载</w:t>
            </w:r>
            <w:r>
              <w:rPr>
                <w:rFonts w:ascii="宋体"/>
                <w:kern w:val="0"/>
                <w:sz w:val="18"/>
                <w:szCs w:val="18"/>
              </w:rPr>
              <w:t>+</w:t>
            </w:r>
            <w:r>
              <w:rPr>
                <w:rFonts w:hint="eastAsia" w:ascii="宋体"/>
                <w:kern w:val="0"/>
                <w:sz w:val="18"/>
                <w:szCs w:val="18"/>
              </w:rPr>
              <w:t>施工均布活荷载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vMerge w:val="restart"/>
            <w:vAlign w:val="center"/>
          </w:tcPr>
          <w:p>
            <w:pPr>
              <w:autoSpaceDE w:val="0"/>
              <w:autoSpaceDN w:val="0"/>
              <w:spacing w:line="281" w:lineRule="exact"/>
              <w:jc w:val="center"/>
              <w:rPr>
                <w:rFonts w:ascii="宋体"/>
                <w:kern w:val="0"/>
                <w:sz w:val="18"/>
                <w:szCs w:val="18"/>
              </w:rPr>
            </w:pPr>
            <w:r>
              <w:rPr>
                <w:rFonts w:hint="eastAsia" w:ascii="宋体"/>
                <w:kern w:val="0"/>
                <w:sz w:val="18"/>
                <w:szCs w:val="18"/>
              </w:rPr>
              <w:t>悬挑承力架的承载力与变形</w:t>
            </w:r>
          </w:p>
        </w:tc>
        <w:tc>
          <w:tcPr>
            <w:tcW w:w="3545" w:type="dxa"/>
          </w:tcPr>
          <w:p>
            <w:pPr>
              <w:autoSpaceDE w:val="0"/>
              <w:autoSpaceDN w:val="0"/>
              <w:spacing w:line="281" w:lineRule="exact"/>
              <w:rPr>
                <w:rFonts w:ascii="宋体"/>
                <w:kern w:val="0"/>
                <w:sz w:val="18"/>
                <w:szCs w:val="18"/>
              </w:rPr>
            </w:pPr>
            <w:r>
              <w:rPr>
                <w:rFonts w:hint="eastAsia" w:ascii="宋体"/>
                <w:kern w:val="0"/>
                <w:sz w:val="18"/>
                <w:szCs w:val="18"/>
              </w:rPr>
              <w:t>恒载</w:t>
            </w:r>
            <w:r>
              <w:rPr>
                <w:rFonts w:ascii="宋体"/>
                <w:kern w:val="0"/>
                <w:sz w:val="18"/>
                <w:szCs w:val="18"/>
              </w:rPr>
              <w:t>+</w:t>
            </w:r>
            <w:r>
              <w:rPr>
                <w:rFonts w:hint="eastAsia" w:ascii="宋体"/>
                <w:kern w:val="0"/>
                <w:sz w:val="18"/>
                <w:szCs w:val="18"/>
              </w:rPr>
              <w:t>施工均布活荷载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vMerge w:val="continue"/>
            <w:vAlign w:val="center"/>
          </w:tcPr>
          <w:p>
            <w:pPr>
              <w:pStyle w:val="253"/>
              <w:ind w:firstLine="0" w:firstLineChars="0"/>
              <w:jc w:val="center"/>
              <w:rPr>
                <w:sz w:val="18"/>
                <w:szCs w:val="18"/>
              </w:rPr>
            </w:pPr>
          </w:p>
        </w:tc>
        <w:tc>
          <w:tcPr>
            <w:tcW w:w="3545" w:type="dxa"/>
          </w:tcPr>
          <w:p>
            <w:pPr>
              <w:autoSpaceDE w:val="0"/>
              <w:autoSpaceDN w:val="0"/>
              <w:spacing w:line="281" w:lineRule="exact"/>
              <w:rPr>
                <w:rFonts w:ascii="宋体"/>
                <w:kern w:val="0"/>
                <w:sz w:val="18"/>
                <w:szCs w:val="18"/>
              </w:rPr>
            </w:pPr>
            <w:r>
              <w:rPr>
                <w:rFonts w:hint="eastAsia" w:ascii="宋体"/>
                <w:kern w:val="0"/>
                <w:sz w:val="18"/>
                <w:szCs w:val="18"/>
              </w:rPr>
              <w:t>恒载</w:t>
            </w:r>
            <w:r>
              <w:rPr>
                <w:rFonts w:ascii="宋体"/>
                <w:kern w:val="0"/>
                <w:sz w:val="18"/>
                <w:szCs w:val="18"/>
              </w:rPr>
              <w:t>+</w:t>
            </w:r>
            <w:r>
              <w:rPr>
                <w:rFonts w:hint="eastAsia" w:ascii="宋体"/>
                <w:kern w:val="0"/>
                <w:sz w:val="18"/>
                <w:szCs w:val="18"/>
              </w:rPr>
              <w:t>0.9（施工均布活荷载+风荷载）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vMerge w:val="restart"/>
            <w:vAlign w:val="center"/>
          </w:tcPr>
          <w:p>
            <w:pPr>
              <w:autoSpaceDE w:val="0"/>
              <w:autoSpaceDN w:val="0"/>
              <w:spacing w:line="281" w:lineRule="exact"/>
              <w:jc w:val="center"/>
              <w:rPr>
                <w:rFonts w:ascii="宋体"/>
                <w:kern w:val="0"/>
                <w:sz w:val="18"/>
                <w:szCs w:val="18"/>
              </w:rPr>
            </w:pPr>
            <w:r>
              <w:rPr>
                <w:rFonts w:hint="eastAsia" w:ascii="宋体"/>
                <w:kern w:val="0"/>
                <w:sz w:val="18"/>
                <w:szCs w:val="18"/>
              </w:rPr>
              <w:t>架体立杆承载力</w:t>
            </w:r>
          </w:p>
        </w:tc>
        <w:tc>
          <w:tcPr>
            <w:tcW w:w="3545" w:type="dxa"/>
          </w:tcPr>
          <w:p>
            <w:pPr>
              <w:pStyle w:val="253"/>
              <w:ind w:firstLine="0" w:firstLineChars="0"/>
              <w:rPr>
                <w:sz w:val="18"/>
                <w:szCs w:val="18"/>
              </w:rPr>
            </w:pPr>
            <w:r>
              <w:rPr>
                <w:rFonts w:hint="eastAsia"/>
                <w:sz w:val="18"/>
                <w:szCs w:val="18"/>
              </w:rPr>
              <w:t>恒载</w:t>
            </w:r>
            <w:r>
              <w:rPr>
                <w:sz w:val="18"/>
                <w:szCs w:val="18"/>
              </w:rPr>
              <w:t>+</w:t>
            </w:r>
            <w:r>
              <w:rPr>
                <w:rFonts w:hint="eastAsia"/>
                <w:sz w:val="18"/>
                <w:szCs w:val="18"/>
              </w:rPr>
              <w:t>施工均布活荷载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vMerge w:val="continue"/>
            <w:tcBorders>
              <w:bottom w:val="single" w:color="auto" w:sz="4" w:space="0"/>
            </w:tcBorders>
            <w:vAlign w:val="center"/>
          </w:tcPr>
          <w:p>
            <w:pPr>
              <w:pStyle w:val="253"/>
              <w:ind w:firstLine="0" w:firstLineChars="0"/>
              <w:jc w:val="center"/>
              <w:rPr>
                <w:sz w:val="18"/>
                <w:szCs w:val="18"/>
              </w:rPr>
            </w:pPr>
          </w:p>
        </w:tc>
        <w:tc>
          <w:tcPr>
            <w:tcW w:w="3545" w:type="dxa"/>
            <w:tcBorders>
              <w:bottom w:val="single" w:color="auto" w:sz="4" w:space="0"/>
            </w:tcBorders>
          </w:tcPr>
          <w:p>
            <w:pPr>
              <w:pStyle w:val="253"/>
              <w:ind w:firstLine="0" w:firstLineChars="0"/>
              <w:rPr>
                <w:sz w:val="18"/>
                <w:szCs w:val="18"/>
              </w:rPr>
            </w:pPr>
            <w:r>
              <w:rPr>
                <w:rFonts w:hint="eastAsia"/>
                <w:sz w:val="18"/>
                <w:szCs w:val="18"/>
              </w:rPr>
              <w:t>恒载</w:t>
            </w:r>
            <w:r>
              <w:rPr>
                <w:sz w:val="18"/>
                <w:szCs w:val="18"/>
              </w:rPr>
              <w:t>+</w:t>
            </w:r>
            <w:r>
              <w:rPr>
                <w:rFonts w:hint="eastAsia"/>
                <w:sz w:val="18"/>
                <w:szCs w:val="18"/>
              </w:rPr>
              <w:t>0.9（施工均布活荷载+风荷载）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110" w:type="dxa"/>
            <w:tcBorders>
              <w:top w:val="single" w:color="auto" w:sz="4" w:space="0"/>
              <w:bottom w:val="single" w:color="auto" w:sz="8" w:space="0"/>
            </w:tcBorders>
            <w:vAlign w:val="center"/>
          </w:tcPr>
          <w:p>
            <w:pPr>
              <w:autoSpaceDE w:val="0"/>
              <w:autoSpaceDN w:val="0"/>
              <w:spacing w:line="281" w:lineRule="exact"/>
              <w:jc w:val="center"/>
              <w:rPr>
                <w:rFonts w:ascii="宋体"/>
                <w:kern w:val="0"/>
                <w:sz w:val="18"/>
                <w:szCs w:val="18"/>
              </w:rPr>
            </w:pPr>
            <w:r>
              <w:rPr>
                <w:rFonts w:hint="eastAsia" w:ascii="宋体"/>
                <w:kern w:val="0"/>
                <w:sz w:val="18"/>
                <w:szCs w:val="18"/>
              </w:rPr>
              <w:t>连墙件承载力</w:t>
            </w:r>
          </w:p>
        </w:tc>
        <w:tc>
          <w:tcPr>
            <w:tcW w:w="3545" w:type="dxa"/>
            <w:tcBorders>
              <w:top w:val="single" w:color="auto" w:sz="4" w:space="0"/>
              <w:bottom w:val="single" w:color="auto" w:sz="8" w:space="0"/>
            </w:tcBorders>
          </w:tcPr>
          <w:p>
            <w:pPr>
              <w:pStyle w:val="253"/>
              <w:ind w:firstLine="0" w:firstLineChars="0"/>
              <w:rPr>
                <w:sz w:val="18"/>
                <w:szCs w:val="18"/>
              </w:rPr>
            </w:pPr>
            <w:r>
              <w:rPr>
                <w:rFonts w:hint="eastAsia"/>
                <w:sz w:val="18"/>
                <w:szCs w:val="18"/>
              </w:rPr>
              <w:t>风荷载+3.0kN</w:t>
            </w:r>
          </w:p>
        </w:tc>
      </w:tr>
    </w:tbl>
    <w:p>
      <w:pPr>
        <w:pStyle w:val="197"/>
        <w:numPr>
          <w:ilvl w:val="0"/>
          <w:numId w:val="0"/>
        </w:numPr>
        <w:ind w:left="851"/>
      </w:pPr>
    </w:p>
    <w:p>
      <w:pPr>
        <w:pStyle w:val="188"/>
        <w:ind w:left="0"/>
      </w:pPr>
      <w:r>
        <w:t>悬挑式脚手架的设计计算应包括悬挑</w:t>
      </w:r>
      <w:r>
        <w:rPr>
          <w:rFonts w:hint="eastAsia"/>
        </w:rPr>
        <w:t>承力架</w:t>
      </w:r>
      <w:r>
        <w:t>和上部钢管脚手架两部分。计算悬挑</w:t>
      </w:r>
      <w:r>
        <w:rPr>
          <w:rFonts w:hint="eastAsia"/>
        </w:rPr>
        <w:t>式</w:t>
      </w:r>
      <w:r>
        <w:t>脚手架构件的承载力时，应采用荷载效应基本组合</w:t>
      </w:r>
      <w:r>
        <w:rPr>
          <w:rFonts w:hint="eastAsia"/>
        </w:rPr>
        <w:t>,其中恒</w:t>
      </w:r>
      <w:r>
        <w:t xml:space="preserve">载分项系数取 </w:t>
      </w:r>
      <w:r>
        <w:rPr>
          <w:rFonts w:hint="eastAsia"/>
        </w:rPr>
        <w:t>1.3</w:t>
      </w:r>
      <w:r>
        <w:t>，</w:t>
      </w:r>
      <w:r>
        <w:rPr>
          <w:rFonts w:hint="eastAsia"/>
        </w:rPr>
        <w:t>活</w:t>
      </w:r>
      <w:r>
        <w:t>荷载分项系数取</w:t>
      </w:r>
      <w:r>
        <w:rPr>
          <w:rFonts w:hint="eastAsia"/>
        </w:rPr>
        <w:t>1.5。</w:t>
      </w:r>
    </w:p>
    <w:p>
      <w:pPr>
        <w:pStyle w:val="188"/>
        <w:ind w:left="0"/>
      </w:pPr>
      <w:bookmarkStart w:id="81" w:name="_Toc40626473"/>
      <w:bookmarkStart w:id="82" w:name="_Toc40536264"/>
      <w:bookmarkStart w:id="83" w:name="_Toc40636258"/>
      <w:bookmarkStart w:id="84" w:name="_Toc40694690"/>
      <w:r>
        <w:t>悬挑</w:t>
      </w:r>
      <w:r>
        <w:rPr>
          <w:rFonts w:hint="eastAsia"/>
        </w:rPr>
        <w:t>式</w:t>
      </w:r>
      <w:r>
        <w:t>脚手架中的受弯构件，尚应根据正常使用极限状态的要</w:t>
      </w:r>
      <w:r>
        <w:rPr>
          <w:rFonts w:hint="eastAsia"/>
        </w:rPr>
        <w:t>求验算变形。验算构件变形时，应采用荷载效应标准组合。</w:t>
      </w:r>
    </w:p>
    <w:p>
      <w:pPr>
        <w:pStyle w:val="127"/>
        <w:spacing w:before="312" w:after="312"/>
      </w:pPr>
      <w:bookmarkStart w:id="85" w:name="_Toc106092167"/>
      <w:bookmarkStart w:id="86" w:name="_Toc106095435"/>
      <w:r>
        <w:rPr>
          <w:rFonts w:hint="eastAsia"/>
        </w:rPr>
        <w:t>设计</w:t>
      </w:r>
      <w:bookmarkEnd w:id="81"/>
      <w:bookmarkEnd w:id="82"/>
      <w:bookmarkEnd w:id="83"/>
      <w:bookmarkEnd w:id="84"/>
      <w:bookmarkEnd w:id="85"/>
      <w:bookmarkEnd w:id="86"/>
    </w:p>
    <w:p>
      <w:pPr>
        <w:pStyle w:val="128"/>
        <w:spacing w:before="156" w:after="156"/>
      </w:pPr>
      <w:bookmarkStart w:id="87" w:name="_Toc106095436"/>
      <w:bookmarkStart w:id="88" w:name="_Toc106092168"/>
      <w:r>
        <w:rPr>
          <w:rFonts w:hint="eastAsia"/>
        </w:rPr>
        <w:t>基本规定</w:t>
      </w:r>
      <w:bookmarkEnd w:id="87"/>
      <w:bookmarkEnd w:id="88"/>
    </w:p>
    <w:p>
      <w:pPr>
        <w:pStyle w:val="188"/>
        <w:ind w:left="0"/>
      </w:pPr>
      <w:r>
        <w:t>悬挑式脚手架</w:t>
      </w:r>
      <w:r>
        <w:rPr>
          <w:rFonts w:hint="eastAsia"/>
        </w:rPr>
        <w:t>的</w:t>
      </w:r>
      <w:r>
        <w:t>设计</w:t>
      </w:r>
      <w:r>
        <w:rPr>
          <w:rFonts w:hint="eastAsia"/>
        </w:rPr>
        <w:t>按照《建筑结构可靠性设计统一标准》GB50068</w:t>
      </w:r>
      <w:r>
        <w:t>采用概率理论为基础的极限状态设计法</w:t>
      </w:r>
      <w:r>
        <w:rPr>
          <w:rFonts w:hint="eastAsia"/>
        </w:rPr>
        <w:t>，</w:t>
      </w:r>
      <w:r>
        <w:t>以分项系数设计表达式进行设计</w:t>
      </w:r>
      <w:r>
        <w:rPr>
          <w:rFonts w:hint="eastAsia"/>
        </w:rPr>
        <w:t>，设计时应考虑实际工作状态。</w:t>
      </w:r>
    </w:p>
    <w:p>
      <w:pPr>
        <w:pStyle w:val="188"/>
        <w:ind w:left="0"/>
      </w:pPr>
      <w:r>
        <w:t>悬挑式脚手架的设计应列入分项工程的专项施工方案,应包括下列设计内容：</w:t>
      </w:r>
    </w:p>
    <w:p>
      <w:pPr>
        <w:pStyle w:val="79"/>
        <w:ind w:firstLine="420"/>
      </w:pPr>
      <w:r>
        <w:rPr>
          <w:rFonts w:hint="eastAsia"/>
        </w:rPr>
        <w:t>a）</w:t>
      </w:r>
      <w:r>
        <w:t>悬挑</w:t>
      </w:r>
      <w:r>
        <w:rPr>
          <w:rFonts w:hint="eastAsia"/>
        </w:rPr>
        <w:t>承力架</w:t>
      </w:r>
      <w:r>
        <w:t>及其与主体结构的连接、悬挑</w:t>
      </w:r>
      <w:r>
        <w:rPr>
          <w:rFonts w:hint="eastAsia"/>
        </w:rPr>
        <w:t>承力架</w:t>
      </w:r>
      <w:r>
        <w:t>相应部位的主体结构承载力计算</w:t>
      </w:r>
      <w:r>
        <w:rPr>
          <w:rFonts w:hint="eastAsia"/>
        </w:rPr>
        <w:t>。</w:t>
      </w:r>
    </w:p>
    <w:p>
      <w:pPr>
        <w:pStyle w:val="79"/>
        <w:ind w:firstLine="420"/>
      </w:pPr>
      <w:r>
        <w:rPr>
          <w:rFonts w:hint="eastAsia"/>
        </w:rPr>
        <w:t>b）</w:t>
      </w:r>
      <w:r>
        <w:t>悬挑</w:t>
      </w:r>
      <w:r>
        <w:rPr>
          <w:rFonts w:hint="eastAsia"/>
        </w:rPr>
        <w:t>承力架</w:t>
      </w:r>
      <w:r>
        <w:t>上部架体构配件的承载力计算</w:t>
      </w:r>
      <w:r>
        <w:rPr>
          <w:rFonts w:hint="eastAsia"/>
        </w:rPr>
        <w:t>。</w:t>
      </w:r>
    </w:p>
    <w:p>
      <w:pPr>
        <w:pStyle w:val="79"/>
        <w:ind w:firstLine="420"/>
      </w:pPr>
      <w:r>
        <w:rPr>
          <w:rFonts w:hint="eastAsia"/>
        </w:rPr>
        <w:t>c）</w:t>
      </w:r>
      <w:r>
        <w:t>连墙件的承载力的计算</w:t>
      </w:r>
      <w:r>
        <w:rPr>
          <w:rFonts w:hint="eastAsia"/>
        </w:rPr>
        <w:t>。</w:t>
      </w:r>
    </w:p>
    <w:p>
      <w:pPr>
        <w:pStyle w:val="79"/>
        <w:ind w:firstLine="420"/>
      </w:pPr>
      <w:r>
        <w:rPr>
          <w:rFonts w:hint="eastAsia"/>
        </w:rPr>
        <w:t>d）</w:t>
      </w:r>
      <w:r>
        <w:t>悬挑</w:t>
      </w:r>
      <w:r>
        <w:rPr>
          <w:rFonts w:hint="eastAsia"/>
        </w:rPr>
        <w:t>承力架及</w:t>
      </w:r>
      <w:r>
        <w:t>上部</w:t>
      </w:r>
      <w:r>
        <w:rPr>
          <w:rFonts w:hint="eastAsia"/>
        </w:rPr>
        <w:t>钢管脚手架的整体稳定性验算。</w:t>
      </w:r>
    </w:p>
    <w:p>
      <w:pPr>
        <w:pStyle w:val="188"/>
        <w:ind w:left="0"/>
      </w:pPr>
      <w:r>
        <w:rPr>
          <w:rFonts w:hint="eastAsia"/>
        </w:rPr>
        <w:t>悬挑承力架</w:t>
      </w:r>
      <w:r>
        <w:t>及上部</w:t>
      </w:r>
      <w:r>
        <w:rPr>
          <w:rFonts w:hint="eastAsia"/>
        </w:rPr>
        <w:t>脚手架结构</w:t>
      </w:r>
      <w:r>
        <w:t>设计时，应先对脚手架结构进行</w:t>
      </w:r>
      <w:r>
        <w:rPr>
          <w:rFonts w:hint="eastAsia"/>
        </w:rPr>
        <w:t>受力</w:t>
      </w:r>
      <w:r>
        <w:t>分析</w:t>
      </w:r>
      <w:r>
        <w:rPr>
          <w:rFonts w:hint="eastAsia"/>
        </w:rPr>
        <w:t>，</w:t>
      </w:r>
      <w:r>
        <w:t>明确荷载传递路径，选择具有代表性的最不利杆件或构配件</w:t>
      </w:r>
      <w:r>
        <w:rPr>
          <w:rFonts w:hint="eastAsia"/>
        </w:rPr>
        <w:t>作</w:t>
      </w:r>
      <w:r>
        <w:t>为计算单元。计算</w:t>
      </w:r>
      <w:r>
        <w:rPr>
          <w:rFonts w:hint="eastAsia"/>
        </w:rPr>
        <w:t>单元</w:t>
      </w:r>
      <w:r>
        <w:t>的选取应符合下列要求</w:t>
      </w:r>
      <w:r>
        <w:rPr>
          <w:rFonts w:hint="eastAsia"/>
        </w:rPr>
        <w:t>：</w:t>
      </w:r>
    </w:p>
    <w:p>
      <w:pPr>
        <w:pStyle w:val="79"/>
        <w:ind w:firstLine="420"/>
      </w:pPr>
      <w:r>
        <w:rPr>
          <w:rFonts w:hint="eastAsia"/>
        </w:rPr>
        <w:t>a）应选取</w:t>
      </w:r>
      <w:r>
        <w:t>受力最大的杆件、构配件</w:t>
      </w:r>
      <w:r>
        <w:rPr>
          <w:rFonts w:hint="eastAsia"/>
        </w:rPr>
        <w:t>。</w:t>
      </w:r>
    </w:p>
    <w:p>
      <w:pPr>
        <w:pStyle w:val="79"/>
        <w:ind w:firstLine="420"/>
      </w:pPr>
      <w:r>
        <w:rPr>
          <w:rFonts w:hint="eastAsia"/>
        </w:rPr>
        <w:t>b）应</w:t>
      </w:r>
      <w:r>
        <w:t>选取跨距、间距</w:t>
      </w:r>
      <w:r>
        <w:rPr>
          <w:rFonts w:hint="eastAsia"/>
        </w:rPr>
        <w:t>增</w:t>
      </w:r>
      <w:r>
        <w:t>大</w:t>
      </w:r>
      <w:r>
        <w:rPr>
          <w:rFonts w:hint="eastAsia"/>
        </w:rPr>
        <w:t>处</w:t>
      </w:r>
      <w:r>
        <w:t>和几何形状、受力特性改变</w:t>
      </w:r>
      <w:r>
        <w:rPr>
          <w:rFonts w:hint="eastAsia"/>
        </w:rPr>
        <w:t>部位</w:t>
      </w:r>
      <w:r>
        <w:t>的杆件、构配件</w:t>
      </w:r>
      <w:r>
        <w:rPr>
          <w:rFonts w:hint="eastAsia"/>
        </w:rPr>
        <w:t>。</w:t>
      </w:r>
    </w:p>
    <w:p>
      <w:pPr>
        <w:pStyle w:val="79"/>
        <w:ind w:firstLine="420"/>
      </w:pPr>
      <w:r>
        <w:rPr>
          <w:rFonts w:hint="eastAsia"/>
        </w:rPr>
        <w:t>c）应</w:t>
      </w:r>
      <w:r>
        <w:t>选取架体构造变化处或薄弱处的杆件、构配件</w:t>
      </w:r>
      <w:r>
        <w:rPr>
          <w:rFonts w:hint="eastAsia"/>
        </w:rPr>
        <w:t>。</w:t>
      </w:r>
    </w:p>
    <w:p>
      <w:pPr>
        <w:pStyle w:val="79"/>
        <w:ind w:firstLine="420"/>
      </w:pPr>
      <w:r>
        <w:rPr>
          <w:rFonts w:hint="eastAsia"/>
        </w:rPr>
        <w:t>d）当有集中</w:t>
      </w:r>
      <w:r>
        <w:t>荷载作用时，尚应选取集中荷载作用范围内受力最大的杆件、构配件</w:t>
      </w:r>
      <w:r>
        <w:rPr>
          <w:rFonts w:hint="eastAsia"/>
        </w:rPr>
        <w:t>计算。</w:t>
      </w:r>
    </w:p>
    <w:p>
      <w:pPr>
        <w:pStyle w:val="188"/>
        <w:ind w:left="0"/>
      </w:pPr>
      <w:r>
        <w:rPr>
          <w:rFonts w:hint="eastAsia"/>
        </w:rPr>
        <w:t>悬挑梁型钢构件宜采用</w:t>
      </w:r>
      <w:r>
        <w:t>Q235B</w:t>
      </w:r>
      <w:r>
        <w:rPr>
          <w:rFonts w:hint="eastAsia"/>
        </w:rPr>
        <w:t>钢材，钢材的强度设计值和</w:t>
      </w:r>
      <w:r>
        <w:t>弹性模量应按表</w:t>
      </w:r>
      <w:r>
        <w:rPr>
          <w:rFonts w:hint="eastAsia"/>
        </w:rPr>
        <w:t>7</w:t>
      </w:r>
      <w:r>
        <w:t>采</w:t>
      </w:r>
      <w:r>
        <w:rPr>
          <w:rFonts w:hint="eastAsia"/>
        </w:rPr>
        <w:t>用。</w:t>
      </w:r>
    </w:p>
    <w:p>
      <w:pPr>
        <w:pStyle w:val="330"/>
        <w:numPr>
          <w:ilvl w:val="0"/>
          <w:numId w:val="16"/>
        </w:numPr>
        <w:spacing w:before="156" w:after="156"/>
      </w:pPr>
      <w:r>
        <w:rPr>
          <w:rFonts w:hint="eastAsia"/>
        </w:rPr>
        <w:t>钢材的强度设计值和弹性模量（</w:t>
      </w:r>
      <w:r>
        <w:rPr>
          <w:rFonts w:ascii="QEPDFQ+SimSun-Identity-H" w:hAnsi="QEPDFQ+SimSun-Identity-H" w:eastAsia="Times New Roman"/>
        </w:rPr>
        <w:t>N/mm</w:t>
      </w:r>
      <w:r>
        <w:rPr>
          <w:rFonts w:hint="eastAsia" w:ascii="QEPDFQ+SimSun-Identity-H" w:hAnsi="QEPDFQ+SimSun-Identity-H" w:eastAsia="宋体"/>
          <w:vertAlign w:val="superscript"/>
        </w:rPr>
        <w:t>2</w:t>
      </w:r>
      <w:r>
        <w:rPr>
          <w:rFonts w:hint="eastAsia"/>
        </w:rPr>
        <w:t>）</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701"/>
        <w:gridCol w:w="1843"/>
        <w:gridCol w:w="1417"/>
        <w:gridCol w:w="14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9" w:type="dxa"/>
            <w:tcBorders>
              <w:top w:val="single" w:color="auto" w:sz="8" w:space="0"/>
              <w:bottom w:val="single" w:color="auto" w:sz="8" w:space="0"/>
            </w:tcBorders>
          </w:tcPr>
          <w:p>
            <w:pPr>
              <w:autoSpaceDE w:val="0"/>
              <w:autoSpaceDN w:val="0"/>
              <w:spacing w:line="281" w:lineRule="exact"/>
              <w:jc w:val="center"/>
              <w:rPr>
                <w:rFonts w:ascii="宋体" w:hAnsi="宋体"/>
                <w:sz w:val="18"/>
                <w:szCs w:val="18"/>
              </w:rPr>
            </w:pPr>
            <w:r>
              <w:rPr>
                <w:rFonts w:hint="eastAsia" w:ascii="宋体" w:hAnsi="宋体" w:cs="宋体"/>
                <w:spacing w:val="1"/>
                <w:sz w:val="18"/>
                <w:szCs w:val="18"/>
              </w:rPr>
              <w:t>钢材牌</w:t>
            </w:r>
            <w:r>
              <w:rPr>
                <w:rFonts w:hint="eastAsia" w:ascii="宋体" w:hAnsi="宋体" w:cs="宋体"/>
                <w:sz w:val="18"/>
                <w:szCs w:val="18"/>
              </w:rPr>
              <w:t>号</w:t>
            </w:r>
          </w:p>
        </w:tc>
        <w:tc>
          <w:tcPr>
            <w:tcW w:w="1701" w:type="dxa"/>
            <w:tcBorders>
              <w:top w:val="single" w:color="auto" w:sz="8" w:space="0"/>
              <w:bottom w:val="single" w:color="auto" w:sz="8" w:space="0"/>
            </w:tcBorders>
          </w:tcPr>
          <w:p>
            <w:pPr>
              <w:autoSpaceDE w:val="0"/>
              <w:autoSpaceDN w:val="0"/>
              <w:spacing w:line="281" w:lineRule="exact"/>
              <w:jc w:val="center"/>
              <w:rPr>
                <w:rFonts w:ascii="宋体" w:hAnsi="宋体" w:cs="宋体"/>
                <w:spacing w:val="1"/>
                <w:sz w:val="18"/>
                <w:szCs w:val="18"/>
              </w:rPr>
            </w:pPr>
            <w:r>
              <w:rPr>
                <w:rFonts w:hint="eastAsia" w:ascii="宋体" w:hAnsi="宋体" w:cs="宋体"/>
                <w:spacing w:val="1"/>
                <w:sz w:val="18"/>
                <w:szCs w:val="18"/>
              </w:rPr>
              <w:t>厚度或直径</w:t>
            </w:r>
          </w:p>
          <w:p>
            <w:pPr>
              <w:autoSpaceDE w:val="0"/>
              <w:autoSpaceDN w:val="0"/>
              <w:spacing w:line="281" w:lineRule="exact"/>
              <w:jc w:val="center"/>
              <w:rPr>
                <w:rFonts w:ascii="宋体" w:hAnsi="宋体"/>
                <w:sz w:val="18"/>
                <w:szCs w:val="18"/>
              </w:rPr>
            </w:pPr>
            <w:r>
              <w:rPr>
                <w:rFonts w:hint="eastAsia" w:ascii="宋体" w:hAnsi="宋体" w:cs="宋体"/>
                <w:sz w:val="18"/>
                <w:szCs w:val="18"/>
              </w:rPr>
              <w:t>（</w:t>
            </w:r>
            <w:r>
              <w:rPr>
                <w:rFonts w:ascii="宋体" w:hAnsi="宋体"/>
                <w:sz w:val="18"/>
                <w:szCs w:val="18"/>
              </w:rPr>
              <w:t>mm</w:t>
            </w:r>
            <w:r>
              <w:rPr>
                <w:rFonts w:hint="eastAsia" w:ascii="宋体" w:hAnsi="宋体" w:cs="宋体"/>
                <w:sz w:val="18"/>
                <w:szCs w:val="18"/>
              </w:rPr>
              <w:t>）</w:t>
            </w:r>
          </w:p>
        </w:tc>
        <w:tc>
          <w:tcPr>
            <w:tcW w:w="1843" w:type="dxa"/>
            <w:tcBorders>
              <w:top w:val="single" w:color="auto" w:sz="8" w:space="0"/>
              <w:bottom w:val="single" w:color="auto" w:sz="8" w:space="0"/>
            </w:tcBorders>
          </w:tcPr>
          <w:p>
            <w:pPr>
              <w:autoSpaceDE w:val="0"/>
              <w:autoSpaceDN w:val="0"/>
              <w:spacing w:line="281" w:lineRule="exact"/>
              <w:jc w:val="center"/>
              <w:rPr>
                <w:rFonts w:ascii="宋体" w:hAnsi="宋体" w:cs="宋体"/>
                <w:sz w:val="18"/>
                <w:szCs w:val="18"/>
              </w:rPr>
            </w:pPr>
            <w:r>
              <w:rPr>
                <w:rFonts w:hint="eastAsia" w:ascii="宋体" w:hAnsi="宋体" w:cs="宋体"/>
                <w:sz w:val="18"/>
                <w:szCs w:val="18"/>
              </w:rPr>
              <w:t>抗拉、抗弯、抗压</w:t>
            </w:r>
          </w:p>
          <w:p>
            <w:pPr>
              <w:autoSpaceDE w:val="0"/>
              <w:autoSpaceDN w:val="0"/>
              <w:spacing w:line="281" w:lineRule="exact"/>
              <w:jc w:val="center"/>
              <w:rPr>
                <w:rFonts w:ascii="宋体" w:hAnsi="宋体"/>
                <w:sz w:val="18"/>
                <w:szCs w:val="18"/>
              </w:rPr>
            </w:pPr>
            <w:r>
              <w:rPr>
                <w:rFonts w:hint="eastAsia" w:ascii="宋体" w:hAnsi="宋体" w:cs="宋体"/>
                <w:sz w:val="18"/>
                <w:szCs w:val="18"/>
              </w:rPr>
              <w:t>（</w:t>
            </w:r>
            <w:r>
              <w:rPr>
                <w:rFonts w:ascii="宋体" w:hAnsi="宋体"/>
                <w:sz w:val="18"/>
                <w:szCs w:val="18"/>
              </w:rPr>
              <w:t>f</w:t>
            </w:r>
            <w:r>
              <w:rPr>
                <w:rFonts w:hint="eastAsia" w:ascii="宋体" w:hAnsi="宋体" w:cs="宋体"/>
                <w:sz w:val="18"/>
                <w:szCs w:val="18"/>
              </w:rPr>
              <w:t>）</w:t>
            </w:r>
          </w:p>
        </w:tc>
        <w:tc>
          <w:tcPr>
            <w:tcW w:w="1417" w:type="dxa"/>
            <w:tcBorders>
              <w:top w:val="single" w:color="auto" w:sz="8" w:space="0"/>
              <w:bottom w:val="single" w:color="auto" w:sz="8" w:space="0"/>
            </w:tcBorders>
          </w:tcPr>
          <w:p>
            <w:pPr>
              <w:autoSpaceDE w:val="0"/>
              <w:autoSpaceDN w:val="0"/>
              <w:spacing w:line="281" w:lineRule="exact"/>
              <w:jc w:val="center"/>
              <w:rPr>
                <w:rFonts w:ascii="宋体" w:hAnsi="宋体"/>
                <w:sz w:val="18"/>
                <w:szCs w:val="18"/>
              </w:rPr>
            </w:pPr>
            <w:r>
              <w:rPr>
                <w:rFonts w:hint="eastAsia" w:ascii="宋体" w:hAnsi="宋体" w:cs="宋体"/>
                <w:spacing w:val="1"/>
                <w:sz w:val="18"/>
                <w:szCs w:val="18"/>
              </w:rPr>
              <w:t>抗剪</w:t>
            </w:r>
          </w:p>
          <w:p>
            <w:pPr>
              <w:autoSpaceDE w:val="0"/>
              <w:autoSpaceDN w:val="0"/>
              <w:spacing w:line="281" w:lineRule="exact"/>
              <w:jc w:val="center"/>
              <w:rPr>
                <w:rFonts w:ascii="宋体" w:hAnsi="宋体"/>
                <w:sz w:val="18"/>
                <w:szCs w:val="18"/>
              </w:rPr>
            </w:pPr>
            <w:r>
              <w:rPr>
                <w:rFonts w:hint="eastAsia" w:ascii="宋体" w:hAnsi="宋体" w:cs="宋体"/>
                <w:sz w:val="18"/>
                <w:szCs w:val="18"/>
              </w:rPr>
              <w:t>（</w:t>
            </w:r>
            <w:r>
              <w:rPr>
                <w:rFonts w:ascii="宋体" w:hAnsi="宋体"/>
                <w:sz w:val="18"/>
                <w:szCs w:val="18"/>
              </w:rPr>
              <w:t>f</w:t>
            </w:r>
            <w:r>
              <w:rPr>
                <w:rFonts w:ascii="宋体" w:hAnsi="宋体"/>
                <w:sz w:val="18"/>
                <w:szCs w:val="18"/>
                <w:vertAlign w:val="subscript"/>
              </w:rPr>
              <w:t>v</w:t>
            </w:r>
            <w:r>
              <w:rPr>
                <w:rFonts w:hint="eastAsia" w:ascii="宋体" w:hAnsi="宋体" w:cs="宋体"/>
                <w:sz w:val="18"/>
                <w:szCs w:val="18"/>
              </w:rPr>
              <w:t>）</w:t>
            </w:r>
          </w:p>
        </w:tc>
        <w:tc>
          <w:tcPr>
            <w:tcW w:w="1418" w:type="dxa"/>
            <w:tcBorders>
              <w:top w:val="single" w:color="auto" w:sz="8" w:space="0"/>
              <w:bottom w:val="single" w:color="auto" w:sz="8" w:space="0"/>
            </w:tcBorders>
          </w:tcPr>
          <w:p>
            <w:pPr>
              <w:autoSpaceDE w:val="0"/>
              <w:autoSpaceDN w:val="0"/>
              <w:spacing w:line="281" w:lineRule="exact"/>
              <w:jc w:val="center"/>
              <w:rPr>
                <w:rFonts w:ascii="宋体" w:hAnsi="宋体"/>
                <w:sz w:val="18"/>
                <w:szCs w:val="18"/>
              </w:rPr>
            </w:pPr>
            <w:r>
              <w:rPr>
                <w:rFonts w:hint="eastAsia" w:ascii="宋体" w:hAnsi="宋体" w:cs="宋体"/>
                <w:spacing w:val="1"/>
                <w:sz w:val="18"/>
                <w:szCs w:val="18"/>
              </w:rPr>
              <w:t>弹性模量</w:t>
            </w:r>
          </w:p>
          <w:p>
            <w:pPr>
              <w:autoSpaceDE w:val="0"/>
              <w:autoSpaceDN w:val="0"/>
              <w:spacing w:before="84" w:line="281" w:lineRule="exact"/>
              <w:ind w:left="211"/>
              <w:jc w:val="center"/>
              <w:rPr>
                <w:rFonts w:ascii="宋体" w:hAnsi="宋体"/>
                <w:sz w:val="18"/>
                <w:szCs w:val="18"/>
              </w:rPr>
            </w:pPr>
            <w:r>
              <w:rPr>
                <w:rFonts w:hint="eastAsia" w:ascii="宋体" w:hAnsi="宋体" w:cs="宋体"/>
                <w:sz w:val="18"/>
                <w:szCs w:val="18"/>
              </w:rPr>
              <w:t>（</w:t>
            </w:r>
            <w:r>
              <w:rPr>
                <w:rFonts w:ascii="宋体" w:hAnsi="宋体"/>
                <w:sz w:val="18"/>
                <w:szCs w:val="18"/>
              </w:rPr>
              <w:t>E</w:t>
            </w:r>
            <w:r>
              <w:rPr>
                <w:rFonts w:hint="eastAsia" w:ascii="宋体" w:hAnsi="宋体" w:cs="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9" w:type="dxa"/>
            <w:vMerge w:val="restart"/>
            <w:tcBorders>
              <w:top w:val="single" w:color="auto" w:sz="8" w:space="0"/>
            </w:tcBorders>
            <w:vAlign w:val="center"/>
          </w:tcPr>
          <w:p>
            <w:pPr>
              <w:pStyle w:val="253"/>
              <w:ind w:firstLine="0" w:firstLineChars="0"/>
              <w:jc w:val="center"/>
              <w:rPr>
                <w:sz w:val="18"/>
                <w:szCs w:val="18"/>
              </w:rPr>
            </w:pPr>
            <w:r>
              <w:rPr>
                <w:sz w:val="18"/>
                <w:szCs w:val="18"/>
              </w:rPr>
              <w:t>Q235B</w:t>
            </w:r>
          </w:p>
        </w:tc>
        <w:tc>
          <w:tcPr>
            <w:tcW w:w="1701" w:type="dxa"/>
            <w:tcBorders>
              <w:top w:val="single" w:color="auto" w:sz="8" w:space="0"/>
            </w:tcBorders>
            <w:vAlign w:val="center"/>
          </w:tcPr>
          <w:p>
            <w:pPr>
              <w:autoSpaceDE w:val="0"/>
              <w:autoSpaceDN w:val="0"/>
              <w:spacing w:line="281" w:lineRule="exact"/>
              <w:jc w:val="center"/>
              <w:rPr>
                <w:rFonts w:ascii="宋体"/>
                <w:sz w:val="18"/>
                <w:szCs w:val="18"/>
              </w:rPr>
            </w:pPr>
            <w:r>
              <w:rPr>
                <w:rFonts w:ascii="QEPDFQ+SimSun-Identity-H" w:hAnsi="QEPDFQ+SimSun-Identity-H" w:eastAsia="Times New Roman"/>
                <w:spacing w:val="1"/>
                <w:sz w:val="18"/>
                <w:szCs w:val="18"/>
              </w:rPr>
              <w:t>≤16</w:t>
            </w:r>
          </w:p>
        </w:tc>
        <w:tc>
          <w:tcPr>
            <w:tcW w:w="1843" w:type="dxa"/>
            <w:tcBorders>
              <w:top w:val="single" w:color="auto" w:sz="8" w:space="0"/>
            </w:tcBorders>
            <w:vAlign w:val="center"/>
          </w:tcPr>
          <w:p>
            <w:pPr>
              <w:pStyle w:val="253"/>
              <w:ind w:firstLine="0" w:firstLineChars="0"/>
              <w:jc w:val="center"/>
              <w:rPr>
                <w:sz w:val="18"/>
                <w:szCs w:val="18"/>
              </w:rPr>
            </w:pPr>
            <w:r>
              <w:rPr>
                <w:rFonts w:hint="eastAsia"/>
                <w:sz w:val="18"/>
                <w:szCs w:val="18"/>
              </w:rPr>
              <w:t>215</w:t>
            </w:r>
          </w:p>
        </w:tc>
        <w:tc>
          <w:tcPr>
            <w:tcW w:w="1417" w:type="dxa"/>
            <w:tcBorders>
              <w:top w:val="single" w:color="auto" w:sz="8" w:space="0"/>
            </w:tcBorders>
            <w:vAlign w:val="center"/>
          </w:tcPr>
          <w:p>
            <w:pPr>
              <w:pStyle w:val="253"/>
              <w:ind w:firstLine="0" w:firstLineChars="0"/>
              <w:jc w:val="center"/>
              <w:rPr>
                <w:sz w:val="18"/>
                <w:szCs w:val="18"/>
              </w:rPr>
            </w:pPr>
            <w:r>
              <w:rPr>
                <w:rFonts w:hint="eastAsia"/>
                <w:sz w:val="18"/>
                <w:szCs w:val="18"/>
              </w:rPr>
              <w:t>125</w:t>
            </w:r>
          </w:p>
        </w:tc>
        <w:tc>
          <w:tcPr>
            <w:tcW w:w="1418" w:type="dxa"/>
            <w:tcBorders>
              <w:top w:val="single" w:color="auto" w:sz="8" w:space="0"/>
            </w:tcBorders>
            <w:vAlign w:val="center"/>
          </w:tcPr>
          <w:p>
            <w:pPr>
              <w:pStyle w:val="253"/>
              <w:ind w:firstLine="0" w:firstLineChars="0"/>
              <w:jc w:val="center"/>
              <w:rPr>
                <w:sz w:val="18"/>
                <w:szCs w:val="18"/>
                <w:vertAlign w:val="superscript"/>
              </w:rPr>
            </w:pPr>
            <w:r>
              <w:rPr>
                <w:rFonts w:hint="eastAsia"/>
                <w:sz w:val="18"/>
                <w:szCs w:val="18"/>
              </w:rPr>
              <w:t>2.06×10</w:t>
            </w:r>
            <w:r>
              <w:rPr>
                <w:rFonts w:hint="eastAsia"/>
                <w:sz w:val="18"/>
                <w:szCs w:val="18"/>
                <w:vertAlign w:val="superscript"/>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9" w:type="dxa"/>
            <w:vMerge w:val="continue"/>
          </w:tcPr>
          <w:p>
            <w:pPr>
              <w:pStyle w:val="253"/>
              <w:ind w:firstLine="0" w:firstLineChars="0"/>
              <w:rPr>
                <w:sz w:val="18"/>
                <w:szCs w:val="18"/>
              </w:rPr>
            </w:pPr>
          </w:p>
        </w:tc>
        <w:tc>
          <w:tcPr>
            <w:tcW w:w="1701" w:type="dxa"/>
            <w:tcBorders>
              <w:bottom w:val="single" w:color="auto" w:sz="4" w:space="0"/>
            </w:tcBorders>
            <w:vAlign w:val="center"/>
          </w:tcPr>
          <w:p>
            <w:pPr>
              <w:jc w:val="center"/>
              <w:rPr>
                <w:rFonts w:ascii="宋体"/>
                <w:sz w:val="18"/>
                <w:szCs w:val="18"/>
              </w:rPr>
            </w:pPr>
            <w:r>
              <w:rPr>
                <w:rFonts w:ascii="QEPDFQ+SimSun-Identity-H" w:hAnsi="QEPDFQ+SimSun-Identity-H" w:eastAsia="Times New Roman"/>
                <w:sz w:val="18"/>
                <w:szCs w:val="18"/>
              </w:rPr>
              <w:t>&gt;16</w:t>
            </w:r>
            <w:r>
              <w:rPr>
                <w:rFonts w:hint="eastAsia" w:ascii="宋体" w:hAnsi="宋体" w:cs="宋体"/>
                <w:sz w:val="18"/>
                <w:szCs w:val="18"/>
              </w:rPr>
              <w:t>～</w:t>
            </w:r>
            <w:r>
              <w:rPr>
                <w:rFonts w:ascii="QEPDFQ+SimSun-Identity-H" w:hAnsi="QEPDFQ+SimSun-Identity-H" w:eastAsia="Times New Roman"/>
                <w:sz w:val="18"/>
                <w:szCs w:val="18"/>
              </w:rPr>
              <w:t>40</w:t>
            </w:r>
          </w:p>
        </w:tc>
        <w:tc>
          <w:tcPr>
            <w:tcW w:w="1843" w:type="dxa"/>
            <w:tcBorders>
              <w:bottom w:val="single" w:color="auto" w:sz="4" w:space="0"/>
            </w:tcBorders>
            <w:vAlign w:val="center"/>
          </w:tcPr>
          <w:p>
            <w:pPr>
              <w:pStyle w:val="253"/>
              <w:ind w:firstLine="0" w:firstLineChars="0"/>
              <w:jc w:val="center"/>
              <w:rPr>
                <w:sz w:val="18"/>
                <w:szCs w:val="18"/>
              </w:rPr>
            </w:pPr>
            <w:r>
              <w:rPr>
                <w:rFonts w:hint="eastAsia"/>
                <w:sz w:val="18"/>
                <w:szCs w:val="18"/>
              </w:rPr>
              <w:t>205</w:t>
            </w:r>
          </w:p>
        </w:tc>
        <w:tc>
          <w:tcPr>
            <w:tcW w:w="1417" w:type="dxa"/>
            <w:tcBorders>
              <w:bottom w:val="single" w:color="auto" w:sz="4" w:space="0"/>
            </w:tcBorders>
            <w:vAlign w:val="center"/>
          </w:tcPr>
          <w:p>
            <w:pPr>
              <w:pStyle w:val="253"/>
              <w:ind w:firstLine="0" w:firstLineChars="0"/>
              <w:jc w:val="center"/>
              <w:rPr>
                <w:sz w:val="18"/>
                <w:szCs w:val="18"/>
              </w:rPr>
            </w:pPr>
            <w:r>
              <w:rPr>
                <w:rFonts w:hint="eastAsia"/>
                <w:sz w:val="18"/>
                <w:szCs w:val="18"/>
              </w:rPr>
              <w:t>120</w:t>
            </w:r>
          </w:p>
        </w:tc>
        <w:tc>
          <w:tcPr>
            <w:tcW w:w="1418" w:type="dxa"/>
            <w:tcBorders>
              <w:bottom w:val="single" w:color="auto" w:sz="4" w:space="0"/>
            </w:tcBorders>
            <w:vAlign w:val="center"/>
          </w:tcPr>
          <w:p>
            <w:pPr>
              <w:pStyle w:val="253"/>
              <w:ind w:firstLine="0" w:firstLineChars="0"/>
              <w:jc w:val="center"/>
              <w:rPr>
                <w:sz w:val="18"/>
                <w:szCs w:val="18"/>
              </w:rPr>
            </w:pPr>
            <w:r>
              <w:rPr>
                <w:rFonts w:hint="eastAsia"/>
                <w:sz w:val="18"/>
                <w:szCs w:val="18"/>
              </w:rPr>
              <w:t>2.06×10</w:t>
            </w:r>
            <w:r>
              <w:rPr>
                <w:rFonts w:hint="eastAsia"/>
                <w:sz w:val="18"/>
                <w:szCs w:val="18"/>
                <w:vertAlign w:val="superscript"/>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559" w:type="dxa"/>
            <w:vMerge w:val="continue"/>
          </w:tcPr>
          <w:p>
            <w:pPr>
              <w:pStyle w:val="253"/>
              <w:ind w:firstLine="0" w:firstLineChars="0"/>
              <w:rPr>
                <w:sz w:val="18"/>
                <w:szCs w:val="18"/>
              </w:rPr>
            </w:pPr>
          </w:p>
        </w:tc>
        <w:tc>
          <w:tcPr>
            <w:tcW w:w="1701" w:type="dxa"/>
            <w:tcBorders>
              <w:top w:val="single" w:color="auto" w:sz="4" w:space="0"/>
              <w:bottom w:val="single" w:color="auto" w:sz="4"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冷弯薄壁型钢</w:t>
            </w:r>
          </w:p>
        </w:tc>
        <w:tc>
          <w:tcPr>
            <w:tcW w:w="1843" w:type="dxa"/>
            <w:tcBorders>
              <w:top w:val="single" w:color="auto" w:sz="4" w:space="0"/>
              <w:bottom w:val="single" w:color="auto" w:sz="4" w:space="0"/>
            </w:tcBorders>
            <w:vAlign w:val="center"/>
          </w:tcPr>
          <w:p>
            <w:pPr>
              <w:pStyle w:val="253"/>
              <w:ind w:firstLine="0" w:firstLineChars="0"/>
              <w:jc w:val="center"/>
              <w:rPr>
                <w:sz w:val="18"/>
                <w:szCs w:val="18"/>
              </w:rPr>
            </w:pPr>
            <w:r>
              <w:rPr>
                <w:rFonts w:hint="eastAsia"/>
                <w:sz w:val="18"/>
                <w:szCs w:val="18"/>
              </w:rPr>
              <w:t>205</w:t>
            </w:r>
          </w:p>
        </w:tc>
        <w:tc>
          <w:tcPr>
            <w:tcW w:w="1417" w:type="dxa"/>
            <w:tcBorders>
              <w:top w:val="single" w:color="auto" w:sz="4" w:space="0"/>
              <w:bottom w:val="single" w:color="auto" w:sz="4" w:space="0"/>
            </w:tcBorders>
            <w:vAlign w:val="center"/>
          </w:tcPr>
          <w:p>
            <w:pPr>
              <w:pStyle w:val="253"/>
              <w:ind w:firstLine="0" w:firstLineChars="0"/>
              <w:jc w:val="center"/>
              <w:rPr>
                <w:sz w:val="18"/>
                <w:szCs w:val="18"/>
              </w:rPr>
            </w:pPr>
            <w:r>
              <w:rPr>
                <w:rFonts w:hint="eastAsia"/>
                <w:sz w:val="18"/>
                <w:szCs w:val="18"/>
              </w:rPr>
              <w:t>120</w:t>
            </w:r>
          </w:p>
        </w:tc>
        <w:tc>
          <w:tcPr>
            <w:tcW w:w="1418" w:type="dxa"/>
            <w:tcBorders>
              <w:top w:val="single" w:color="auto" w:sz="4" w:space="0"/>
              <w:bottom w:val="single" w:color="auto" w:sz="4" w:space="0"/>
            </w:tcBorders>
            <w:vAlign w:val="center"/>
          </w:tcPr>
          <w:p>
            <w:pPr>
              <w:pStyle w:val="253"/>
              <w:ind w:firstLine="0" w:firstLineChars="0"/>
              <w:jc w:val="center"/>
              <w:rPr>
                <w:sz w:val="18"/>
                <w:szCs w:val="18"/>
              </w:rPr>
            </w:pPr>
            <w:r>
              <w:rPr>
                <w:rFonts w:hint="eastAsia"/>
                <w:sz w:val="18"/>
                <w:szCs w:val="18"/>
              </w:rPr>
              <w:t>2.06×10</w:t>
            </w:r>
            <w:r>
              <w:rPr>
                <w:rFonts w:hint="eastAsia"/>
                <w:sz w:val="18"/>
                <w:szCs w:val="18"/>
                <w:vertAlign w:val="superscript"/>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938" w:type="dxa"/>
            <w:gridSpan w:val="5"/>
            <w:tcBorders>
              <w:bottom w:val="single" w:color="auto" w:sz="8" w:space="0"/>
            </w:tcBorders>
          </w:tcPr>
          <w:p>
            <w:pPr>
              <w:pStyle w:val="202"/>
            </w:pPr>
            <w:r>
              <w:rPr>
                <w:rFonts w:hint="eastAsia"/>
              </w:rPr>
              <w:t>计算钢筋拉环和锚环时，一个钢筋拉环或锚环可按两个截面计算,</w:t>
            </w:r>
            <w:r>
              <w:rPr>
                <w:rFonts w:hint="eastAsia" w:hAnsi="宋体" w:cs="宋体"/>
                <w:spacing w:val="1"/>
              </w:rPr>
              <w:t>其应力不应大于</w:t>
            </w:r>
            <w:r>
              <w:rPr>
                <w:rFonts w:ascii="QEPDFQ+SimSun-Identity-H" w:hAnsi="Calibri" w:eastAsia="Times New Roman"/>
                <w:spacing w:val="-1"/>
              </w:rPr>
              <w:t>50</w:t>
            </w:r>
            <w:r>
              <w:rPr>
                <w:rFonts w:ascii="QEPDFQ+SimSun-Identity-H" w:hAnsi="Calibri" w:eastAsia="Times New Roman"/>
              </w:rPr>
              <w:t>N/mm</w:t>
            </w:r>
            <w:r>
              <w:rPr>
                <w:rFonts w:ascii="QEPDFQ+SimSun-Identity-H" w:hAnsi="Calibri" w:eastAsia="Times New Roman"/>
                <w:vertAlign w:val="superscript"/>
              </w:rPr>
              <w:t>2</w:t>
            </w:r>
            <w:r>
              <w:rPr>
                <w:rFonts w:hint="eastAsia" w:ascii="QEPDFQ+SimSun-Identity-H" w:hAnsi="Calibri"/>
              </w:rPr>
              <w:t>。</w:t>
            </w:r>
          </w:p>
        </w:tc>
      </w:tr>
    </w:tbl>
    <w:p>
      <w:pPr>
        <w:pStyle w:val="188"/>
        <w:numPr>
          <w:ilvl w:val="0"/>
          <w:numId w:val="0"/>
        </w:numPr>
      </w:pPr>
    </w:p>
    <w:p>
      <w:pPr>
        <w:pStyle w:val="188"/>
        <w:ind w:left="0"/>
      </w:pPr>
      <w:r>
        <w:rPr>
          <w:rFonts w:hint="eastAsia"/>
        </w:rPr>
        <w:t>焊缝的强度设计值应按表8采用。</w:t>
      </w:r>
    </w:p>
    <w:p>
      <w:pPr>
        <w:pStyle w:val="330"/>
        <w:numPr>
          <w:ilvl w:val="0"/>
          <w:numId w:val="16"/>
        </w:numPr>
        <w:spacing w:before="156" w:after="156"/>
      </w:pPr>
      <w:r>
        <w:rPr>
          <w:rFonts w:hint="eastAsia"/>
        </w:rPr>
        <w:t>焊缝的强度设计值（</w:t>
      </w:r>
      <w:r>
        <w:rPr>
          <w:rFonts w:ascii="QEPDFQ+SimSun-Identity-H" w:hAnsi="QEPDFQ+SimSun-Identity-H" w:eastAsia="Times New Roman"/>
        </w:rPr>
        <w:t>N/mm</w:t>
      </w:r>
      <w:r>
        <w:rPr>
          <w:rFonts w:hint="eastAsia" w:ascii="QEPDFQ+SimSun-Identity-H" w:hAnsi="QEPDFQ+SimSun-Identity-H" w:eastAsia="宋体"/>
          <w:vertAlign w:val="superscript"/>
        </w:rPr>
        <w:t>2</w:t>
      </w:r>
      <w:r>
        <w:rPr>
          <w:rFonts w:hint="eastAsia"/>
        </w:rPr>
        <w:t>）</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418"/>
        <w:gridCol w:w="1701"/>
        <w:gridCol w:w="708"/>
        <w:gridCol w:w="709"/>
        <w:gridCol w:w="709"/>
        <w:gridCol w:w="170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05" w:hRule="atLeast"/>
          <w:jc w:val="center"/>
        </w:trPr>
        <w:tc>
          <w:tcPr>
            <w:tcW w:w="850" w:type="dxa"/>
            <w:vMerge w:val="restart"/>
            <w:tcBorders>
              <w:top w:val="single" w:color="auto" w:sz="8" w:space="0"/>
            </w:tcBorders>
            <w:vAlign w:val="center"/>
          </w:tcPr>
          <w:p>
            <w:pPr>
              <w:autoSpaceDE w:val="0"/>
              <w:autoSpaceDN w:val="0"/>
              <w:spacing w:line="281" w:lineRule="exact"/>
              <w:jc w:val="center"/>
              <w:rPr>
                <w:rFonts w:ascii="宋体" w:hAnsi="宋体" w:cs="宋体"/>
                <w:spacing w:val="1"/>
                <w:sz w:val="18"/>
                <w:szCs w:val="18"/>
              </w:rPr>
            </w:pPr>
            <w:r>
              <w:rPr>
                <w:rFonts w:hint="eastAsia" w:ascii="宋体" w:hAnsi="宋体" w:cs="宋体"/>
                <w:spacing w:val="1"/>
                <w:sz w:val="18"/>
                <w:szCs w:val="18"/>
              </w:rPr>
              <w:t>钢材</w:t>
            </w:r>
          </w:p>
          <w:p>
            <w:pPr>
              <w:autoSpaceDE w:val="0"/>
              <w:autoSpaceDN w:val="0"/>
              <w:spacing w:line="281" w:lineRule="exact"/>
              <w:jc w:val="center"/>
              <w:rPr>
                <w:rFonts w:ascii="宋体"/>
                <w:sz w:val="18"/>
                <w:szCs w:val="18"/>
              </w:rPr>
            </w:pPr>
            <w:r>
              <w:rPr>
                <w:rFonts w:hint="eastAsia" w:ascii="宋体" w:hAnsi="宋体" w:cs="宋体"/>
                <w:spacing w:val="1"/>
                <w:sz w:val="18"/>
                <w:szCs w:val="18"/>
              </w:rPr>
              <w:t>种类</w:t>
            </w:r>
          </w:p>
        </w:tc>
        <w:tc>
          <w:tcPr>
            <w:tcW w:w="1418" w:type="dxa"/>
            <w:vMerge w:val="restart"/>
            <w:tcBorders>
              <w:top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焊接方法和焊条型号</w:t>
            </w:r>
          </w:p>
        </w:tc>
        <w:tc>
          <w:tcPr>
            <w:tcW w:w="1701" w:type="dxa"/>
            <w:vMerge w:val="restart"/>
            <w:tcBorders>
              <w:top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构件钢材的厚度或</w:t>
            </w:r>
            <w:r>
              <w:rPr>
                <w:rFonts w:hint="eastAsia" w:ascii="宋体" w:hAnsi="宋体" w:cs="宋体"/>
                <w:sz w:val="18"/>
                <w:szCs w:val="18"/>
              </w:rPr>
              <w:t>直径（</w:t>
            </w:r>
            <w:r>
              <w:rPr>
                <w:rFonts w:ascii="QEPDFQ+SimSun-Identity-H" w:hAnsi="QEPDFQ+SimSun-Identity-H" w:eastAsia="Times New Roman"/>
                <w:sz w:val="18"/>
                <w:szCs w:val="18"/>
              </w:rPr>
              <w:t>mm</w:t>
            </w:r>
            <w:r>
              <w:rPr>
                <w:rFonts w:hint="eastAsia" w:ascii="宋体" w:hAnsi="宋体"/>
                <w:sz w:val="18"/>
                <w:szCs w:val="18"/>
              </w:rPr>
              <w:t>）</w:t>
            </w:r>
          </w:p>
        </w:tc>
        <w:tc>
          <w:tcPr>
            <w:tcW w:w="2126" w:type="dxa"/>
            <w:gridSpan w:val="3"/>
            <w:tcBorders>
              <w:top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对接焊缝</w:t>
            </w:r>
          </w:p>
        </w:tc>
        <w:tc>
          <w:tcPr>
            <w:tcW w:w="1701" w:type="dxa"/>
            <w:tcBorders>
              <w:top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角焊缝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05" w:hRule="atLeast"/>
          <w:jc w:val="center"/>
        </w:trPr>
        <w:tc>
          <w:tcPr>
            <w:tcW w:w="850" w:type="dxa"/>
            <w:vMerge w:val="continue"/>
            <w:tcBorders>
              <w:bottom w:val="single" w:color="auto" w:sz="8" w:space="0"/>
            </w:tcBorders>
            <w:vAlign w:val="center"/>
          </w:tcPr>
          <w:p>
            <w:pPr>
              <w:pStyle w:val="253"/>
              <w:ind w:firstLine="0" w:firstLineChars="0"/>
              <w:jc w:val="center"/>
              <w:rPr>
                <w:sz w:val="18"/>
                <w:szCs w:val="18"/>
              </w:rPr>
            </w:pPr>
          </w:p>
        </w:tc>
        <w:tc>
          <w:tcPr>
            <w:tcW w:w="1418" w:type="dxa"/>
            <w:vMerge w:val="continue"/>
            <w:tcBorders>
              <w:bottom w:val="single" w:color="auto" w:sz="8" w:space="0"/>
            </w:tcBorders>
            <w:vAlign w:val="center"/>
          </w:tcPr>
          <w:p>
            <w:pPr>
              <w:pStyle w:val="253"/>
              <w:ind w:firstLine="0" w:firstLineChars="0"/>
              <w:jc w:val="center"/>
              <w:rPr>
                <w:sz w:val="18"/>
                <w:szCs w:val="18"/>
              </w:rPr>
            </w:pPr>
          </w:p>
        </w:tc>
        <w:tc>
          <w:tcPr>
            <w:tcW w:w="1701" w:type="dxa"/>
            <w:vMerge w:val="continue"/>
            <w:tcBorders>
              <w:bottom w:val="single" w:color="auto" w:sz="8" w:space="0"/>
            </w:tcBorders>
            <w:vAlign w:val="center"/>
          </w:tcPr>
          <w:p>
            <w:pPr>
              <w:pStyle w:val="253"/>
              <w:ind w:firstLine="0" w:firstLineChars="0"/>
              <w:jc w:val="center"/>
              <w:rPr>
                <w:sz w:val="18"/>
                <w:szCs w:val="18"/>
              </w:rPr>
            </w:pPr>
          </w:p>
        </w:tc>
        <w:tc>
          <w:tcPr>
            <w:tcW w:w="708" w:type="dxa"/>
            <w:tcBorders>
              <w:bottom w:val="single" w:color="auto" w:sz="8" w:space="0"/>
            </w:tcBorders>
            <w:vAlign w:val="center"/>
          </w:tcPr>
          <w:p>
            <w:pPr>
              <w:jc w:val="center"/>
              <w:rPr>
                <w:rFonts w:ascii="宋体" w:hAnsi="宋体" w:cs="宋体"/>
                <w:spacing w:val="1"/>
                <w:sz w:val="18"/>
                <w:szCs w:val="18"/>
                <w:vertAlign w:val="subscript"/>
              </w:rPr>
            </w:pPr>
            <w:r>
              <w:rPr>
                <w:rFonts w:hint="eastAsia" w:ascii="宋体" w:hAnsi="宋体" w:cs="宋体"/>
                <w:spacing w:val="1"/>
                <w:sz w:val="18"/>
                <w:szCs w:val="18"/>
              </w:rPr>
              <w:t>抗压</w:t>
            </w:r>
          </w:p>
        </w:tc>
        <w:tc>
          <w:tcPr>
            <w:tcW w:w="709" w:type="dxa"/>
            <w:tcBorders>
              <w:bottom w:val="single" w:color="auto" w:sz="8" w:space="0"/>
            </w:tcBorders>
            <w:vAlign w:val="center"/>
          </w:tcPr>
          <w:p>
            <w:pPr>
              <w:jc w:val="center"/>
              <w:rPr>
                <w:rFonts w:ascii="宋体"/>
                <w:sz w:val="18"/>
                <w:szCs w:val="18"/>
              </w:rPr>
            </w:pPr>
            <w:r>
              <w:rPr>
                <w:rFonts w:hint="eastAsia" w:ascii="宋体" w:hAnsi="宋体" w:cs="宋体"/>
                <w:spacing w:val="1"/>
                <w:sz w:val="18"/>
                <w:szCs w:val="18"/>
              </w:rPr>
              <w:t>抗拉</w:t>
            </w:r>
          </w:p>
        </w:tc>
        <w:tc>
          <w:tcPr>
            <w:tcW w:w="709" w:type="dxa"/>
            <w:tcBorders>
              <w:bottom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抗剪</w:t>
            </w:r>
          </w:p>
        </w:tc>
        <w:tc>
          <w:tcPr>
            <w:tcW w:w="1701" w:type="dxa"/>
            <w:tcBorders>
              <w:bottom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抗拉、抗弯、抗剪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0" w:type="dxa"/>
            <w:vMerge w:val="restart"/>
            <w:tcBorders>
              <w:top w:val="single" w:color="auto" w:sz="8" w:space="0"/>
            </w:tcBorders>
            <w:vAlign w:val="center"/>
          </w:tcPr>
          <w:p>
            <w:pPr>
              <w:pStyle w:val="253"/>
              <w:ind w:firstLine="0" w:firstLineChars="0"/>
              <w:jc w:val="center"/>
              <w:rPr>
                <w:sz w:val="18"/>
                <w:szCs w:val="18"/>
              </w:rPr>
            </w:pPr>
            <w:r>
              <w:rPr>
                <w:sz w:val="18"/>
                <w:szCs w:val="18"/>
              </w:rPr>
              <w:t>Q235</w:t>
            </w:r>
          </w:p>
        </w:tc>
        <w:tc>
          <w:tcPr>
            <w:tcW w:w="1418" w:type="dxa"/>
            <w:vMerge w:val="restart"/>
            <w:tcBorders>
              <w:top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1"/>
                <w:sz w:val="18"/>
                <w:szCs w:val="18"/>
              </w:rPr>
              <w:t>自动、半自</w:t>
            </w:r>
            <w:r>
              <w:rPr>
                <w:rFonts w:hint="eastAsia" w:ascii="宋体" w:hAnsi="宋体" w:cs="宋体"/>
                <w:spacing w:val="1"/>
                <w:sz w:val="18"/>
                <w:szCs w:val="18"/>
              </w:rPr>
              <w:t>动焊和</w:t>
            </w:r>
            <w:r>
              <w:rPr>
                <w:rFonts w:ascii="QEPDFQ+SimSun-Identity-H" w:eastAsia="Times New Roman"/>
                <w:sz w:val="18"/>
                <w:szCs w:val="18"/>
              </w:rPr>
              <w:t>E43</w:t>
            </w:r>
            <w:r>
              <w:rPr>
                <w:rFonts w:hint="eastAsia" w:ascii="宋体" w:hAnsi="宋体" w:cs="宋体"/>
                <w:spacing w:val="1"/>
                <w:sz w:val="18"/>
                <w:szCs w:val="18"/>
              </w:rPr>
              <w:t>型焊条的手工焊</w:t>
            </w:r>
          </w:p>
        </w:tc>
        <w:tc>
          <w:tcPr>
            <w:tcW w:w="1701" w:type="dxa"/>
            <w:tcBorders>
              <w:top w:val="single" w:color="auto" w:sz="8" w:space="0"/>
            </w:tcBorders>
            <w:vAlign w:val="center"/>
          </w:tcPr>
          <w:p>
            <w:pPr>
              <w:autoSpaceDE w:val="0"/>
              <w:autoSpaceDN w:val="0"/>
              <w:spacing w:line="281" w:lineRule="exact"/>
              <w:jc w:val="center"/>
              <w:rPr>
                <w:rFonts w:ascii="宋体"/>
                <w:sz w:val="18"/>
                <w:szCs w:val="18"/>
              </w:rPr>
            </w:pPr>
            <w:r>
              <w:rPr>
                <w:rFonts w:ascii="QEPDFQ+SimSun-Identity-H" w:hAnsi="QEPDFQ+SimSun-Identity-H" w:eastAsia="Times New Roman"/>
                <w:spacing w:val="1"/>
                <w:sz w:val="18"/>
                <w:szCs w:val="18"/>
              </w:rPr>
              <w:t>≤16</w:t>
            </w:r>
          </w:p>
        </w:tc>
        <w:tc>
          <w:tcPr>
            <w:tcW w:w="708" w:type="dxa"/>
            <w:tcBorders>
              <w:top w:val="single" w:color="auto" w:sz="8" w:space="0"/>
            </w:tcBorders>
            <w:vAlign w:val="center"/>
          </w:tcPr>
          <w:p>
            <w:pPr>
              <w:pStyle w:val="253"/>
              <w:ind w:firstLine="0" w:firstLineChars="0"/>
              <w:jc w:val="center"/>
              <w:rPr>
                <w:sz w:val="18"/>
                <w:szCs w:val="18"/>
              </w:rPr>
            </w:pPr>
            <w:r>
              <w:rPr>
                <w:rFonts w:hint="eastAsia"/>
                <w:sz w:val="18"/>
                <w:szCs w:val="18"/>
              </w:rPr>
              <w:t>215</w:t>
            </w:r>
          </w:p>
        </w:tc>
        <w:tc>
          <w:tcPr>
            <w:tcW w:w="709" w:type="dxa"/>
            <w:tcBorders>
              <w:top w:val="single" w:color="auto" w:sz="8" w:space="0"/>
            </w:tcBorders>
            <w:vAlign w:val="center"/>
          </w:tcPr>
          <w:p>
            <w:pPr>
              <w:pStyle w:val="253"/>
              <w:ind w:firstLine="0" w:firstLineChars="0"/>
              <w:jc w:val="center"/>
              <w:rPr>
                <w:sz w:val="18"/>
                <w:szCs w:val="18"/>
              </w:rPr>
            </w:pPr>
            <w:r>
              <w:rPr>
                <w:rFonts w:hint="eastAsia"/>
                <w:sz w:val="18"/>
                <w:szCs w:val="18"/>
              </w:rPr>
              <w:t>185</w:t>
            </w:r>
          </w:p>
        </w:tc>
        <w:tc>
          <w:tcPr>
            <w:tcW w:w="709" w:type="dxa"/>
            <w:tcBorders>
              <w:top w:val="single" w:color="auto" w:sz="8" w:space="0"/>
            </w:tcBorders>
            <w:vAlign w:val="center"/>
          </w:tcPr>
          <w:p>
            <w:pPr>
              <w:pStyle w:val="253"/>
              <w:ind w:firstLine="0" w:firstLineChars="0"/>
              <w:jc w:val="center"/>
              <w:rPr>
                <w:sz w:val="18"/>
                <w:szCs w:val="18"/>
              </w:rPr>
            </w:pPr>
            <w:r>
              <w:rPr>
                <w:rFonts w:hint="eastAsia"/>
                <w:sz w:val="18"/>
                <w:szCs w:val="18"/>
              </w:rPr>
              <w:t>125</w:t>
            </w:r>
          </w:p>
        </w:tc>
        <w:tc>
          <w:tcPr>
            <w:tcW w:w="1701" w:type="dxa"/>
            <w:tcBorders>
              <w:top w:val="single" w:color="auto" w:sz="8" w:space="0"/>
            </w:tcBorders>
            <w:vAlign w:val="center"/>
          </w:tcPr>
          <w:p>
            <w:pPr>
              <w:pStyle w:val="253"/>
              <w:ind w:firstLine="0" w:firstLineChars="0"/>
              <w:jc w:val="center"/>
              <w:rPr>
                <w:sz w:val="18"/>
                <w:szCs w:val="18"/>
              </w:rPr>
            </w:pPr>
            <w:r>
              <w:rPr>
                <w:rFonts w:hint="eastAsia"/>
                <w:sz w:val="18"/>
                <w:szCs w:val="18"/>
              </w:rPr>
              <w:t>160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0" w:type="dxa"/>
            <w:vMerge w:val="continue"/>
            <w:vAlign w:val="center"/>
          </w:tcPr>
          <w:p>
            <w:pPr>
              <w:pStyle w:val="253"/>
              <w:ind w:firstLine="0" w:firstLineChars="0"/>
              <w:jc w:val="center"/>
              <w:rPr>
                <w:sz w:val="18"/>
                <w:szCs w:val="18"/>
              </w:rPr>
            </w:pPr>
          </w:p>
        </w:tc>
        <w:tc>
          <w:tcPr>
            <w:tcW w:w="1418" w:type="dxa"/>
            <w:vMerge w:val="continue"/>
            <w:vAlign w:val="center"/>
          </w:tcPr>
          <w:p>
            <w:pPr>
              <w:pStyle w:val="253"/>
              <w:ind w:firstLine="0" w:firstLineChars="0"/>
              <w:jc w:val="center"/>
              <w:rPr>
                <w:sz w:val="18"/>
                <w:szCs w:val="18"/>
              </w:rPr>
            </w:pPr>
          </w:p>
        </w:tc>
        <w:tc>
          <w:tcPr>
            <w:tcW w:w="1701" w:type="dxa"/>
            <w:tcBorders>
              <w:bottom w:val="single" w:color="auto" w:sz="4" w:space="0"/>
            </w:tcBorders>
            <w:vAlign w:val="center"/>
          </w:tcPr>
          <w:p>
            <w:pPr>
              <w:jc w:val="center"/>
              <w:rPr>
                <w:rFonts w:ascii="宋体"/>
                <w:sz w:val="18"/>
                <w:szCs w:val="18"/>
              </w:rPr>
            </w:pPr>
            <w:r>
              <w:rPr>
                <w:rFonts w:ascii="QEPDFQ+SimSun-Identity-H" w:hAnsi="QEPDFQ+SimSun-Identity-H" w:eastAsia="Times New Roman"/>
                <w:sz w:val="18"/>
                <w:szCs w:val="18"/>
              </w:rPr>
              <w:t>&gt;16</w:t>
            </w:r>
            <w:r>
              <w:rPr>
                <w:rFonts w:hint="eastAsia" w:ascii="宋体" w:hAnsi="宋体" w:cs="宋体"/>
                <w:sz w:val="18"/>
                <w:szCs w:val="18"/>
              </w:rPr>
              <w:t>～</w:t>
            </w:r>
            <w:r>
              <w:rPr>
                <w:rFonts w:ascii="QEPDFQ+SimSun-Identity-H" w:hAnsi="QEPDFQ+SimSun-Identity-H" w:eastAsia="Times New Roman"/>
                <w:sz w:val="18"/>
                <w:szCs w:val="18"/>
              </w:rPr>
              <w:t>40</w:t>
            </w:r>
          </w:p>
        </w:tc>
        <w:tc>
          <w:tcPr>
            <w:tcW w:w="708" w:type="dxa"/>
            <w:tcBorders>
              <w:bottom w:val="single" w:color="auto" w:sz="4" w:space="0"/>
            </w:tcBorders>
            <w:vAlign w:val="center"/>
          </w:tcPr>
          <w:p>
            <w:pPr>
              <w:pStyle w:val="253"/>
              <w:ind w:firstLine="0" w:firstLineChars="0"/>
              <w:jc w:val="center"/>
              <w:rPr>
                <w:sz w:val="18"/>
                <w:szCs w:val="18"/>
              </w:rPr>
            </w:pPr>
            <w:r>
              <w:rPr>
                <w:rFonts w:hint="eastAsia"/>
                <w:sz w:val="18"/>
                <w:szCs w:val="18"/>
              </w:rPr>
              <w:t>205</w:t>
            </w:r>
          </w:p>
        </w:tc>
        <w:tc>
          <w:tcPr>
            <w:tcW w:w="709" w:type="dxa"/>
            <w:tcBorders>
              <w:bottom w:val="single" w:color="auto" w:sz="4" w:space="0"/>
            </w:tcBorders>
            <w:vAlign w:val="center"/>
          </w:tcPr>
          <w:p>
            <w:pPr>
              <w:pStyle w:val="253"/>
              <w:ind w:firstLine="0" w:firstLineChars="0"/>
              <w:jc w:val="center"/>
              <w:rPr>
                <w:sz w:val="18"/>
                <w:szCs w:val="18"/>
              </w:rPr>
            </w:pPr>
            <w:r>
              <w:rPr>
                <w:rFonts w:hint="eastAsia"/>
                <w:sz w:val="18"/>
                <w:szCs w:val="18"/>
              </w:rPr>
              <w:t>175</w:t>
            </w:r>
          </w:p>
        </w:tc>
        <w:tc>
          <w:tcPr>
            <w:tcW w:w="709" w:type="dxa"/>
            <w:tcBorders>
              <w:bottom w:val="single" w:color="auto" w:sz="4" w:space="0"/>
            </w:tcBorders>
            <w:vAlign w:val="center"/>
          </w:tcPr>
          <w:p>
            <w:pPr>
              <w:pStyle w:val="253"/>
              <w:ind w:firstLine="0" w:firstLineChars="0"/>
              <w:jc w:val="center"/>
              <w:rPr>
                <w:sz w:val="18"/>
                <w:szCs w:val="18"/>
              </w:rPr>
            </w:pPr>
            <w:r>
              <w:rPr>
                <w:rFonts w:hint="eastAsia"/>
                <w:sz w:val="18"/>
                <w:szCs w:val="18"/>
              </w:rPr>
              <w:t>120</w:t>
            </w:r>
          </w:p>
        </w:tc>
        <w:tc>
          <w:tcPr>
            <w:tcW w:w="1701" w:type="dxa"/>
            <w:tcBorders>
              <w:bottom w:val="single" w:color="auto" w:sz="4" w:space="0"/>
            </w:tcBorders>
            <w:vAlign w:val="center"/>
          </w:tcPr>
          <w:p>
            <w:pPr>
              <w:pStyle w:val="253"/>
              <w:ind w:firstLine="0" w:firstLineChars="0"/>
              <w:jc w:val="center"/>
              <w:rPr>
                <w:sz w:val="18"/>
                <w:szCs w:val="18"/>
              </w:rPr>
            </w:pPr>
            <w:r>
              <w:rPr>
                <w:rFonts w:hint="eastAsia"/>
                <w:sz w:val="18"/>
                <w:szCs w:val="18"/>
              </w:rPr>
              <w:t>160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0" w:type="dxa"/>
            <w:vMerge w:val="continue"/>
            <w:tcBorders>
              <w:bottom w:val="single" w:color="auto" w:sz="8" w:space="0"/>
            </w:tcBorders>
            <w:vAlign w:val="center"/>
          </w:tcPr>
          <w:p>
            <w:pPr>
              <w:pStyle w:val="253"/>
              <w:ind w:firstLine="0" w:firstLineChars="0"/>
              <w:jc w:val="center"/>
              <w:rPr>
                <w:sz w:val="18"/>
                <w:szCs w:val="18"/>
              </w:rPr>
            </w:pPr>
          </w:p>
        </w:tc>
        <w:tc>
          <w:tcPr>
            <w:tcW w:w="1418" w:type="dxa"/>
            <w:vMerge w:val="continue"/>
            <w:tcBorders>
              <w:bottom w:val="single" w:color="auto" w:sz="8" w:space="0"/>
            </w:tcBorders>
            <w:vAlign w:val="center"/>
          </w:tcPr>
          <w:p>
            <w:pPr>
              <w:pStyle w:val="253"/>
              <w:ind w:firstLine="0" w:firstLineChars="0"/>
              <w:jc w:val="center"/>
              <w:rPr>
                <w:sz w:val="18"/>
                <w:szCs w:val="18"/>
              </w:rPr>
            </w:pPr>
          </w:p>
        </w:tc>
        <w:tc>
          <w:tcPr>
            <w:tcW w:w="1701" w:type="dxa"/>
            <w:tcBorders>
              <w:top w:val="single" w:color="auto" w:sz="4" w:space="0"/>
              <w:bottom w:val="single" w:color="auto" w:sz="8" w:space="0"/>
            </w:tcBorders>
            <w:vAlign w:val="center"/>
          </w:tcPr>
          <w:p>
            <w:pPr>
              <w:autoSpaceDE w:val="0"/>
              <w:autoSpaceDN w:val="0"/>
              <w:spacing w:line="281" w:lineRule="exact"/>
              <w:jc w:val="center"/>
              <w:rPr>
                <w:rFonts w:ascii="宋体"/>
                <w:sz w:val="18"/>
                <w:szCs w:val="18"/>
              </w:rPr>
            </w:pPr>
            <w:r>
              <w:rPr>
                <w:rFonts w:hint="eastAsia" w:ascii="宋体" w:hAnsi="宋体" w:cs="宋体"/>
                <w:spacing w:val="1"/>
                <w:sz w:val="18"/>
                <w:szCs w:val="18"/>
              </w:rPr>
              <w:t>冷弯薄壁型钢</w:t>
            </w:r>
          </w:p>
        </w:tc>
        <w:tc>
          <w:tcPr>
            <w:tcW w:w="708" w:type="dxa"/>
            <w:tcBorders>
              <w:top w:val="single" w:color="auto" w:sz="4" w:space="0"/>
              <w:bottom w:val="single" w:color="auto" w:sz="8" w:space="0"/>
            </w:tcBorders>
            <w:vAlign w:val="center"/>
          </w:tcPr>
          <w:p>
            <w:pPr>
              <w:pStyle w:val="253"/>
              <w:ind w:firstLine="0" w:firstLineChars="0"/>
              <w:jc w:val="center"/>
              <w:rPr>
                <w:sz w:val="18"/>
                <w:szCs w:val="18"/>
              </w:rPr>
            </w:pPr>
            <w:r>
              <w:rPr>
                <w:rFonts w:hint="eastAsia"/>
                <w:sz w:val="18"/>
                <w:szCs w:val="18"/>
              </w:rPr>
              <w:t>205</w:t>
            </w:r>
          </w:p>
        </w:tc>
        <w:tc>
          <w:tcPr>
            <w:tcW w:w="709" w:type="dxa"/>
            <w:tcBorders>
              <w:top w:val="single" w:color="auto" w:sz="4" w:space="0"/>
              <w:bottom w:val="single" w:color="auto" w:sz="8" w:space="0"/>
            </w:tcBorders>
            <w:vAlign w:val="center"/>
          </w:tcPr>
          <w:p>
            <w:pPr>
              <w:pStyle w:val="253"/>
              <w:ind w:firstLine="0" w:firstLineChars="0"/>
              <w:jc w:val="center"/>
              <w:rPr>
                <w:sz w:val="18"/>
                <w:szCs w:val="18"/>
              </w:rPr>
            </w:pPr>
            <w:r>
              <w:rPr>
                <w:rFonts w:hint="eastAsia"/>
                <w:sz w:val="18"/>
                <w:szCs w:val="18"/>
              </w:rPr>
              <w:t>175</w:t>
            </w:r>
          </w:p>
        </w:tc>
        <w:tc>
          <w:tcPr>
            <w:tcW w:w="709" w:type="dxa"/>
            <w:tcBorders>
              <w:top w:val="single" w:color="auto" w:sz="4" w:space="0"/>
              <w:bottom w:val="single" w:color="auto" w:sz="8" w:space="0"/>
            </w:tcBorders>
            <w:vAlign w:val="center"/>
          </w:tcPr>
          <w:p>
            <w:pPr>
              <w:pStyle w:val="253"/>
              <w:ind w:firstLine="0" w:firstLineChars="0"/>
              <w:jc w:val="center"/>
              <w:rPr>
                <w:sz w:val="18"/>
                <w:szCs w:val="18"/>
              </w:rPr>
            </w:pPr>
            <w:r>
              <w:rPr>
                <w:rFonts w:hint="eastAsia"/>
                <w:sz w:val="18"/>
                <w:szCs w:val="18"/>
              </w:rPr>
              <w:t>120</w:t>
            </w:r>
          </w:p>
        </w:tc>
        <w:tc>
          <w:tcPr>
            <w:tcW w:w="1701" w:type="dxa"/>
            <w:tcBorders>
              <w:top w:val="single" w:color="auto" w:sz="4" w:space="0"/>
              <w:bottom w:val="single" w:color="auto" w:sz="8" w:space="0"/>
            </w:tcBorders>
            <w:vAlign w:val="center"/>
          </w:tcPr>
          <w:p>
            <w:pPr>
              <w:pStyle w:val="253"/>
              <w:ind w:firstLine="0" w:firstLineChars="0"/>
              <w:jc w:val="center"/>
              <w:rPr>
                <w:sz w:val="18"/>
                <w:szCs w:val="18"/>
              </w:rPr>
            </w:pPr>
            <w:r>
              <w:rPr>
                <w:rFonts w:hint="eastAsia"/>
                <w:sz w:val="18"/>
                <w:szCs w:val="18"/>
              </w:rPr>
              <w:t>160</w:t>
            </w:r>
          </w:p>
        </w:tc>
      </w:tr>
    </w:tbl>
    <w:p>
      <w:pPr>
        <w:pStyle w:val="188"/>
        <w:numPr>
          <w:ilvl w:val="0"/>
          <w:numId w:val="0"/>
        </w:numPr>
      </w:pPr>
    </w:p>
    <w:p>
      <w:pPr>
        <w:pStyle w:val="188"/>
        <w:ind w:left="0"/>
      </w:pPr>
      <w:r>
        <w:rPr>
          <w:rFonts w:hint="eastAsia"/>
        </w:rPr>
        <w:t>螺栓连接的强度设计值应按表9采用。</w:t>
      </w:r>
    </w:p>
    <w:p>
      <w:pPr>
        <w:pStyle w:val="135"/>
        <w:spacing w:before="156" w:after="156"/>
      </w:pPr>
      <w:r>
        <w:rPr>
          <w:rFonts w:hint="eastAsia"/>
        </w:rPr>
        <w:t>螺栓连接的强度设计值（</w:t>
      </w:r>
      <w:r>
        <w:rPr>
          <w:rFonts w:ascii="QEPDFQ+SimSun-Identity-H" w:hAnsi="QEPDFQ+SimSun-Identity-H" w:eastAsia="Times New Roman"/>
        </w:rPr>
        <w:t>N/mm</w:t>
      </w:r>
      <w:r>
        <w:rPr>
          <w:rFonts w:hint="eastAsia" w:ascii="QEPDFQ+SimSun-Identity-H" w:hAnsi="QEPDFQ+SimSun-Identity-H" w:eastAsia="宋体"/>
          <w:vertAlign w:val="superscript"/>
        </w:rPr>
        <w:t>2</w:t>
      </w:r>
      <w:r>
        <w:rPr>
          <w:rFonts w:hint="eastAsia"/>
        </w:rPr>
        <w:t>）</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2126"/>
        <w:gridCol w:w="24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126" w:type="dxa"/>
            <w:tcBorders>
              <w:top w:val="single" w:color="auto" w:sz="8" w:space="0"/>
              <w:bottom w:val="single" w:color="auto" w:sz="8" w:space="0"/>
            </w:tcBorders>
          </w:tcPr>
          <w:p>
            <w:pPr>
              <w:rPr>
                <w:rFonts w:ascii="宋体"/>
                <w:sz w:val="18"/>
              </w:rPr>
            </w:pPr>
            <w:r>
              <w:rPr>
                <w:rFonts w:hint="eastAsia" w:ascii="宋体"/>
                <w:sz w:val="18"/>
              </w:rPr>
              <w:t>钢号</w:t>
            </w:r>
          </w:p>
        </w:tc>
        <w:tc>
          <w:tcPr>
            <w:tcW w:w="2126" w:type="dxa"/>
            <w:tcBorders>
              <w:top w:val="single" w:color="auto" w:sz="8" w:space="0"/>
              <w:bottom w:val="single" w:color="auto" w:sz="8" w:space="0"/>
            </w:tcBorders>
          </w:tcPr>
          <w:p>
            <w:pPr>
              <w:rPr>
                <w:rFonts w:ascii="宋体"/>
                <w:sz w:val="18"/>
              </w:rPr>
            </w:pPr>
            <w:r>
              <w:rPr>
                <w:rFonts w:ascii="宋体"/>
                <w:sz w:val="18"/>
              </w:rPr>
              <w:t>抗拉</w:t>
            </w:r>
          </w:p>
        </w:tc>
        <w:tc>
          <w:tcPr>
            <w:tcW w:w="2410" w:type="dxa"/>
            <w:tcBorders>
              <w:top w:val="single" w:color="auto" w:sz="8" w:space="0"/>
              <w:bottom w:val="single" w:color="auto" w:sz="8" w:space="0"/>
            </w:tcBorders>
          </w:tcPr>
          <w:p>
            <w:pPr>
              <w:rPr>
                <w:rFonts w:ascii="宋体"/>
                <w:sz w:val="18"/>
              </w:rPr>
            </w:pPr>
            <w:r>
              <w:rPr>
                <w:rFonts w:ascii="宋体"/>
                <w:sz w:val="18"/>
              </w:rPr>
              <w:t>抗剪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126" w:type="dxa"/>
            <w:tcBorders>
              <w:top w:val="single" w:color="auto" w:sz="8" w:space="0"/>
              <w:bottom w:val="single" w:color="auto" w:sz="8" w:space="0"/>
            </w:tcBorders>
          </w:tcPr>
          <w:p>
            <w:pPr>
              <w:rPr>
                <w:rFonts w:ascii="宋体"/>
                <w:sz w:val="18"/>
              </w:rPr>
            </w:pPr>
            <w:r>
              <w:rPr>
                <w:rFonts w:ascii="宋体"/>
                <w:sz w:val="18"/>
                <w:szCs w:val="18"/>
              </w:rPr>
              <w:t>Q235</w:t>
            </w:r>
          </w:p>
        </w:tc>
        <w:tc>
          <w:tcPr>
            <w:tcW w:w="2126" w:type="dxa"/>
            <w:tcBorders>
              <w:top w:val="single" w:color="auto" w:sz="8" w:space="0"/>
              <w:bottom w:val="single" w:color="auto" w:sz="8" w:space="0"/>
            </w:tcBorders>
          </w:tcPr>
          <w:p>
            <w:pPr>
              <w:rPr>
                <w:rFonts w:ascii="宋体"/>
                <w:sz w:val="18"/>
              </w:rPr>
            </w:pPr>
            <w:r>
              <w:rPr>
                <w:rFonts w:hint="eastAsia" w:ascii="宋体"/>
                <w:sz w:val="18"/>
              </w:rPr>
              <w:t>170</w:t>
            </w:r>
          </w:p>
        </w:tc>
        <w:tc>
          <w:tcPr>
            <w:tcW w:w="2410" w:type="dxa"/>
            <w:tcBorders>
              <w:top w:val="single" w:color="auto" w:sz="8" w:space="0"/>
              <w:bottom w:val="single" w:color="auto" w:sz="8" w:space="0"/>
            </w:tcBorders>
          </w:tcPr>
          <w:p>
            <w:pPr>
              <w:rPr>
                <w:rFonts w:ascii="宋体"/>
                <w:sz w:val="18"/>
              </w:rPr>
            </w:pPr>
            <w:r>
              <w:rPr>
                <w:rFonts w:hint="eastAsia" w:ascii="宋体"/>
                <w:sz w:val="18"/>
              </w:rPr>
              <w:t>140</w:t>
            </w:r>
          </w:p>
        </w:tc>
      </w:tr>
    </w:tbl>
    <w:p>
      <w:pPr>
        <w:pStyle w:val="188"/>
        <w:numPr>
          <w:ilvl w:val="0"/>
          <w:numId w:val="0"/>
        </w:numPr>
      </w:pPr>
    </w:p>
    <w:p>
      <w:pPr>
        <w:pStyle w:val="188"/>
        <w:ind w:left="0"/>
      </w:pPr>
      <w:r>
        <w:rPr>
          <w:rFonts w:hint="eastAsia"/>
        </w:rPr>
        <w:t>扣件的抗滑承载力设计值应按表10采用。</w:t>
      </w:r>
    </w:p>
    <w:p>
      <w:pPr>
        <w:pStyle w:val="135"/>
        <w:spacing w:before="156" w:after="156"/>
      </w:pPr>
      <w:r>
        <w:rPr>
          <w:rFonts w:hint="eastAsia"/>
        </w:rPr>
        <w:t>扣件抗滑承载力设计值（</w:t>
      </w:r>
      <w:r>
        <w:t>kN</w:t>
      </w:r>
      <w:r>
        <w:rPr>
          <w:rFonts w:hint="eastAsia"/>
        </w:rPr>
        <w:t>）</w:t>
      </w:r>
    </w:p>
    <w:p>
      <w:pPr>
        <w:pStyle w:val="79"/>
        <w:ind w:firstLine="420"/>
      </w:pP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985"/>
        <w:gridCol w:w="22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05" w:hRule="atLeast"/>
          <w:jc w:val="center"/>
        </w:trPr>
        <w:tc>
          <w:tcPr>
            <w:tcW w:w="2126" w:type="dxa"/>
            <w:vMerge w:val="restart"/>
            <w:tcBorders>
              <w:top w:val="single" w:color="auto" w:sz="8" w:space="0"/>
            </w:tcBorders>
            <w:vAlign w:val="center"/>
          </w:tcPr>
          <w:p>
            <w:pPr>
              <w:jc w:val="center"/>
              <w:rPr>
                <w:rFonts w:ascii="宋体"/>
                <w:sz w:val="18"/>
                <w:szCs w:val="18"/>
              </w:rPr>
            </w:pPr>
            <w:r>
              <w:rPr>
                <w:rFonts w:ascii="宋体"/>
                <w:sz w:val="18"/>
                <w:szCs w:val="18"/>
              </w:rPr>
              <w:t>项目</w:t>
            </w:r>
          </w:p>
        </w:tc>
        <w:tc>
          <w:tcPr>
            <w:tcW w:w="4253" w:type="dxa"/>
            <w:gridSpan w:val="2"/>
            <w:tcBorders>
              <w:top w:val="single" w:color="auto" w:sz="8" w:space="0"/>
            </w:tcBorders>
          </w:tcPr>
          <w:p>
            <w:pPr>
              <w:autoSpaceDE w:val="0"/>
              <w:autoSpaceDN w:val="0"/>
              <w:spacing w:line="281" w:lineRule="exact"/>
              <w:jc w:val="center"/>
              <w:rPr>
                <w:rFonts w:ascii="宋体"/>
                <w:sz w:val="18"/>
                <w:szCs w:val="18"/>
              </w:rPr>
            </w:pPr>
            <w:r>
              <w:rPr>
                <w:rFonts w:hint="eastAsia" w:ascii="宋体" w:hAnsi="宋体" w:cs="宋体"/>
                <w:spacing w:val="1"/>
                <w:sz w:val="18"/>
                <w:szCs w:val="18"/>
              </w:rPr>
              <w:t>承载力设计值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05" w:hRule="atLeast"/>
          <w:jc w:val="center"/>
        </w:trPr>
        <w:tc>
          <w:tcPr>
            <w:tcW w:w="2126" w:type="dxa"/>
            <w:vMerge w:val="continue"/>
            <w:tcBorders>
              <w:bottom w:val="single" w:color="auto" w:sz="8" w:space="0"/>
            </w:tcBorders>
          </w:tcPr>
          <w:p>
            <w:pPr>
              <w:jc w:val="center"/>
              <w:rPr>
                <w:rFonts w:ascii="宋体"/>
                <w:sz w:val="18"/>
                <w:szCs w:val="18"/>
              </w:rPr>
            </w:pPr>
          </w:p>
        </w:tc>
        <w:tc>
          <w:tcPr>
            <w:tcW w:w="1985" w:type="dxa"/>
            <w:tcBorders>
              <w:bottom w:val="single" w:color="auto" w:sz="8" w:space="0"/>
            </w:tcBorders>
          </w:tcPr>
          <w:p>
            <w:pPr>
              <w:jc w:val="center"/>
              <w:rPr>
                <w:rFonts w:ascii="宋体"/>
                <w:sz w:val="18"/>
                <w:szCs w:val="18"/>
              </w:rPr>
            </w:pPr>
            <w:r>
              <w:rPr>
                <w:rFonts w:hint="eastAsia" w:ascii="宋体"/>
                <w:sz w:val="18"/>
                <w:szCs w:val="18"/>
              </w:rPr>
              <w:t>单扣件</w:t>
            </w:r>
          </w:p>
        </w:tc>
        <w:tc>
          <w:tcPr>
            <w:tcW w:w="2268" w:type="dxa"/>
            <w:tcBorders>
              <w:bottom w:val="single" w:color="auto" w:sz="8" w:space="0"/>
            </w:tcBorders>
          </w:tcPr>
          <w:p>
            <w:pPr>
              <w:jc w:val="center"/>
              <w:rPr>
                <w:rFonts w:ascii="宋体"/>
                <w:sz w:val="18"/>
                <w:szCs w:val="18"/>
              </w:rPr>
            </w:pPr>
            <w:r>
              <w:rPr>
                <w:rFonts w:ascii="宋体"/>
                <w:sz w:val="18"/>
                <w:szCs w:val="18"/>
              </w:rPr>
              <w:t>双扣件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126" w:type="dxa"/>
            <w:tcBorders>
              <w:top w:val="single" w:color="auto" w:sz="8" w:space="0"/>
            </w:tcBorders>
          </w:tcPr>
          <w:p>
            <w:pPr>
              <w:rPr>
                <w:rFonts w:ascii="宋体"/>
                <w:sz w:val="18"/>
                <w:szCs w:val="18"/>
              </w:rPr>
            </w:pPr>
            <w:r>
              <w:rPr>
                <w:rFonts w:hint="eastAsia" w:ascii="宋体"/>
                <w:sz w:val="18"/>
                <w:szCs w:val="18"/>
              </w:rPr>
              <w:t>对接扣件</w:t>
            </w:r>
          </w:p>
        </w:tc>
        <w:tc>
          <w:tcPr>
            <w:tcW w:w="1985" w:type="dxa"/>
            <w:tcBorders>
              <w:top w:val="single" w:color="auto" w:sz="8" w:space="0"/>
            </w:tcBorders>
          </w:tcPr>
          <w:p>
            <w:pPr>
              <w:rPr>
                <w:rFonts w:ascii="宋体"/>
                <w:sz w:val="18"/>
                <w:szCs w:val="18"/>
              </w:rPr>
            </w:pPr>
            <w:r>
              <w:rPr>
                <w:rFonts w:hint="eastAsia" w:ascii="宋体"/>
                <w:sz w:val="18"/>
                <w:szCs w:val="18"/>
              </w:rPr>
              <w:t>3.2</w:t>
            </w:r>
          </w:p>
        </w:tc>
        <w:tc>
          <w:tcPr>
            <w:tcW w:w="2268" w:type="dxa"/>
            <w:tcBorders>
              <w:top w:val="single" w:color="auto" w:sz="8" w:space="0"/>
            </w:tcBorders>
          </w:tcPr>
          <w:p>
            <w:pPr>
              <w:rPr>
                <w:rFonts w:ascii="宋体"/>
                <w:sz w:val="18"/>
                <w:szCs w:val="18"/>
              </w:rPr>
            </w:pPr>
            <w:r>
              <w:rPr>
                <w:rFonts w:hint="eastAsia" w:ascii="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126" w:type="dxa"/>
            <w:tcBorders>
              <w:top w:val="single" w:color="auto" w:sz="4" w:space="0"/>
              <w:bottom w:val="single" w:color="auto" w:sz="8" w:space="0"/>
            </w:tcBorders>
          </w:tcPr>
          <w:p>
            <w:pPr>
              <w:rPr>
                <w:rFonts w:ascii="宋体"/>
                <w:sz w:val="18"/>
                <w:szCs w:val="18"/>
              </w:rPr>
            </w:pPr>
            <w:r>
              <w:rPr>
                <w:rFonts w:ascii="宋体"/>
                <w:sz w:val="18"/>
                <w:szCs w:val="18"/>
              </w:rPr>
              <w:t>直角</w:t>
            </w:r>
            <w:r>
              <w:rPr>
                <w:rFonts w:hint="eastAsia" w:ascii="宋体"/>
                <w:sz w:val="18"/>
                <w:szCs w:val="18"/>
              </w:rPr>
              <w:t>、</w:t>
            </w:r>
            <w:r>
              <w:rPr>
                <w:rFonts w:ascii="宋体"/>
                <w:sz w:val="18"/>
                <w:szCs w:val="18"/>
              </w:rPr>
              <w:t>旋转扣件</w:t>
            </w:r>
          </w:p>
        </w:tc>
        <w:tc>
          <w:tcPr>
            <w:tcW w:w="1985" w:type="dxa"/>
            <w:tcBorders>
              <w:top w:val="single" w:color="auto" w:sz="4" w:space="0"/>
              <w:bottom w:val="single" w:color="auto" w:sz="8" w:space="0"/>
            </w:tcBorders>
          </w:tcPr>
          <w:p>
            <w:pPr>
              <w:rPr>
                <w:rFonts w:ascii="宋体"/>
                <w:sz w:val="18"/>
                <w:szCs w:val="18"/>
              </w:rPr>
            </w:pPr>
            <w:r>
              <w:rPr>
                <w:rFonts w:hint="eastAsia" w:ascii="宋体"/>
                <w:sz w:val="18"/>
                <w:szCs w:val="18"/>
              </w:rPr>
              <w:t>8.0</w:t>
            </w:r>
          </w:p>
        </w:tc>
        <w:tc>
          <w:tcPr>
            <w:tcW w:w="2268" w:type="dxa"/>
            <w:tcBorders>
              <w:top w:val="single" w:color="auto" w:sz="4" w:space="0"/>
              <w:bottom w:val="single" w:color="auto" w:sz="8" w:space="0"/>
            </w:tcBorders>
          </w:tcPr>
          <w:p>
            <w:pPr>
              <w:rPr>
                <w:rFonts w:ascii="宋体"/>
                <w:sz w:val="18"/>
                <w:szCs w:val="18"/>
              </w:rPr>
            </w:pPr>
            <w:r>
              <w:rPr>
                <w:rFonts w:hint="eastAsia" w:ascii="宋体"/>
                <w:sz w:val="18"/>
                <w:szCs w:val="18"/>
              </w:rPr>
              <w:t>12.0</w:t>
            </w:r>
          </w:p>
        </w:tc>
      </w:tr>
    </w:tbl>
    <w:p>
      <w:pPr>
        <w:pStyle w:val="188"/>
        <w:numPr>
          <w:ilvl w:val="0"/>
          <w:numId w:val="0"/>
        </w:numPr>
      </w:pPr>
    </w:p>
    <w:p>
      <w:pPr>
        <w:pStyle w:val="188"/>
        <w:ind w:left="0"/>
      </w:pPr>
      <w:r>
        <w:t>悬挑梁的轴心受力构件容许长细比应符合表</w:t>
      </w:r>
      <w:r>
        <w:rPr>
          <w:rFonts w:hint="eastAsia"/>
        </w:rPr>
        <w:t>11</w:t>
      </w:r>
      <w:r>
        <w:t>的</w:t>
      </w:r>
      <w:r>
        <w:rPr>
          <w:rFonts w:hint="eastAsia"/>
        </w:rPr>
        <w:t>规定。</w:t>
      </w:r>
    </w:p>
    <w:p>
      <w:pPr>
        <w:pStyle w:val="135"/>
        <w:spacing w:before="156" w:after="156"/>
        <w:rPr>
          <w:rFonts w:ascii="PMHLHH+SimSun-Identity-H" w:hAnsi="PMHLHH+SimSun-Identity-H" w:eastAsia="宋体"/>
        </w:rPr>
      </w:pPr>
      <w:r>
        <w:rPr>
          <w:rFonts w:hint="eastAsia"/>
        </w:rPr>
        <w:t>轴心受力构件的容许长细比</w:t>
      </w:r>
      <w:r>
        <w:rPr>
          <w:rFonts w:ascii="PMHLHH+SimSun-Identity-H" w:hAnsi="PMHLHH+SimSun-Identity-H" w:eastAsia="Times New Roman"/>
        </w:rPr>
        <w:t>[λ]</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2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835" w:type="dxa"/>
            <w:tcBorders>
              <w:top w:val="single" w:color="auto" w:sz="8" w:space="0"/>
              <w:bottom w:val="single" w:color="auto" w:sz="8" w:space="0"/>
            </w:tcBorders>
          </w:tcPr>
          <w:p>
            <w:pPr>
              <w:rPr>
                <w:rFonts w:ascii="宋体"/>
                <w:sz w:val="18"/>
              </w:rPr>
            </w:pPr>
            <w:r>
              <w:rPr>
                <w:rFonts w:ascii="宋体"/>
                <w:sz w:val="18"/>
              </w:rPr>
              <w:t>构件类型</w:t>
            </w:r>
          </w:p>
        </w:tc>
        <w:tc>
          <w:tcPr>
            <w:tcW w:w="2268" w:type="dxa"/>
            <w:tcBorders>
              <w:top w:val="single" w:color="auto" w:sz="8" w:space="0"/>
              <w:bottom w:val="single" w:color="auto" w:sz="8" w:space="0"/>
            </w:tcBorders>
          </w:tcPr>
          <w:p>
            <w:pPr>
              <w:rPr>
                <w:rFonts w:ascii="宋体"/>
                <w:sz w:val="18"/>
              </w:rPr>
            </w:pPr>
            <w:r>
              <w:rPr>
                <w:rFonts w:ascii="宋体"/>
                <w:sz w:val="18"/>
              </w:rPr>
              <w:t>容许长细</w:t>
            </w:r>
            <w:r>
              <w:rPr>
                <w:rFonts w:ascii="宋体"/>
                <w:sz w:val="18"/>
                <w:szCs w:val="18"/>
              </w:rPr>
              <w:t>比</w:t>
            </w:r>
            <w:r>
              <w:rPr>
                <w:rFonts w:ascii="PMHLHH+SimSun-Identity-H" w:hAnsi="PMHLHH+SimSun-Identity-H" w:eastAsia="Times New Roman"/>
                <w:sz w:val="18"/>
                <w:szCs w:val="18"/>
              </w:rPr>
              <w:t>[λ]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835" w:type="dxa"/>
            <w:tcBorders>
              <w:top w:val="single" w:color="auto" w:sz="8" w:space="0"/>
            </w:tcBorders>
          </w:tcPr>
          <w:p>
            <w:pPr>
              <w:rPr>
                <w:rFonts w:ascii="宋体"/>
                <w:sz w:val="18"/>
              </w:rPr>
            </w:pPr>
            <w:r>
              <w:rPr>
                <w:rFonts w:ascii="宋体"/>
                <w:sz w:val="18"/>
              </w:rPr>
              <w:t>受压构件</w:t>
            </w:r>
          </w:p>
        </w:tc>
        <w:tc>
          <w:tcPr>
            <w:tcW w:w="2268" w:type="dxa"/>
            <w:tcBorders>
              <w:top w:val="single" w:color="auto" w:sz="8" w:space="0"/>
            </w:tcBorders>
          </w:tcPr>
          <w:p>
            <w:pPr>
              <w:rPr>
                <w:rFonts w:ascii="宋体"/>
                <w:sz w:val="18"/>
              </w:rPr>
            </w:pPr>
            <w:r>
              <w:rPr>
                <w:rFonts w:hint="eastAsia" w:ascii="宋体"/>
                <w:sz w:val="18"/>
              </w:rPr>
              <w:t>150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2835" w:type="dxa"/>
            <w:tcBorders>
              <w:top w:val="single" w:color="auto" w:sz="4" w:space="0"/>
              <w:bottom w:val="single" w:color="auto" w:sz="4" w:space="0"/>
            </w:tcBorders>
          </w:tcPr>
          <w:p>
            <w:pPr>
              <w:rPr>
                <w:rFonts w:ascii="宋体"/>
                <w:sz w:val="18"/>
              </w:rPr>
            </w:pPr>
            <w:r>
              <w:rPr>
                <w:rFonts w:ascii="宋体"/>
                <w:sz w:val="18"/>
              </w:rPr>
              <w:t>受拉构件</w:t>
            </w:r>
          </w:p>
        </w:tc>
        <w:tc>
          <w:tcPr>
            <w:tcW w:w="2268" w:type="dxa"/>
            <w:tcBorders>
              <w:top w:val="single" w:color="auto" w:sz="4" w:space="0"/>
              <w:bottom w:val="single" w:color="auto" w:sz="4" w:space="0"/>
            </w:tcBorders>
          </w:tcPr>
          <w:p>
            <w:pPr>
              <w:rPr>
                <w:rFonts w:ascii="宋体"/>
                <w:sz w:val="18"/>
              </w:rPr>
            </w:pPr>
            <w:r>
              <w:rPr>
                <w:rFonts w:hint="eastAsia" w:ascii="宋体"/>
                <w:sz w:val="18"/>
              </w:rPr>
              <w:t>350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103" w:type="dxa"/>
            <w:gridSpan w:val="2"/>
            <w:tcBorders>
              <w:top w:val="single" w:color="auto" w:sz="4" w:space="0"/>
              <w:bottom w:val="single" w:color="auto" w:sz="8" w:space="0"/>
            </w:tcBorders>
          </w:tcPr>
          <w:p>
            <w:pPr>
              <w:pStyle w:val="202"/>
            </w:pPr>
            <w:r>
              <w:rPr>
                <w:rFonts w:hint="eastAsia"/>
              </w:rPr>
              <w:t>张紧的钢丝绳、圆钢除外。</w:t>
            </w:r>
          </w:p>
        </w:tc>
      </w:tr>
    </w:tbl>
    <w:p>
      <w:pPr>
        <w:pStyle w:val="188"/>
        <w:numPr>
          <w:ilvl w:val="0"/>
          <w:numId w:val="0"/>
        </w:numPr>
      </w:pPr>
    </w:p>
    <w:p>
      <w:pPr>
        <w:pStyle w:val="188"/>
        <w:ind w:left="0"/>
      </w:pPr>
      <w:r>
        <w:t>悬挑梁的受弯构件允许挠度值[v]应符合表</w:t>
      </w:r>
      <w:r>
        <w:rPr>
          <w:rFonts w:hint="eastAsia"/>
        </w:rPr>
        <w:t>12的规定。</w:t>
      </w:r>
    </w:p>
    <w:p>
      <w:pPr>
        <w:pStyle w:val="330"/>
        <w:numPr>
          <w:ilvl w:val="0"/>
          <w:numId w:val="16"/>
        </w:numPr>
        <w:spacing w:before="156" w:after="156"/>
      </w:pPr>
      <w:r>
        <w:t>悬挑梁的受弯构件允许挠度值[v]</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gridCol w:w="22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544" w:type="dxa"/>
            <w:gridSpan w:val="2"/>
            <w:tcBorders>
              <w:top w:val="single" w:color="auto" w:sz="8" w:space="0"/>
              <w:bottom w:val="single" w:color="auto" w:sz="8" w:space="0"/>
            </w:tcBorders>
            <w:vAlign w:val="center"/>
          </w:tcPr>
          <w:p>
            <w:pPr>
              <w:pStyle w:val="253"/>
              <w:ind w:firstLine="0" w:firstLineChars="0"/>
              <w:jc w:val="center"/>
              <w:rPr>
                <w:sz w:val="18"/>
                <w:szCs w:val="18"/>
              </w:rPr>
            </w:pPr>
            <w:r>
              <w:rPr>
                <w:sz w:val="18"/>
                <w:szCs w:val="18"/>
              </w:rPr>
              <w:t>构件类型</w:t>
            </w:r>
          </w:p>
        </w:tc>
        <w:tc>
          <w:tcPr>
            <w:tcW w:w="2268" w:type="dxa"/>
            <w:tcBorders>
              <w:top w:val="single" w:color="auto" w:sz="8" w:space="0"/>
              <w:bottom w:val="single" w:color="auto" w:sz="8" w:space="0"/>
            </w:tcBorders>
            <w:vAlign w:val="center"/>
          </w:tcPr>
          <w:p>
            <w:pPr>
              <w:pStyle w:val="253"/>
              <w:ind w:firstLine="0" w:firstLineChars="0"/>
              <w:jc w:val="center"/>
              <w:rPr>
                <w:sz w:val="18"/>
                <w:szCs w:val="18"/>
              </w:rPr>
            </w:pPr>
            <w:r>
              <w:rPr>
                <w:rFonts w:hint="eastAsia"/>
                <w:sz w:val="18"/>
                <w:szCs w:val="18"/>
              </w:rPr>
              <w:t>允许扰度</w:t>
            </w:r>
            <w:r>
              <w:rPr>
                <w:sz w:val="18"/>
                <w:szCs w:val="18"/>
              </w:rPr>
              <w:t>[v]</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701" w:type="dxa"/>
            <w:vMerge w:val="restart"/>
            <w:tcBorders>
              <w:top w:val="single" w:color="auto" w:sz="8" w:space="0"/>
            </w:tcBorders>
            <w:vAlign w:val="center"/>
          </w:tcPr>
          <w:p>
            <w:pPr>
              <w:pStyle w:val="253"/>
              <w:ind w:firstLine="0" w:firstLineChars="0"/>
              <w:jc w:val="center"/>
              <w:rPr>
                <w:sz w:val="18"/>
                <w:szCs w:val="18"/>
              </w:rPr>
            </w:pPr>
            <w:r>
              <w:rPr>
                <w:sz w:val="18"/>
                <w:szCs w:val="18"/>
              </w:rPr>
              <w:t>型钢悬挑结构</w:t>
            </w:r>
          </w:p>
        </w:tc>
        <w:tc>
          <w:tcPr>
            <w:tcW w:w="1843" w:type="dxa"/>
            <w:tcBorders>
              <w:top w:val="single" w:color="auto" w:sz="8" w:space="0"/>
            </w:tcBorders>
          </w:tcPr>
          <w:p>
            <w:pPr>
              <w:pStyle w:val="253"/>
              <w:ind w:firstLine="0" w:firstLineChars="0"/>
              <w:jc w:val="center"/>
              <w:rPr>
                <w:sz w:val="18"/>
                <w:szCs w:val="18"/>
              </w:rPr>
            </w:pPr>
            <w:r>
              <w:rPr>
                <w:sz w:val="18"/>
                <w:szCs w:val="18"/>
              </w:rPr>
              <w:t>悬臂结构</w:t>
            </w:r>
          </w:p>
        </w:tc>
        <w:tc>
          <w:tcPr>
            <w:tcW w:w="2268" w:type="dxa"/>
            <w:tcBorders>
              <w:top w:val="single" w:color="auto" w:sz="8" w:space="0"/>
            </w:tcBorders>
          </w:tcPr>
          <w:p>
            <w:pPr>
              <w:pStyle w:val="253"/>
              <w:ind w:firstLine="0" w:firstLineChars="0"/>
              <w:jc w:val="center"/>
              <w:rPr>
                <w:sz w:val="18"/>
                <w:szCs w:val="18"/>
              </w:rPr>
            </w:pPr>
            <w:r>
              <w:rPr>
                <w:rFonts w:hint="eastAsia"/>
                <w:sz w:val="18"/>
                <w:szCs w:val="18"/>
              </w:rPr>
              <w:t>L/400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701" w:type="dxa"/>
            <w:vMerge w:val="continue"/>
          </w:tcPr>
          <w:p>
            <w:pPr>
              <w:pStyle w:val="253"/>
              <w:ind w:firstLine="0" w:firstLineChars="0"/>
              <w:rPr>
                <w:szCs w:val="18"/>
              </w:rPr>
            </w:pPr>
          </w:p>
        </w:tc>
        <w:tc>
          <w:tcPr>
            <w:tcW w:w="1843" w:type="dxa"/>
            <w:tcBorders>
              <w:top w:val="single" w:color="auto" w:sz="4" w:space="0"/>
              <w:bottom w:val="single" w:color="auto" w:sz="4" w:space="0"/>
            </w:tcBorders>
          </w:tcPr>
          <w:p>
            <w:pPr>
              <w:pStyle w:val="253"/>
              <w:ind w:firstLine="0" w:firstLineChars="0"/>
              <w:jc w:val="center"/>
              <w:rPr>
                <w:sz w:val="18"/>
                <w:szCs w:val="18"/>
              </w:rPr>
            </w:pPr>
            <w:r>
              <w:rPr>
                <w:sz w:val="18"/>
                <w:szCs w:val="18"/>
              </w:rPr>
              <w:t>一般结构</w:t>
            </w:r>
          </w:p>
        </w:tc>
        <w:tc>
          <w:tcPr>
            <w:tcW w:w="2268" w:type="dxa"/>
            <w:tcBorders>
              <w:top w:val="single" w:color="auto" w:sz="4" w:space="0"/>
              <w:bottom w:val="single" w:color="auto" w:sz="4" w:space="0"/>
            </w:tcBorders>
          </w:tcPr>
          <w:p>
            <w:pPr>
              <w:pStyle w:val="253"/>
              <w:ind w:firstLine="0" w:firstLineChars="0"/>
              <w:jc w:val="center"/>
              <w:rPr>
                <w:sz w:val="18"/>
                <w:szCs w:val="18"/>
              </w:rPr>
            </w:pPr>
            <w:r>
              <w:rPr>
                <w:rFonts w:hint="eastAsia"/>
                <w:sz w:val="18"/>
                <w:szCs w:val="18"/>
              </w:rPr>
              <w:t>L/250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812" w:type="dxa"/>
            <w:gridSpan w:val="3"/>
            <w:tcBorders>
              <w:bottom w:val="single" w:color="auto" w:sz="8" w:space="0"/>
            </w:tcBorders>
          </w:tcPr>
          <w:p>
            <w:pPr>
              <w:pStyle w:val="261"/>
              <w:numPr>
                <w:ilvl w:val="0"/>
                <w:numId w:val="26"/>
              </w:numPr>
              <w:ind w:left="930" w:hanging="363"/>
            </w:pPr>
            <w:r>
              <w:t>L 为受弯构件的跨度，对于悬臂梁和伸臂梁为悬伸长度的</w:t>
            </w:r>
            <w:r>
              <w:rPr>
                <w:rFonts w:hint="eastAsia" w:cs="Calibri"/>
              </w:rPr>
              <w:t>2</w:t>
            </w:r>
            <w:r>
              <w:t>倍。</w:t>
            </w:r>
          </w:p>
        </w:tc>
      </w:tr>
    </w:tbl>
    <w:p>
      <w:pPr>
        <w:pStyle w:val="188"/>
        <w:numPr>
          <w:ilvl w:val="0"/>
          <w:numId w:val="0"/>
        </w:numPr>
      </w:pPr>
    </w:p>
    <w:p>
      <w:pPr>
        <w:pStyle w:val="128"/>
        <w:spacing w:before="156" w:after="156"/>
      </w:pPr>
      <w:bookmarkStart w:id="89" w:name="_Toc106095437"/>
      <w:bookmarkStart w:id="90" w:name="_Toc106092169"/>
      <w:r>
        <w:t>悬挑</w:t>
      </w:r>
      <w:r>
        <w:rPr>
          <w:rFonts w:hint="eastAsia"/>
        </w:rPr>
        <w:t>承力架设计</w:t>
      </w:r>
      <w:bookmarkEnd w:id="89"/>
      <w:bookmarkEnd w:id="90"/>
    </w:p>
    <w:p>
      <w:pPr>
        <w:pStyle w:val="188"/>
        <w:ind w:left="0"/>
      </w:pPr>
      <w:r>
        <w:t>悬挑</w:t>
      </w:r>
      <w:r>
        <w:rPr>
          <w:rFonts w:hint="eastAsia"/>
        </w:rPr>
        <w:t>承力架</w:t>
      </w:r>
      <w:r>
        <w:t>结构的设计应根据不同的构造形式，进行下列设计计算：</w:t>
      </w:r>
    </w:p>
    <w:p>
      <w:pPr>
        <w:pStyle w:val="79"/>
        <w:ind w:firstLine="420"/>
      </w:pPr>
      <w:r>
        <w:rPr>
          <w:rFonts w:hint="eastAsia"/>
        </w:rPr>
        <w:t>a）</w:t>
      </w:r>
      <w:r>
        <w:t>悬挑梁的抗弯强度、抗剪强度、整体稳定性和挠度</w:t>
      </w:r>
      <w:r>
        <w:rPr>
          <w:rFonts w:hint="eastAsia"/>
        </w:rPr>
        <w:t>。</w:t>
      </w:r>
    </w:p>
    <w:p>
      <w:pPr>
        <w:pStyle w:val="79"/>
        <w:ind w:firstLine="420"/>
      </w:pPr>
      <w:r>
        <w:rPr>
          <w:rFonts w:hint="eastAsia"/>
        </w:rPr>
        <w:t>b）斜</w:t>
      </w:r>
      <w:r>
        <w:t>拉</w:t>
      </w:r>
      <w:r>
        <w:rPr>
          <w:rFonts w:hint="eastAsia"/>
        </w:rPr>
        <w:t>杆</w:t>
      </w:r>
      <w:r>
        <w:t>件的抗拉强度</w:t>
      </w:r>
      <w:r>
        <w:rPr>
          <w:rFonts w:hint="eastAsia"/>
        </w:rPr>
        <w:t>。</w:t>
      </w:r>
    </w:p>
    <w:p>
      <w:pPr>
        <w:pStyle w:val="79"/>
        <w:ind w:firstLine="420"/>
      </w:pPr>
      <w:r>
        <w:rPr>
          <w:rFonts w:hint="eastAsia"/>
        </w:rPr>
        <w:t>c）</w:t>
      </w:r>
      <w:r>
        <w:t>斜撑</w:t>
      </w:r>
      <w:r>
        <w:rPr>
          <w:rFonts w:hint="eastAsia"/>
        </w:rPr>
        <w:t>杆</w:t>
      </w:r>
      <w:r>
        <w:t>件的抗压强度和</w:t>
      </w:r>
      <w:r>
        <w:rPr>
          <w:rFonts w:hint="eastAsia"/>
        </w:rPr>
        <w:t>整体</w:t>
      </w:r>
      <w:r>
        <w:t>稳定性</w:t>
      </w:r>
      <w:r>
        <w:rPr>
          <w:rFonts w:hint="eastAsia"/>
        </w:rPr>
        <w:t>。</w:t>
      </w:r>
    </w:p>
    <w:p>
      <w:pPr>
        <w:pStyle w:val="79"/>
        <w:ind w:firstLine="420"/>
      </w:pPr>
      <w:r>
        <w:rPr>
          <w:rFonts w:hint="eastAsia"/>
        </w:rPr>
        <w:t>d）</w:t>
      </w:r>
      <w:r>
        <w:t>悬挑梁</w:t>
      </w:r>
      <w:r>
        <w:rPr>
          <w:rFonts w:hint="eastAsia"/>
        </w:rPr>
        <w:t>、斜拉构件</w:t>
      </w:r>
      <w:r>
        <w:t>及</w:t>
      </w:r>
      <w:r>
        <w:rPr>
          <w:rFonts w:hint="eastAsia"/>
        </w:rPr>
        <w:t>斜撑杆</w:t>
      </w:r>
      <w:r>
        <w:t>件的锚固件及其锚固连接的抗拉和抗剪强度</w:t>
      </w:r>
      <w:r>
        <w:rPr>
          <w:rFonts w:hint="eastAsia"/>
        </w:rPr>
        <w:t>。</w:t>
      </w:r>
    </w:p>
    <w:p>
      <w:pPr>
        <w:pStyle w:val="79"/>
        <w:ind w:firstLine="420"/>
      </w:pPr>
      <w:r>
        <w:rPr>
          <w:rFonts w:hint="eastAsia"/>
        </w:rPr>
        <w:t>e）</w:t>
      </w:r>
      <w:r>
        <w:t>悬挑</w:t>
      </w:r>
      <w:r>
        <w:rPr>
          <w:rFonts w:hint="eastAsia"/>
        </w:rPr>
        <w:t>承力架</w:t>
      </w:r>
      <w:r>
        <w:t>各节点的连接强度</w:t>
      </w:r>
      <w:r>
        <w:rPr>
          <w:rFonts w:hint="eastAsia"/>
        </w:rPr>
        <w:t>。</w:t>
      </w:r>
    </w:p>
    <w:p>
      <w:pPr>
        <w:pStyle w:val="79"/>
        <w:ind w:firstLine="420"/>
      </w:pPr>
      <w:r>
        <w:rPr>
          <w:rFonts w:hint="eastAsia"/>
        </w:rPr>
        <w:t>f）</w:t>
      </w:r>
      <w:r>
        <w:t>支承悬挑</w:t>
      </w:r>
      <w:r>
        <w:rPr>
          <w:rFonts w:hint="eastAsia"/>
        </w:rPr>
        <w:t>承力架</w:t>
      </w:r>
      <w:r>
        <w:t>的主体结构构件的承载力及支座局部承压验算。</w:t>
      </w:r>
    </w:p>
    <w:p>
      <w:pPr>
        <w:pStyle w:val="188"/>
        <w:ind w:left="0"/>
      </w:pPr>
      <w:r>
        <w:rPr>
          <w:rFonts w:hint="eastAsia"/>
        </w:rPr>
        <w:t>用于</w:t>
      </w:r>
      <w:r>
        <w:t>锚固悬挑梁</w:t>
      </w:r>
      <w:r>
        <w:rPr>
          <w:rFonts w:hint="eastAsia"/>
        </w:rPr>
        <w:t>的</w:t>
      </w:r>
      <w:r>
        <w:t>主体结构</w:t>
      </w:r>
      <w:r>
        <w:rPr>
          <w:rFonts w:hint="eastAsia"/>
        </w:rPr>
        <w:t>构件的承载力应</w:t>
      </w:r>
      <w:r>
        <w:t>满足</w:t>
      </w:r>
      <w:r>
        <w:rPr>
          <w:rFonts w:hint="eastAsia"/>
        </w:rPr>
        <w:t>悬挑</w:t>
      </w:r>
      <w:r>
        <w:t>梁</w:t>
      </w:r>
      <w:r>
        <w:rPr>
          <w:rFonts w:hint="eastAsia"/>
        </w:rPr>
        <w:t>对</w:t>
      </w:r>
      <w:r>
        <w:t>该</w:t>
      </w:r>
      <w:r>
        <w:rPr>
          <w:rFonts w:hint="eastAsia"/>
        </w:rPr>
        <w:t>构件</w:t>
      </w:r>
      <w:r>
        <w:t>的设计要求，必要时应采取加强措施。主体结构的悬挑构件不</w:t>
      </w:r>
      <w:r>
        <w:rPr>
          <w:rFonts w:hint="eastAsia"/>
        </w:rPr>
        <w:t>应</w:t>
      </w:r>
      <w:r>
        <w:t>作为悬挑梁的支座，必要时</w:t>
      </w:r>
      <w:r>
        <w:rPr>
          <w:rFonts w:hint="eastAsia"/>
        </w:rPr>
        <w:t>应由主体结构设计单位单独进行设计</w:t>
      </w:r>
      <w:r>
        <w:t>。</w:t>
      </w:r>
    </w:p>
    <w:p>
      <w:pPr>
        <w:pStyle w:val="188"/>
        <w:ind w:left="0"/>
      </w:pPr>
      <w:r>
        <w:rPr>
          <w:rFonts w:hint="eastAsia"/>
        </w:rPr>
        <w:t>悬挑承力架的结构重要性系数应根据悬挑脚手架所处的地理</w:t>
      </w:r>
      <w:r>
        <w:t>位置确定。</w:t>
      </w:r>
    </w:p>
    <w:p>
      <w:pPr>
        <w:pStyle w:val="188"/>
        <w:ind w:left="0"/>
      </w:pPr>
      <w:r>
        <w:rPr>
          <w:rFonts w:hint="eastAsia"/>
        </w:rPr>
        <w:t>计算悬挑梁的受弯承载力时，应采用构件的净截面面积；验</w:t>
      </w:r>
      <w:r>
        <w:t>算悬挑梁的</w:t>
      </w:r>
      <w:r>
        <w:rPr>
          <w:rFonts w:hint="eastAsia"/>
        </w:rPr>
        <w:t>受剪</w:t>
      </w:r>
      <w:r>
        <w:t>、变形、稳定性时，应采用构件的毛截面面积</w:t>
      </w:r>
      <w:r>
        <w:rPr>
          <w:rFonts w:hint="eastAsia"/>
        </w:rPr>
        <w:t>。</w:t>
      </w:r>
    </w:p>
    <w:p>
      <w:pPr>
        <w:pStyle w:val="188"/>
        <w:ind w:left="0"/>
      </w:pPr>
      <w:r>
        <w:rPr>
          <w:rFonts w:hint="eastAsia"/>
        </w:rPr>
        <w:t>悬挑梁的承载力应按下列规定计算：</w:t>
      </w:r>
    </w:p>
    <w:p>
      <w:pPr>
        <w:pStyle w:val="79"/>
        <w:ind w:firstLine="420"/>
      </w:pPr>
      <w:r>
        <w:rPr>
          <w:rFonts w:hint="eastAsia"/>
        </w:rPr>
        <w:t>a）在主平面内受弯的实腹构件，其抗弯强度可按公式（3）计算：</w:t>
      </w:r>
    </w:p>
    <w:p>
      <w:pPr>
        <w:pStyle w:val="136"/>
      </w:pPr>
      <w:r>
        <w:tab/>
      </w:r>
      <m:oMath>
        <m:r>
          <m:rPr>
            <m:sty m:val="p"/>
          </m:rPr>
          <w:rPr>
            <w:rFonts w:ascii="Cambria Math" w:hAnsi="Cambria Math"/>
          </w:rPr>
          <m:t>σ</m:t>
        </m:r>
        <m:r>
          <m:rPr>
            <m:sty m:val="p"/>
          </m:rPr>
          <w:rPr>
            <w:rFonts w:hint="eastAsia" w:ascii="Cambria Math" w:hAnsi="Cambria Math"/>
          </w:rPr>
          <m:t>=</m:t>
        </m:r>
        <m:f>
          <m:fPr>
            <m:ctrlPr>
              <w:rPr>
                <w:rFonts w:ascii="Cambria Math" w:hAnsi="Cambria Math"/>
              </w:rPr>
            </m:ctrlPr>
          </m:fPr>
          <m:num>
            <m:r>
              <m:rPr>
                <m:sty m:val="p"/>
              </m:rPr>
              <w:rPr>
                <w:rFonts w:ascii="Cambria Math" w:hAnsi="Cambria Math"/>
                <w:position w:val="-12"/>
              </w:rPr>
              <w:object>
                <v:shape id="_x0000_i1029" o:spt="75" type="#_x0000_t75" style="height:18.75pt;width:27.75pt;" o:ole="t" filled="f" o:preferrelative="t" stroked="f" coordsize="21600,21600">
                  <v:path/>
                  <v:fill on="f" focussize="0,0"/>
                  <v:stroke on="f" joinstyle="miter"/>
                  <v:imagedata r:id="rId38" o:title=""/>
                  <o:lock v:ext="edit" aspectratio="t"/>
                  <w10:wrap type="none"/>
                  <w10:anchorlock/>
                </v:shape>
                <o:OLEObject Type="Embed" ProgID="Equation.3" ShapeID="_x0000_i1029" DrawAspect="Content" ObjectID="_1468075729" r:id="rId37">
                  <o:LockedField>false</o:LockedField>
                </o:OLEObject>
              </w:object>
            </m:r>
            <m:ctrlPr>
              <w:rPr>
                <w:rFonts w:ascii="Cambria Math" w:hAnsi="Cambria Math"/>
              </w:rPr>
            </m:ctrlPr>
          </m:num>
          <m:den>
            <m:r>
              <m:rPr>
                <m:sty m:val="p"/>
              </m:rPr>
              <w:rPr>
                <w:rFonts w:ascii="Cambria Math" w:hAnsi="Cambria Math"/>
                <w:position w:val="-6"/>
              </w:rPr>
              <w:object>
                <v:shape id="_x0000_i1030" o:spt="75" type="#_x0000_t75" style="height:13.5pt;width:13.5pt;" o:ole="t" filled="f" o:preferrelative="t" stroked="f" coordsize="21600,21600">
                  <v:path/>
                  <v:fill on="f" focussize="0,0"/>
                  <v:stroke on="f" joinstyle="miter"/>
                  <v:imagedata r:id="rId40" o:title=""/>
                  <o:lock v:ext="edit" aspectratio="t"/>
                  <w10:wrap type="none"/>
                  <w10:anchorlock/>
                </v:shape>
                <o:OLEObject Type="Embed" ProgID="Equation.3" ShapeID="_x0000_i1030" DrawAspect="Content" ObjectID="_1468075730" r:id="rId39">
                  <o:LockedField>false</o:LockedField>
                </o:OLEObject>
              </w:object>
            </m:r>
            <m:ctrlPr>
              <w:rPr>
                <w:rFonts w:ascii="Cambria Math" w:hAnsi="Cambria Math"/>
              </w:rPr>
            </m:ctrlPr>
          </m:den>
        </m:f>
        <m:r>
          <m:rPr>
            <m:sty m:val="p"/>
          </m:rPr>
          <w:rPr>
            <w:rFonts w:ascii="Cambria Math" w:hAnsi="Cambria Math"/>
            <w:position w:val="-10"/>
          </w:rPr>
          <w:object>
            <v:shape id="_x0000_i1031" o:spt="75" type="#_x0000_t75" style="height:15pt;width:21pt;" o:ole="t" filled="f" o:preferrelative="t" stroked="f" coordsize="21600,21600">
              <v:path/>
              <v:fill on="f" focussize="0,0"/>
              <v:stroke on="f" joinstyle="miter"/>
              <v:imagedata r:id="rId42" o:title=""/>
              <o:lock v:ext="edit" aspectratio="t"/>
              <w10:wrap type="none"/>
              <w10:anchorlock/>
            </v:shape>
            <o:OLEObject Type="Embed" ProgID="Equation.3" ShapeID="_x0000_i1031" DrawAspect="Content" ObjectID="_1468075731" r:id="rId41">
              <o:LockedField>false</o:LockedField>
            </o:OLEObject>
          </w:objec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253"/>
        <w:ind w:firstLine="416"/>
        <w:rPr>
          <w:rFonts w:eastAsia="Times New Roman"/>
        </w:rPr>
      </w:pPr>
      <w:r>
        <w:rPr>
          <w:rFonts w:ascii="FPVBSG+SimSun-Identity-H" w:eastAsia="Times New Roman"/>
          <w:spacing w:val="-1"/>
        </w:rPr>
        <w:t>M</w:t>
      </w:r>
      <w:r>
        <w:rPr>
          <w:rFonts w:ascii="FPVBSG+SimSun-Identity-H" w:eastAsia="Times New Roman"/>
          <w:vertAlign w:val="subscript"/>
        </w:rPr>
        <w:t>max</w:t>
      </w:r>
      <w:r>
        <w:rPr>
          <w:rFonts w:ascii="FPVBSG+SimSun-Identity-H" w:hAnsi="FPVBSG+SimSun-Identity-H" w:eastAsia="Times New Roman"/>
        </w:rPr>
        <w:t>——</w:t>
      </w:r>
      <w:r>
        <w:rPr>
          <w:rFonts w:hint="eastAsia"/>
        </w:rPr>
        <w:t>钢梁计算截面最大弯矩设计值（N/</w:t>
      </w:r>
      <w:r>
        <w:t>mm</w:t>
      </w:r>
      <w:r>
        <w:rPr>
          <w:vertAlign w:val="superscript"/>
        </w:rPr>
        <w:t>2</w:t>
      </w:r>
      <w:r>
        <w:rPr>
          <w:rFonts w:hint="eastAsia"/>
        </w:rPr>
        <w:t>）；</w:t>
      </w:r>
    </w:p>
    <w:p>
      <w:pPr>
        <w:pStyle w:val="253"/>
      </w:pPr>
      <w:r>
        <w:rPr>
          <w:rFonts w:ascii="FPVBSG+SimSun-Identity-H" w:hAnsi="FPVBSG+SimSun-Identity-H" w:eastAsia="Times New Roman"/>
        </w:rPr>
        <w:t>W——</w:t>
      </w:r>
      <w:r>
        <w:rPr>
          <w:rFonts w:hint="eastAsia"/>
        </w:rPr>
        <w:t>钢梁的截面模量（</w:t>
      </w:r>
      <w:r>
        <w:t>mm</w:t>
      </w:r>
      <w:r>
        <w:rPr>
          <w:vertAlign w:val="superscript"/>
        </w:rPr>
        <w:t>3</w:t>
      </w:r>
      <w:r>
        <w:rPr>
          <w:rFonts w:hint="eastAsia"/>
        </w:rPr>
        <w:t>）；</w:t>
      </w:r>
    </w:p>
    <w:p>
      <w:pPr>
        <w:pStyle w:val="253"/>
        <w:spacing w:line="320" w:lineRule="exact"/>
        <w:rPr>
          <w:rFonts w:eastAsia="Times New Roman"/>
        </w:rPr>
      </w:pPr>
      <w:r>
        <w:rPr>
          <w:position w:val="-10"/>
        </w:rPr>
        <w:object>
          <v:shape id="_x0000_i1032" o:spt="75" type="#_x0000_t75" style="height:15pt;width:12pt;" o:ole="t" filled="f" o:preferrelative="t" stroked="f" coordsize="21600,21600">
            <v:path/>
            <v:fill on="f" focussize="0,0"/>
            <v:stroke on="f" joinstyle="miter"/>
            <v:imagedata r:id="rId44" o:title=""/>
            <o:lock v:ext="edit" aspectratio="t"/>
            <w10:wrap type="none"/>
            <w10:anchorlock/>
          </v:shape>
          <o:OLEObject Type="Embed" ProgID="Equation.3" ShapeID="_x0000_i1032" DrawAspect="Content" ObjectID="_1468075732" r:id="rId43">
            <o:LockedField>false</o:LockedField>
          </o:OLEObject>
        </w:object>
      </w:r>
      <w:r>
        <w:rPr>
          <w:rFonts w:ascii="FPVBSG+SimSun-Identity-H" w:hAnsi="FPVBSG+SimSun-Identity-H" w:eastAsia="Times New Roman"/>
        </w:rPr>
        <w:t>——</w:t>
      </w:r>
      <w:r>
        <w:rPr>
          <w:rFonts w:hint="eastAsia"/>
        </w:rPr>
        <w:t>钢材的抗弯强度设计值（N/</w:t>
      </w:r>
      <w:r>
        <w:t>mm</w:t>
      </w:r>
      <w:r>
        <w:rPr>
          <w:vertAlign w:val="superscript"/>
        </w:rPr>
        <w:t>2</w:t>
      </w:r>
      <w:r>
        <w:rPr>
          <w:rFonts w:hint="eastAsia"/>
        </w:rPr>
        <w:t>）。</w:t>
      </w:r>
    </w:p>
    <w:p>
      <w:pPr>
        <w:pStyle w:val="79"/>
        <w:ind w:firstLine="420"/>
      </w:pPr>
      <w:r>
        <w:rPr>
          <w:rFonts w:hint="eastAsia"/>
        </w:rPr>
        <w:t>b）在主平面内受弯的实腹构件，抗剪强度可按公式（4）计算：</w:t>
      </w:r>
    </w:p>
    <w:p>
      <w:pPr>
        <w:pStyle w:val="197"/>
        <w:numPr>
          <w:ilvl w:val="0"/>
          <w:numId w:val="0"/>
        </w:numPr>
        <w:ind w:left="851"/>
      </w:pPr>
    </w:p>
    <w:p>
      <w:pPr>
        <w:pStyle w:val="136"/>
      </w:pPr>
      <w:r>
        <w:tab/>
      </w:r>
    </w:p>
    <w:p>
      <w:pPr>
        <w:pStyle w:val="136"/>
      </w:pPr>
      <w:r>
        <w:tab/>
      </w:r>
      <m:oMath>
        <m:r>
          <m:rPr>
            <m:sty m:val="p"/>
          </m:rPr>
          <w:rPr>
            <w:rFonts w:ascii="Cambria Math" w:hAnsi="Cambria Math"/>
          </w:rPr>
          <m:t>τ</m:t>
        </m:r>
        <m:r>
          <m:rPr>
            <m:sty m:val="p"/>
          </m:rPr>
          <w:rPr>
            <w:rFonts w:hint="eastAsia" w:ascii="Cambria Math" w:hAnsi="Cambria Math"/>
          </w:rPr>
          <m:t>=</m:t>
        </m:r>
        <m:f>
          <m:fPr>
            <m:ctrlPr>
              <w:rPr>
                <w:rFonts w:ascii="Cambria Math" w:hAnsi="Cambria Math"/>
              </w:rPr>
            </m:ctrlPr>
          </m:fPr>
          <m:num>
            <m:r>
              <m:rPr>
                <m:sty m:val="p"/>
              </m:rPr>
              <w:rPr>
                <w:rFonts w:ascii="Cambria Math" w:hAnsi="Cambria Math"/>
                <w:position w:val="-12"/>
              </w:rPr>
              <w:object>
                <v:shape id="_x0000_i1033" o:spt="75" type="#_x0000_t75" style="height:18.75pt;width:30.75pt;" o:ole="t" filled="f" o:preferrelative="t" stroked="f" coordsize="21600,21600">
                  <v:path/>
                  <v:fill on="f" focussize="0,0"/>
                  <v:stroke on="f" joinstyle="miter"/>
                  <v:imagedata r:id="rId46" o:title=""/>
                  <o:lock v:ext="edit" aspectratio="t"/>
                  <w10:wrap type="none"/>
                  <w10:anchorlock/>
                </v:shape>
                <o:OLEObject Type="Embed" ProgID="Equation.3" ShapeID="_x0000_i1033" DrawAspect="Content" ObjectID="_1468075733" r:id="rId45">
                  <o:LockedField>false</o:LockedField>
                </o:OLEObject>
              </w:object>
            </m:r>
            <m:ctrlPr>
              <w:rPr>
                <w:rFonts w:ascii="Cambria Math" w:hAnsi="Cambria Math"/>
              </w:rPr>
            </m:ctrlPr>
          </m:num>
          <m:den>
            <m:r>
              <m:rPr>
                <m:sty m:val="p"/>
              </m:rPr>
              <w:rPr>
                <w:rFonts w:ascii="Cambria Math" w:hAnsi="Cambria Math"/>
                <w:position w:val="-12"/>
              </w:rPr>
              <w:object>
                <v:shape id="_x0000_i1034" o:spt="75" type="#_x0000_t75" style="height:18.75pt;width:18.75pt;" o:ole="t" filled="f" o:preferrelative="t" stroked="f" coordsize="21600,21600">
                  <v:path/>
                  <v:fill on="f" focussize="0,0"/>
                  <v:stroke on="f" joinstyle="miter"/>
                  <v:imagedata r:id="rId48" o:title=""/>
                  <o:lock v:ext="edit" aspectratio="t"/>
                  <w10:wrap type="none"/>
                  <w10:anchorlock/>
                </v:shape>
                <o:OLEObject Type="Embed" ProgID="Equation.3" ShapeID="_x0000_i1034" DrawAspect="Content" ObjectID="_1468075734" r:id="rId47">
                  <o:LockedField>false</o:LockedField>
                </o:OLEObject>
              </w:object>
            </m:r>
            <m:ctrlPr>
              <w:rPr>
                <w:rFonts w:ascii="Cambria Math" w:hAnsi="Cambria Math"/>
              </w:rPr>
            </m:ctrlPr>
          </m:den>
        </m:f>
        <m:r>
          <m:rPr>
            <m:sty m:val="p"/>
          </m:rPr>
          <w:rPr>
            <w:rFonts w:ascii="Cambria Math" w:hAnsi="Cambria Math"/>
            <w:position w:val="-10"/>
          </w:rPr>
          <w:object>
            <v:shape id="_x0000_i1035" o:spt="75" type="#_x0000_t75" style="height:15pt;width:21pt;" o:ole="t" filled="f" o:preferrelative="t" stroked="f" coordsize="21600,21600">
              <v:path/>
              <v:fill on="f" focussize="0,0"/>
              <v:stroke on="f" joinstyle="miter"/>
              <v:imagedata r:id="rId50" o:title=""/>
              <o:lock v:ext="edit" aspectratio="t"/>
              <w10:wrap type="none"/>
              <w10:anchorlock/>
            </v:shape>
            <o:OLEObject Type="Embed" ProgID="Equation.3" ShapeID="_x0000_i1035" DrawAspect="Content" ObjectID="_1468075735" r:id="rId49">
              <o:LockedField>false</o:LockedField>
            </o:OLEObject>
          </w:objec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253"/>
        <w:ind w:firstLine="416"/>
        <w:rPr>
          <w:rFonts w:eastAsia="Times New Roman"/>
          <w:szCs w:val="21"/>
        </w:rPr>
      </w:pPr>
      <w:r>
        <w:rPr>
          <w:rFonts w:ascii="FPVBSG+SimSun-Identity-H" w:eastAsia="Times New Roman"/>
          <w:spacing w:val="-1"/>
          <w:szCs w:val="21"/>
        </w:rPr>
        <w:t>V</w:t>
      </w:r>
      <w:r>
        <w:rPr>
          <w:rFonts w:ascii="FPVBSG+SimSun-Identity-H" w:eastAsia="Times New Roman"/>
          <w:szCs w:val="21"/>
          <w:vertAlign w:val="subscript"/>
        </w:rPr>
        <w:t>max</w:t>
      </w:r>
      <w:r>
        <w:rPr>
          <w:rFonts w:ascii="FPVBSG+SimSun-Identity-H" w:hAnsi="FPVBSG+SimSun-Identity-H" w:eastAsia="Times New Roman"/>
          <w:szCs w:val="21"/>
        </w:rPr>
        <w:t>——</w:t>
      </w:r>
      <w:r>
        <w:rPr>
          <w:rFonts w:hint="eastAsia"/>
          <w:szCs w:val="21"/>
        </w:rPr>
        <w:t>计算截面沿腹板平面作用的最大剪力设计值</w:t>
      </w:r>
      <w:r>
        <w:rPr>
          <w:rFonts w:hint="eastAsia"/>
        </w:rPr>
        <w:t>（N）</w:t>
      </w:r>
      <w:r>
        <w:rPr>
          <w:rFonts w:hint="eastAsia"/>
          <w:szCs w:val="21"/>
        </w:rPr>
        <w:t>；</w:t>
      </w:r>
    </w:p>
    <w:p>
      <w:pPr>
        <w:pStyle w:val="253"/>
        <w:rPr>
          <w:rFonts w:eastAsia="Times New Roman"/>
          <w:szCs w:val="21"/>
        </w:rPr>
      </w:pPr>
      <w:r>
        <w:rPr>
          <w:rFonts w:ascii="FPVBSG+SimSun-Identity-H" w:hAnsi="FPVBSG+SimSun-Identity-H" w:eastAsia="Times New Roman"/>
          <w:szCs w:val="21"/>
        </w:rPr>
        <w:t>S——</w:t>
      </w:r>
      <w:r>
        <w:rPr>
          <w:rFonts w:hint="eastAsia"/>
          <w:szCs w:val="21"/>
        </w:rPr>
        <w:t>计算剪应力处以上毛截面对中和轴的面积矩</w:t>
      </w:r>
      <w:r>
        <w:rPr>
          <w:rFonts w:hint="eastAsia"/>
        </w:rPr>
        <w:t>（</w:t>
      </w:r>
      <w:r>
        <w:t>mm</w:t>
      </w:r>
      <w:r>
        <w:rPr>
          <w:vertAlign w:val="superscript"/>
        </w:rPr>
        <w:t>3</w:t>
      </w:r>
      <w:r>
        <w:rPr>
          <w:rFonts w:hint="eastAsia"/>
        </w:rPr>
        <w:t>）</w:t>
      </w:r>
      <w:r>
        <w:rPr>
          <w:rFonts w:hint="eastAsia"/>
          <w:szCs w:val="21"/>
        </w:rPr>
        <w:t>；</w:t>
      </w:r>
    </w:p>
    <w:p>
      <w:pPr>
        <w:pStyle w:val="253"/>
        <w:rPr>
          <w:rFonts w:eastAsia="Times New Roman"/>
          <w:szCs w:val="21"/>
        </w:rPr>
      </w:pPr>
      <w:r>
        <w:rPr>
          <w:rFonts w:ascii="FPVBSG+SimSun-Identity-H" w:hAnsi="FPVBSG+SimSun-Identity-H" w:eastAsia="Times New Roman"/>
          <w:szCs w:val="21"/>
        </w:rPr>
        <w:t>I——</w:t>
      </w:r>
      <w:r>
        <w:rPr>
          <w:rFonts w:hint="eastAsia"/>
          <w:szCs w:val="21"/>
        </w:rPr>
        <w:t>型钢毛截面惯性矩</w:t>
      </w:r>
      <w:r>
        <w:rPr>
          <w:rFonts w:hint="eastAsia"/>
        </w:rPr>
        <w:t>（</w:t>
      </w:r>
      <w:r>
        <w:t>mm</w:t>
      </w:r>
      <w:r>
        <w:rPr>
          <w:vertAlign w:val="superscript"/>
        </w:rPr>
        <w:t>4</w:t>
      </w:r>
      <w:r>
        <w:rPr>
          <w:rFonts w:hint="eastAsia"/>
        </w:rPr>
        <w:t>）</w:t>
      </w:r>
      <w:r>
        <w:rPr>
          <w:rFonts w:hint="eastAsia"/>
          <w:szCs w:val="21"/>
        </w:rPr>
        <w:t>；</w:t>
      </w:r>
    </w:p>
    <w:p>
      <w:pPr>
        <w:pStyle w:val="253"/>
        <w:rPr>
          <w:rFonts w:eastAsia="Times New Roman"/>
        </w:rPr>
      </w:pPr>
      <w:r>
        <w:rPr>
          <w:rFonts w:ascii="FPVBSG+SimSun-Identity-H" w:eastAsia="Times New Roman"/>
        </w:rPr>
        <w:t>t</w:t>
      </w:r>
      <w:r>
        <w:rPr>
          <w:rFonts w:ascii="FPVBSG+SimSun-Identity-H" w:eastAsia="Times New Roman"/>
          <w:spacing w:val="2"/>
          <w:vertAlign w:val="subscript"/>
        </w:rPr>
        <w:t>w</w:t>
      </w:r>
      <w:r>
        <w:rPr>
          <w:rFonts w:ascii="FPVBSG+SimSun-Identity-H" w:hAnsi="FPVBSG+SimSun-Identity-H" w:eastAsia="Times New Roman"/>
        </w:rPr>
        <w:t>——</w:t>
      </w:r>
      <w:r>
        <w:rPr>
          <w:rFonts w:hint="eastAsia" w:hAnsi="宋体"/>
        </w:rPr>
        <w:t>型钢腹板厚度</w:t>
      </w:r>
      <w:r>
        <w:rPr>
          <w:rFonts w:hint="eastAsia"/>
        </w:rPr>
        <w:t>（</w:t>
      </w:r>
      <w:r>
        <w:t>mm</w:t>
      </w:r>
      <w:r>
        <w:rPr>
          <w:rFonts w:hint="eastAsia"/>
        </w:rPr>
        <w:t>）</w:t>
      </w:r>
      <w:r>
        <w:rPr>
          <w:rFonts w:hint="eastAsia" w:hAnsi="宋体"/>
        </w:rPr>
        <w:t>；</w:t>
      </w:r>
    </w:p>
    <w:p>
      <w:pPr>
        <w:pStyle w:val="253"/>
        <w:spacing w:line="320" w:lineRule="exact"/>
        <w:rPr>
          <w:rFonts w:eastAsia="Times New Roman"/>
        </w:rPr>
      </w:pPr>
      <w:r>
        <w:rPr>
          <w:position w:val="-12"/>
        </w:rPr>
        <w:object>
          <v:shape id="_x0000_i1036" o:spt="75" type="#_x0000_t75" style="height:18.75pt;width:13.5pt;" o:ole="t" filled="f" o:preferrelative="t" stroked="f" coordsize="21600,21600">
            <v:path/>
            <v:fill on="f" focussize="0,0"/>
            <v:stroke on="f" joinstyle="miter"/>
            <v:imagedata r:id="rId52" o:title=""/>
            <o:lock v:ext="edit" aspectratio="t"/>
            <w10:wrap type="none"/>
            <w10:anchorlock/>
          </v:shape>
          <o:OLEObject Type="Embed" ProgID="Equation.3" ShapeID="_x0000_i1036" DrawAspect="Content" ObjectID="_1468075736" r:id="rId51">
            <o:LockedField>false</o:LockedField>
          </o:OLEObject>
        </w:object>
      </w:r>
      <w:r>
        <w:rPr>
          <w:rFonts w:ascii="FPVBSG+SimSun-Identity-H" w:hAnsi="FPVBSG+SimSun-Identity-H" w:eastAsia="Times New Roman"/>
          <w:spacing w:val="1"/>
        </w:rPr>
        <w:t>——</w:t>
      </w:r>
      <w:r>
        <w:rPr>
          <w:rFonts w:hint="eastAsia" w:hAnsi="宋体"/>
          <w:spacing w:val="1"/>
        </w:rPr>
        <w:t>钢材的抗剪强度设计值</w:t>
      </w:r>
      <w:r>
        <w:rPr>
          <w:rFonts w:hint="eastAsia"/>
        </w:rPr>
        <w:t>（N/</w:t>
      </w:r>
      <w:r>
        <w:t>mm</w:t>
      </w:r>
      <w:r>
        <w:rPr>
          <w:vertAlign w:val="superscript"/>
        </w:rPr>
        <w:t>2</w:t>
      </w:r>
      <w:r>
        <w:rPr>
          <w:rFonts w:hint="eastAsia"/>
        </w:rPr>
        <w:t>）</w:t>
      </w:r>
      <w:r>
        <w:rPr>
          <w:rFonts w:hint="eastAsia" w:hAnsi="宋体"/>
          <w:spacing w:val="1"/>
        </w:rPr>
        <w:t>。</w:t>
      </w:r>
    </w:p>
    <w:p>
      <w:pPr>
        <w:pStyle w:val="79"/>
        <w:ind w:firstLine="420"/>
      </w:pPr>
      <w:r>
        <w:rPr>
          <w:rFonts w:hint="eastAsia"/>
        </w:rPr>
        <w:t>c）当钢梁同时承受较大的正应力和剪应力时应按公式（5）、公式（6）进行组合应力验算。</w:t>
      </w:r>
    </w:p>
    <w:p>
      <w:pPr>
        <w:pStyle w:val="136"/>
      </w:pPr>
      <w:r>
        <w:tab/>
      </w:r>
      <m:oMath>
        <m:r>
          <m:rPr>
            <m:sty m:val="p"/>
          </m:rPr>
          <w:rPr>
            <w:rFonts w:ascii="Cambria Math" w:hAnsi="Cambria Math"/>
            <w:position w:val="-10"/>
          </w:rPr>
          <w:object>
            <v:shape id="_x0000_i1037" o:spt="75" type="#_x0000_t75" style="height:21pt;width:84pt;" o:ole="t" filled="f" o:preferrelative="t" stroked="f" coordsize="21600,21600">
              <v:path/>
              <v:fill on="f" focussize="0,0"/>
              <v:stroke on="f" joinstyle="miter"/>
              <v:imagedata r:id="rId54" o:title=""/>
              <o:lock v:ext="edit" aspectratio="t"/>
              <w10:wrap type="none"/>
              <w10:anchorlock/>
            </v:shape>
            <o:OLEObject Type="Embed" ProgID="Equation.3" ShapeID="_x0000_i1037" DrawAspect="Content" ObjectID="_1468075737" r:id="rId53">
              <o:LockedField>false</o:LockedField>
            </o:OLEObject>
          </w:object>
        </m:r>
      </m:oMath>
      <w:r>
        <w:rPr>
          <w:rFonts w:ascii="微软雅黑" w:hAnsi="微软雅黑" w:eastAsia="微软雅黑"/>
        </w:rPr>
        <w:tab/>
      </w:r>
      <w:r>
        <w:t>(</w:t>
      </w:r>
      <w:r>
        <w:fldChar w:fldCharType="begin"/>
      </w:r>
      <w:r>
        <w:instrText xml:space="preserve"> AUTONUM </w:instrText>
      </w:r>
      <w:r>
        <w:fldChar w:fldCharType="end"/>
      </w:r>
      <w:r>
        <w:t>)</w:t>
      </w:r>
    </w:p>
    <w:p>
      <w:pPr>
        <w:pStyle w:val="136"/>
      </w:pPr>
      <w:r>
        <w:tab/>
      </w:r>
      <m:oMath>
        <m:r>
          <m:rPr>
            <m:sty m:val="p"/>
          </m:rPr>
          <w:rPr>
            <w:rFonts w:ascii="Cambria Math" w:hAnsi="Cambria Math"/>
          </w:rPr>
          <m:t>σ=</m:t>
        </m:r>
        <m:f>
          <m:fPr>
            <m:ctrlPr>
              <w:rPr>
                <w:rFonts w:ascii="Cambria Math" w:hAnsi="Cambria Math"/>
              </w:rPr>
            </m:ctrlPr>
          </m:fPr>
          <m:num>
            <m:r>
              <m:rPr/>
              <w:rPr>
                <w:rFonts w:ascii="Cambria Math" w:hAnsi="Cambria Math"/>
              </w:rPr>
              <m:t>M</m:t>
            </m:r>
            <m:ctrlPr>
              <w:rPr>
                <w:rFonts w:ascii="Cambria Math" w:hAnsi="Cambria Math"/>
              </w:rPr>
            </m:ctrlPr>
          </m:num>
          <m:den>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n</m:t>
                </m:r>
                <m:ctrlPr>
                  <w:rPr>
                    <w:rFonts w:ascii="Cambria Math" w:hAnsi="Cambria Math"/>
                    <w:i/>
                  </w:rPr>
                </m:ctrlPr>
              </m:sub>
            </m:sSub>
            <m:ctrlPr>
              <w:rPr>
                <w:rFonts w:ascii="Cambria Math" w:hAnsi="Cambria Math"/>
              </w:rPr>
            </m:ctrlPr>
          </m:den>
        </m:f>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1</m:t>
            </m:r>
            <m:ctrlPr>
              <w:rPr>
                <w:rFonts w:ascii="Cambria Math" w:hAnsi="Cambria Math"/>
                <w:i/>
              </w:rPr>
            </m:ctrlPr>
          </m:sub>
        </m:sSub>
      </m:oMath>
      <w:r>
        <w:rPr>
          <w:rFonts w:ascii="微软雅黑" w:hAnsi="微软雅黑" w:eastAsia="微软雅黑"/>
        </w:rPr>
        <w:tab/>
      </w:r>
      <w:r>
        <w:t>(</w:t>
      </w:r>
      <w:r>
        <w:fldChar w:fldCharType="begin"/>
      </w:r>
      <w:r>
        <w:instrText xml:space="preserve"> AUTONUM </w:instrText>
      </w:r>
      <w:r>
        <w:fldChar w:fldCharType="end"/>
      </w:r>
      <w:r>
        <w:t>)</w:t>
      </w:r>
    </w:p>
    <w:p>
      <w:pPr>
        <w:pStyle w:val="253"/>
      </w:pPr>
      <w:r>
        <w:rPr>
          <w:rFonts w:hint="eastAsia"/>
        </w:rPr>
        <w:t>式中：</w:t>
      </w:r>
    </w:p>
    <w:p>
      <w:pPr>
        <w:pStyle w:val="253"/>
        <w:rPr>
          <w:rFonts w:eastAsia="Times New Roman"/>
        </w:rPr>
      </w:pPr>
      <w:r>
        <w:rPr>
          <w:rFonts w:ascii="TNFRJM+SimSun-Identity-H" w:hAnsi="TNFRJM+SimSun-Identity-H" w:eastAsia="Times New Roman"/>
        </w:rPr>
        <w:t>σ</w:t>
      </w:r>
      <w:r>
        <w:rPr>
          <w:rFonts w:hint="eastAsia"/>
        </w:rPr>
        <w:t>、</w:t>
      </w:r>
      <w:r>
        <w:rPr>
          <w:rFonts w:ascii="TNFRJM+SimSun-Identity-H" w:hAnsi="TNFRJM+SimSun-Identity-H" w:eastAsia="Times New Roman"/>
        </w:rPr>
        <w:t>τ——</w:t>
      </w:r>
      <w:r>
        <w:rPr>
          <w:rFonts w:hint="eastAsia"/>
        </w:rPr>
        <w:t>腹板计算高度边缘同一点上同时产生的正应力、剪应力（N/</w:t>
      </w:r>
      <w:r>
        <w:t>mm</w:t>
      </w:r>
      <w:r>
        <w:rPr>
          <w:vertAlign w:val="superscript"/>
        </w:rPr>
        <w:t>2</w:t>
      </w:r>
      <w:r>
        <w:rPr>
          <w:rFonts w:hint="eastAsia"/>
        </w:rPr>
        <w:t>），</w:t>
      </w:r>
      <w:r>
        <w:rPr>
          <w:rFonts w:ascii="TNFRJM+SimSun-Identity-H" w:hAnsi="TNFRJM+SimSun-Identity-H" w:eastAsia="Times New Roman"/>
        </w:rPr>
        <w:t>τ</w:t>
      </w:r>
      <w:r>
        <w:rPr>
          <w:rFonts w:hint="eastAsia"/>
        </w:rPr>
        <w:t>按公式（4）计算；</w:t>
      </w:r>
    </w:p>
    <w:p>
      <w:pPr>
        <w:pStyle w:val="253"/>
      </w:pPr>
      <w:r>
        <w:rPr>
          <w:rFonts w:ascii="TNFRJM+SimSun-Identity-H" w:hAnsi="TNFRJM+SimSun-Identity-H" w:eastAsia="Times New Roman"/>
        </w:rPr>
        <w:t>β</w:t>
      </w:r>
      <w:r>
        <w:rPr>
          <w:rFonts w:hint="eastAsia" w:hAnsi="宋体"/>
          <w:vertAlign w:val="subscript"/>
        </w:rPr>
        <w:t>1</w:t>
      </w:r>
      <w:r>
        <w:rPr>
          <w:rFonts w:ascii="TNFRJM+SimSun-Identity-H" w:hAnsi="TNFRJM+SimSun-Identity-H" w:eastAsia="Times New Roman"/>
        </w:rPr>
        <w:t>——</w:t>
      </w:r>
      <w:r>
        <w:rPr>
          <w:rFonts w:hint="eastAsia"/>
        </w:rPr>
        <w:t>计算折算应力的强度设计增大系数，</w:t>
      </w:r>
      <w:r>
        <w:rPr>
          <w:rFonts w:ascii="TNFRJM+SimSun-Identity-H" w:hAnsi="TNFRJM+SimSun-Identity-H" w:eastAsia="Times New Roman"/>
        </w:rPr>
        <w:t>β</w:t>
      </w:r>
      <w:r>
        <w:rPr>
          <w:rFonts w:hint="eastAsia"/>
        </w:rPr>
        <w:t>＝</w:t>
      </w:r>
      <w:r>
        <w:rPr>
          <w:rFonts w:ascii="TNFRJM+SimSun-Identity-H" w:hAnsi="TNFRJM+SimSun-Identity-H" w:eastAsia="Times New Roman"/>
        </w:rPr>
        <w:t>1.1</w:t>
      </w:r>
      <w:r>
        <w:rPr>
          <w:rFonts w:hint="eastAsia" w:hAnsi="宋体"/>
        </w:rPr>
        <w:t>；</w:t>
      </w:r>
    </w:p>
    <w:p>
      <w:pPr>
        <w:pStyle w:val="253"/>
        <w:ind w:firstLine="428"/>
        <w:rPr>
          <w:rFonts w:eastAsia="Times New Roman"/>
        </w:rPr>
      </w:pPr>
      <w:r>
        <w:rPr>
          <w:rFonts w:ascii="TNFRJM+SimSun-Identity-H" w:eastAsia="Times New Roman"/>
          <w:spacing w:val="2"/>
        </w:rPr>
        <w:t>I</w:t>
      </w:r>
      <w:r>
        <w:rPr>
          <w:rFonts w:ascii="TNFRJM+SimSun-Identity-H" w:eastAsia="Times New Roman"/>
          <w:vertAlign w:val="subscript"/>
        </w:rPr>
        <w:t>n</w:t>
      </w:r>
      <w:r>
        <w:rPr>
          <w:rFonts w:ascii="TNFRJM+SimSun-Identity-H" w:hAnsi="TNFRJM+SimSun-Identity-H" w:eastAsia="Times New Roman"/>
        </w:rPr>
        <w:t>——</w:t>
      </w:r>
      <w:r>
        <w:rPr>
          <w:rFonts w:hint="eastAsia"/>
        </w:rPr>
        <w:t>净截面惯性矩（</w:t>
      </w:r>
      <w:r>
        <w:t>mm</w:t>
      </w:r>
      <w:r>
        <w:rPr>
          <w:vertAlign w:val="superscript"/>
        </w:rPr>
        <w:t>4</w:t>
      </w:r>
      <w:r>
        <w:rPr>
          <w:rFonts w:hint="eastAsia"/>
        </w:rPr>
        <w:t>）；</w:t>
      </w:r>
    </w:p>
    <w:p>
      <w:pPr>
        <w:pStyle w:val="79"/>
        <w:ind w:firstLine="428"/>
      </w:pPr>
      <w:r>
        <w:rPr>
          <w:rFonts w:ascii="TNFRJM+SimSun-Identity-H"/>
          <w:spacing w:val="2"/>
        </w:rPr>
        <w:t>y</w:t>
      </w:r>
      <w:r>
        <w:rPr>
          <w:rFonts w:ascii="TNFRJM+SimSun-Identity-H"/>
          <w:vertAlign w:val="subscript"/>
        </w:rPr>
        <w:t>1</w:t>
      </w:r>
      <w:r>
        <w:rPr>
          <w:rFonts w:ascii="TNFRJM+SimSun-Identity-H" w:hAnsi="TNFRJM+SimSun-Identity-H"/>
        </w:rPr>
        <w:t>——</w:t>
      </w:r>
      <w:r>
        <w:rPr>
          <w:rFonts w:hint="eastAsia"/>
        </w:rPr>
        <w:t>计算点至型钢中和轴的距离（</w:t>
      </w:r>
      <w:r>
        <w:t>mm</w:t>
      </w:r>
      <w:r>
        <w:rPr>
          <w:rFonts w:hint="eastAsia"/>
        </w:rPr>
        <w:t>）。</w:t>
      </w:r>
    </w:p>
    <w:p>
      <w:pPr>
        <w:pStyle w:val="188"/>
        <w:ind w:left="0"/>
      </w:pPr>
      <w:r>
        <w:rPr>
          <w:rFonts w:hint="eastAsia"/>
        </w:rPr>
        <w:t>在主平面内受弯的实腹构件，其</w:t>
      </w:r>
      <w:r>
        <w:t>整体稳定性应按</w:t>
      </w:r>
      <w:r>
        <w:rPr>
          <w:rFonts w:hint="eastAsia"/>
        </w:rPr>
        <w:t>公式（</w:t>
      </w:r>
      <w:r>
        <w:t>7</w:t>
      </w:r>
      <w:r>
        <w:rPr>
          <w:rFonts w:hint="eastAsia"/>
        </w:rPr>
        <w:t>）</w:t>
      </w:r>
      <w:r>
        <w:t>计算：</w:t>
      </w:r>
    </w:p>
    <w:p>
      <w:pPr>
        <w:pStyle w:val="136"/>
      </w:pPr>
      <w:r>
        <w:tab/>
      </w:r>
      <m:oMath>
        <m:f>
          <m:fPr>
            <m:ctrlPr>
              <w:rPr>
                <w:rFonts w:ascii="Cambria Math" w:hAnsi="Cambria Math"/>
              </w:rPr>
            </m:ctrlPr>
          </m:fPr>
          <m:num>
            <m:r>
              <m:rPr/>
              <w:rPr>
                <w:rFonts w:ascii="Cambria Math" w:hAnsi="Cambria Math"/>
              </w:rPr>
              <m:t>M</m:t>
            </m:r>
            <m:ctrlPr>
              <w:rPr>
                <w:rFonts w:ascii="Cambria Math" w:hAnsi="Cambria Math"/>
              </w:rPr>
            </m:ctrlPr>
          </m:num>
          <m:den>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b</m:t>
                </m:r>
                <m:ctrlPr>
                  <w:rPr>
                    <w:rFonts w:ascii="Cambria Math" w:hAnsi="Cambria Math"/>
                    <w:i/>
                  </w:rPr>
                </m:ctrlPr>
              </m:sub>
            </m:sSub>
            <m:sSub>
              <m:sSubPr>
                <m:ctrlPr>
                  <w:rPr>
                    <w:rFonts w:ascii="Cambria Math" w:hAnsi="Cambria Math"/>
                    <w:i/>
                  </w:rPr>
                </m:ctrlPr>
              </m:sSubPr>
              <m:e>
                <m:r>
                  <m:rPr/>
                  <w:rPr>
                    <w:rFonts w:ascii="Cambria Math" w:hAnsi="Cambria Math"/>
                  </w:rPr>
                  <m:t>W</m:t>
                </m:r>
                <m:ctrlPr>
                  <w:rPr>
                    <w:rFonts w:ascii="Cambria Math" w:hAnsi="Cambria Math"/>
                    <w:i/>
                  </w:rPr>
                </m:ctrlPr>
              </m:e>
              <m:sub>
                <m:r>
                  <m:rPr/>
                  <w:rPr>
                    <w:rFonts w:ascii="Cambria Math" w:hAnsi="Cambria Math"/>
                  </w:rPr>
                  <m:t>x</m:t>
                </m:r>
                <m:ctrlPr>
                  <w:rPr>
                    <w:rFonts w:ascii="Cambria Math" w:hAnsi="Cambria Math"/>
                    <w:i/>
                  </w:rPr>
                </m:ctrlPr>
              </m:sub>
            </m:sSub>
            <m:r>
              <m:rPr/>
              <w:rPr>
                <w:rFonts w:ascii="Cambria Math" w:hAnsi="Cambria Math"/>
              </w:rPr>
              <m:t>f</m:t>
            </m:r>
            <m:ctrlPr>
              <w:rPr>
                <w:rFonts w:ascii="Cambria Math" w:hAnsi="Cambria Math"/>
              </w:rPr>
            </m:ctrlPr>
          </m:den>
        </m:f>
        <m:r>
          <m:rPr/>
          <w:rPr>
            <w:rFonts w:ascii="Cambria Math" w:hAnsi="Cambria Math"/>
          </w:rPr>
          <m:t>≤1.0</m: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rPr>
          <w:rFonts w:hAnsi="宋体"/>
        </w:rPr>
      </w:pPr>
      <w:r>
        <w:rPr>
          <w:rFonts w:hint="eastAsia"/>
        </w:rPr>
        <w:t>式中：</w:t>
      </w:r>
    </w:p>
    <w:p>
      <w:pPr>
        <w:pStyle w:val="79"/>
        <w:spacing w:line="320" w:lineRule="exact"/>
        <w:ind w:firstLine="420"/>
        <w:rPr>
          <w:rFonts w:hAnsi="宋体"/>
        </w:rPr>
      </w:pPr>
      <w:r>
        <w:rPr>
          <w:position w:val="-10"/>
        </w:rPr>
        <w:object>
          <v:shape id="_x0000_i1038" o:spt="75" type="#_x0000_t75" style="height:18.75pt;width:13.5pt;" o:ole="t" filled="f" o:preferrelative="t" stroked="f" coordsize="21600,21600">
            <v:path/>
            <v:fill on="f" focussize="0,0"/>
            <v:stroke on="f" joinstyle="miter"/>
            <v:imagedata r:id="rId56" o:title=""/>
            <o:lock v:ext="edit" aspectratio="t"/>
            <w10:wrap type="none"/>
            <w10:anchorlock/>
          </v:shape>
          <o:OLEObject Type="Embed" ProgID="Equation.3" ShapeID="_x0000_i1038" DrawAspect="Content" ObjectID="_1468075738" r:id="rId55">
            <o:LockedField>false</o:LockedField>
          </o:OLEObject>
        </w:object>
      </w:r>
      <w:r>
        <w:rPr>
          <w:rFonts w:ascii="TNFRJM+SimSun-Identity-H" w:hAnsi="TNFRJM+SimSun-Identity-H" w:eastAsia="Times New Roman"/>
        </w:rPr>
        <w:t>——</w:t>
      </w:r>
      <w:r>
        <w:rPr>
          <w:rFonts w:hint="eastAsia"/>
        </w:rPr>
        <w:t>梁的</w:t>
      </w:r>
      <w:r>
        <w:t>整体稳定性系数，应按</w:t>
      </w:r>
      <w:r>
        <w:rPr>
          <w:rFonts w:hint="eastAsia"/>
        </w:rPr>
        <w:t>《钢结构</w:t>
      </w:r>
      <w:r>
        <w:t>设计标准</w:t>
      </w:r>
      <w:r>
        <w:rPr>
          <w:rFonts w:hint="eastAsia"/>
        </w:rPr>
        <w:t>》GB50017附录C确定</w:t>
      </w:r>
      <w:r>
        <w:rPr>
          <w:rFonts w:hint="eastAsia" w:hAnsi="宋体"/>
        </w:rPr>
        <w:t>；</w:t>
      </w:r>
    </w:p>
    <w:p>
      <w:pPr>
        <w:pStyle w:val="79"/>
        <w:spacing w:line="320" w:lineRule="exact"/>
        <w:ind w:firstLine="420"/>
      </w:pPr>
      <w:r>
        <w:rPr>
          <w:position w:val="-10"/>
        </w:rPr>
        <w:object>
          <v:shape id="_x0000_i1039" o:spt="75" type="#_x0000_t75" style="height:18.75pt;width:13.5pt;" o:ole="t" filled="f" o:preferrelative="t" stroked="f" coordsize="21600,21600">
            <v:path/>
            <v:fill on="f" focussize="0,0"/>
            <v:stroke on="f" joinstyle="miter"/>
            <v:imagedata r:id="rId58" o:title=""/>
            <o:lock v:ext="edit" aspectratio="t"/>
            <w10:wrap type="none"/>
            <w10:anchorlock/>
          </v:shape>
          <o:OLEObject Type="Embed" ProgID="Equation.3" ShapeID="_x0000_i1039" DrawAspect="Content" ObjectID="_1468075739" r:id="rId57">
            <o:LockedField>false</o:LockedField>
          </o:OLEObject>
        </w:object>
      </w:r>
      <w:r>
        <w:rPr>
          <w:rFonts w:ascii="FPVBSG+SimSun-Identity-H" w:hAnsi="FPVBSG+SimSun-Identity-H" w:eastAsia="Times New Roman"/>
        </w:rPr>
        <w:t>——</w:t>
      </w:r>
      <w:r>
        <w:rPr>
          <w:rFonts w:hint="eastAsia"/>
        </w:rPr>
        <w:t>按受压</w:t>
      </w:r>
      <w:r>
        <w:t>最大纤维确定的毛截面模量</w:t>
      </w:r>
      <w:r>
        <w:rPr>
          <w:rFonts w:hint="eastAsia"/>
        </w:rPr>
        <w:t>（</w:t>
      </w:r>
      <w:r>
        <w:t>mm</w:t>
      </w:r>
      <w:r>
        <w:rPr>
          <w:vertAlign w:val="superscript"/>
        </w:rPr>
        <w:t>3</w:t>
      </w:r>
      <w:r>
        <w:rPr>
          <w:rFonts w:hint="eastAsia"/>
        </w:rPr>
        <w:t>）；</w:t>
      </w:r>
    </w:p>
    <w:p>
      <w:pPr>
        <w:pStyle w:val="188"/>
        <w:ind w:left="0"/>
      </w:pPr>
      <w:r>
        <w:rPr>
          <w:rFonts w:hint="eastAsia"/>
        </w:rPr>
        <w:t>悬挑梁轴心受力构件强度可按公式（</w:t>
      </w:r>
      <w:r>
        <w:t>8</w:t>
      </w:r>
      <w:r>
        <w:rPr>
          <w:rFonts w:hint="eastAsia"/>
        </w:rPr>
        <w:t>）计算：</w:t>
      </w:r>
    </w:p>
    <w:p>
      <w:pPr>
        <w:pStyle w:val="136"/>
      </w:pPr>
      <w:r>
        <w:tab/>
      </w:r>
      <m:oMath>
        <m:r>
          <m:rPr>
            <m:sty m:val="p"/>
          </m:rPr>
          <w:rPr>
            <w:rFonts w:ascii="Cambria Math" w:hAnsi="Cambria Math"/>
          </w:rPr>
          <m:t>σ=</m:t>
        </m:r>
        <m:f>
          <m:fPr>
            <m:ctrlPr>
              <w:rPr>
                <w:rFonts w:ascii="Cambria Math" w:hAnsi="Cambria Math"/>
              </w:rPr>
            </m:ctrlPr>
          </m:fPr>
          <m:num>
            <m:r>
              <m:rPr/>
              <w:rPr>
                <w:rFonts w:ascii="Cambria Math" w:hAnsi="Cambria Math"/>
              </w:rPr>
              <m:t>N</m:t>
            </m:r>
            <m:ctrlPr>
              <w:rPr>
                <w:rFonts w:ascii="Cambria Math" w:hAnsi="Cambria Math"/>
              </w:rPr>
            </m:ctrlPr>
          </m:num>
          <m:den>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n</m:t>
                </m:r>
                <m:ctrlPr>
                  <w:rPr>
                    <w:rFonts w:ascii="Cambria Math" w:hAnsi="Cambria Math"/>
                    <w:i/>
                  </w:rPr>
                </m:ctrlPr>
              </m:sub>
            </m:sSub>
            <m:ctrlPr>
              <w:rPr>
                <w:rFonts w:ascii="Cambria Math" w:hAnsi="Cambria Math"/>
              </w:rPr>
            </m:ctrlPr>
          </m:den>
        </m:f>
        <m:r>
          <m:rPr/>
          <w:rPr>
            <w:rFonts w:ascii="Cambria Math" w:hAnsi="Cambria Math"/>
          </w:rPr>
          <m:t>≤f</m: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253"/>
        <w:rPr>
          <w:rFonts w:eastAsia="Times New Roman"/>
        </w:rPr>
      </w:pPr>
      <w:r>
        <w:rPr>
          <w:rFonts w:ascii="TNFRJM+SimSun-Identity-H" w:hAnsi="TNFRJM+SimSun-Identity-H" w:eastAsia="Times New Roman"/>
        </w:rPr>
        <w:t>N——</w:t>
      </w:r>
      <w:r>
        <w:rPr>
          <w:rFonts w:hint="eastAsia"/>
        </w:rPr>
        <w:t>计算截面轴力设计值；</w:t>
      </w:r>
    </w:p>
    <w:p>
      <w:pPr>
        <w:pStyle w:val="253"/>
        <w:ind w:firstLine="428"/>
        <w:rPr>
          <w:rFonts w:eastAsia="Times New Roman"/>
        </w:rPr>
      </w:pPr>
      <w:r>
        <w:rPr>
          <w:rFonts w:ascii="TNFRJM+SimSun-Identity-H" w:eastAsia="Times New Roman"/>
          <w:spacing w:val="2"/>
        </w:rPr>
        <w:t>A</w:t>
      </w:r>
      <w:r>
        <w:rPr>
          <w:rFonts w:ascii="TNFRJM+SimSun-Identity-H" w:eastAsia="Times New Roman"/>
          <w:vertAlign w:val="subscript"/>
        </w:rPr>
        <w:t>n</w:t>
      </w:r>
      <w:r>
        <w:rPr>
          <w:rFonts w:ascii="TNFRJM+SimSun-Identity-H" w:hAnsi="TNFRJM+SimSun-Identity-H" w:eastAsia="Times New Roman"/>
        </w:rPr>
        <w:t>——</w:t>
      </w:r>
      <w:r>
        <w:rPr>
          <w:rFonts w:hint="eastAsia"/>
        </w:rPr>
        <w:t>有效净截面面积。</w:t>
      </w:r>
    </w:p>
    <w:p>
      <w:pPr>
        <w:pStyle w:val="188"/>
        <w:ind w:left="0"/>
      </w:pPr>
      <w:r>
        <w:rPr>
          <w:rFonts w:hint="eastAsia"/>
        </w:rPr>
        <w:t>悬挑梁轴心受压构件的稳定性应按公式（</w:t>
      </w:r>
      <w:r>
        <w:t>9</w:t>
      </w:r>
      <w:r>
        <w:rPr>
          <w:rFonts w:hint="eastAsia"/>
        </w:rPr>
        <w:t>）计算：</w:t>
      </w:r>
    </w:p>
    <w:p>
      <w:pPr>
        <w:pStyle w:val="136"/>
      </w:pPr>
      <w:r>
        <w:tab/>
      </w:r>
      <m:oMath>
        <m:r>
          <m:rPr>
            <m:sty m:val="p"/>
          </m:rPr>
          <w:rPr>
            <w:rFonts w:ascii="Cambria Math" w:hAnsi="Cambria Math"/>
          </w:rPr>
          <m:t>Σ=</m:t>
        </m:r>
        <m:f>
          <m:fPr>
            <m:ctrlPr>
              <w:rPr>
                <w:rFonts w:ascii="Cambria Math" w:hAnsi="Cambria Math"/>
              </w:rPr>
            </m:ctrlPr>
          </m:fPr>
          <m:num>
            <m:r>
              <m:rPr/>
              <w:rPr>
                <w:rFonts w:ascii="Cambria Math" w:hAnsi="Cambria Math"/>
              </w:rPr>
              <m:t>N</m:t>
            </m:r>
            <m:ctrlPr>
              <w:rPr>
                <w:rFonts w:ascii="Cambria Math" w:hAnsi="Cambria Math"/>
              </w:rPr>
            </m:ctrlPr>
          </m:num>
          <m:den>
            <m:r>
              <m:rPr/>
              <w:rPr>
                <w:rFonts w:ascii="Cambria Math" w:hAnsi="Cambria Math"/>
              </w:rPr>
              <m:t>φ</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n</m:t>
                </m:r>
                <m:ctrlPr>
                  <w:rPr>
                    <w:rFonts w:ascii="Cambria Math" w:hAnsi="Cambria Math"/>
                    <w:i/>
                  </w:rPr>
                </m:ctrlPr>
              </m:sub>
            </m:sSub>
            <m:ctrlPr>
              <w:rPr>
                <w:rFonts w:ascii="Cambria Math" w:hAnsi="Cambria Math"/>
              </w:rPr>
            </m:ctrlPr>
          </m:den>
        </m:f>
        <m:r>
          <m:rPr/>
          <w:rPr>
            <w:rFonts w:ascii="Cambria Math" w:hAnsi="Cambria Math"/>
          </w:rPr>
          <m:t>≤f</m: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79"/>
        <w:ind w:firstLine="420"/>
      </w:pPr>
      <w:r>
        <w:rPr>
          <w:rFonts w:ascii="TNFRJM+SimSun-Identity-H" w:hAnsi="TNFRJM+SimSun-Identity-H" w:eastAsia="Times New Roman"/>
        </w:rPr>
        <w:t>N——</w:t>
      </w:r>
      <w:r>
        <w:rPr>
          <w:rFonts w:hint="eastAsia"/>
        </w:rPr>
        <w:t>构件最大轴向力设计值；</w:t>
      </w:r>
    </w:p>
    <w:p>
      <w:pPr>
        <w:pStyle w:val="79"/>
        <w:ind w:firstLine="420"/>
      </w:pPr>
      <w:r>
        <w:rPr>
          <w:rFonts w:ascii="HTFHQB+SymbolMT-Identity-H" w:hAnsi="HTFHQB+SymbolMT-Identity-H" w:eastAsia="Times New Roman"/>
          <w:position w:val="-10"/>
        </w:rPr>
        <w:object>
          <v:shape id="_x0000_i1040" o:spt="75" type="#_x0000_t75" style="height:13.5pt;width:10.5pt;" o:ole="t" filled="f" o:preferrelative="t" stroked="f" coordsize="21600,21600">
            <v:path/>
            <v:fill on="f" focussize="0,0"/>
            <v:stroke on="f" joinstyle="miter"/>
            <v:imagedata r:id="rId60" o:title=""/>
            <o:lock v:ext="edit" aspectratio="t"/>
            <w10:wrap type="none"/>
            <w10:anchorlock/>
          </v:shape>
          <o:OLEObject Type="Embed" ProgID="Equation.3" ShapeID="_x0000_i1040" DrawAspect="Content" ObjectID="_1468075740" r:id="rId59">
            <o:LockedField>false</o:LockedField>
          </o:OLEObject>
        </w:object>
      </w:r>
      <w:r>
        <w:rPr>
          <w:rFonts w:ascii="TNFRJM+SimSun-Identity-H" w:hAnsi="TNFRJM+SimSun-Identity-H" w:eastAsia="Times New Roman"/>
          <w:spacing w:val="-6"/>
        </w:rPr>
        <w:t>——</w:t>
      </w:r>
      <w:r>
        <w:rPr>
          <w:rFonts w:hint="eastAsia"/>
          <w:spacing w:val="-6"/>
        </w:rPr>
        <w:t>轴心受压稳定系数（取截面两主轴稳定系数中的较小者）</w:t>
      </w:r>
      <w:r>
        <w:rPr>
          <w:rFonts w:hint="eastAsia"/>
        </w:rPr>
        <w:t>；</w:t>
      </w:r>
      <w:r>
        <w:t>应按</w:t>
      </w:r>
      <w:r>
        <w:rPr>
          <w:rFonts w:hint="eastAsia"/>
        </w:rPr>
        <w:t>《钢结构</w:t>
      </w:r>
      <w:r>
        <w:t>设计标准</w:t>
      </w:r>
      <w:r>
        <w:rPr>
          <w:rFonts w:hint="eastAsia"/>
        </w:rPr>
        <w:t>》GB50017第7.2.1条</w:t>
      </w:r>
      <w:r>
        <w:t>确定</w:t>
      </w:r>
    </w:p>
    <w:p>
      <w:pPr>
        <w:pStyle w:val="79"/>
        <w:ind w:firstLine="420"/>
        <w:rPr>
          <w:rFonts w:eastAsia="Times New Roman"/>
        </w:rPr>
      </w:pPr>
      <w:r>
        <w:rPr>
          <w:rFonts w:ascii="TNFRJM+SimSun-Identity-H" w:hAnsi="TNFRJM+SimSun-Identity-H" w:eastAsia="Times New Roman"/>
        </w:rPr>
        <w:t>A——</w:t>
      </w:r>
      <w:r>
        <w:rPr>
          <w:rFonts w:hint="eastAsia"/>
        </w:rPr>
        <w:t>计算截面面积。</w:t>
      </w:r>
    </w:p>
    <w:p>
      <w:pPr>
        <w:pStyle w:val="188"/>
      </w:pPr>
      <w:r>
        <w:rPr>
          <w:rFonts w:hint="eastAsia"/>
        </w:rPr>
        <w:t>悬挑梁受弯构件的变形应按公式（</w:t>
      </w:r>
      <w:r>
        <w:t>10</w:t>
      </w:r>
      <w:r>
        <w:rPr>
          <w:rFonts w:hint="eastAsia"/>
        </w:rPr>
        <w:t>）计算：</w:t>
      </w:r>
    </w:p>
    <w:p>
      <w:pPr>
        <w:pStyle w:val="136"/>
      </w:pPr>
      <w:r>
        <w:tab/>
      </w:r>
      <m:oMath>
        <m:r>
          <m:rPr/>
          <w:rPr>
            <w:rFonts w:ascii="Cambria Math" w:hAnsi="Cambria Math"/>
          </w:rPr>
          <m:t>V</m:t>
        </m:r>
        <m:r>
          <m:rPr>
            <m:sty m:val="p"/>
          </m:rPr>
          <w:rPr>
            <w:rFonts w:ascii="Cambria Math" w:hAnsi="Cambria Math"/>
          </w:rPr>
          <m:t>≤[</m:t>
        </m:r>
        <m:r>
          <m:rPr/>
          <w:rPr>
            <w:rFonts w:ascii="Cambria Math" w:hAnsi="Cambria Math"/>
          </w:rPr>
          <m:t>V</m:t>
        </m:r>
        <m:r>
          <m:rPr>
            <m:sty m:val="p"/>
          </m:rPr>
          <w:rPr>
            <w:rFonts w:ascii="Cambria Math" w:hAnsi="Cambria Math"/>
          </w:rPr>
          <m:t>]</m:t>
        </m:r>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253"/>
      </w:pPr>
      <w:r>
        <w:rPr>
          <w:rFonts w:ascii="TNFRJM+SimSun-Identity-H" w:hAnsi="TNFRJM+SimSun-Identity-H"/>
        </w:rPr>
        <w:t>υ—</w:t>
      </w:r>
      <w:r>
        <w:t>悬挑钢梁受弯构件的挠度</w:t>
      </w:r>
      <w:r>
        <w:rPr>
          <w:rFonts w:hint="eastAsia" w:hAnsi="宋体" w:cs="宋体"/>
        </w:rPr>
        <w:t>；</w:t>
      </w:r>
    </w:p>
    <w:p>
      <w:pPr>
        <w:pStyle w:val="253"/>
        <w:rPr>
          <w:rFonts w:eastAsia="Times New Roman"/>
        </w:rPr>
      </w:pPr>
      <w:r>
        <w:rPr>
          <w:rFonts w:ascii="TNFRJM+SimSun-Identity-H" w:hAnsi="TNFRJM+SimSun-Identity-H" w:eastAsia="Times New Roman"/>
        </w:rPr>
        <w:t>[υ]—</w:t>
      </w:r>
      <w:r>
        <w:rPr>
          <w:rFonts w:hint="eastAsia"/>
        </w:rPr>
        <w:t>悬挑钢梁受弯构件的允许挠度值，根据表</w:t>
      </w:r>
      <w:r>
        <w:rPr>
          <w:rFonts w:hint="eastAsia" w:ascii="TNFRJM+SimSun-Identity-H"/>
        </w:rPr>
        <w:t>11</w:t>
      </w:r>
      <w:r>
        <w:rPr>
          <w:rFonts w:hint="eastAsia"/>
        </w:rPr>
        <w:t>选用。</w:t>
      </w:r>
    </w:p>
    <w:p>
      <w:pPr>
        <w:pStyle w:val="188"/>
        <w:ind w:left="0"/>
      </w:pPr>
      <w:r>
        <w:rPr>
          <w:rFonts w:hint="eastAsia"/>
        </w:rPr>
        <w:t>采用楼板锚固形式时，悬挑梁为悬挑承力钢梁，其设计验算可采用以建筑主体结构支承点为平衡点的结构计算。其结构计算简图可同图10所示。</w:t>
      </w:r>
    </w:p>
    <w:p>
      <w:pPr>
        <w:pStyle w:val="253"/>
        <w:jc w:val="center"/>
      </w:pPr>
      <w:r>
        <w:rPr>
          <w:szCs w:val="18"/>
        </w:rPr>
        <w:drawing>
          <wp:inline distT="0" distB="0" distL="0" distR="0">
            <wp:extent cx="2849245" cy="1397635"/>
            <wp:effectExtent l="0" t="0" r="0" b="0"/>
            <wp:docPr id="1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true" noChangeArrowheads="true"/>
                    </pic:cNvPicPr>
                  </pic:nvPicPr>
                  <pic:blipFill>
                    <a:blip r:embed="rId61"/>
                    <a:srcRect l="30699" t="60955" r="51949" b="18966"/>
                    <a:stretch>
                      <a:fillRect/>
                    </a:stretch>
                  </pic:blipFill>
                  <pic:spPr>
                    <a:xfrm>
                      <a:off x="0" y="0"/>
                      <a:ext cx="2867380" cy="1406393"/>
                    </a:xfrm>
                    <a:prstGeom prst="rect">
                      <a:avLst/>
                    </a:prstGeom>
                    <a:noFill/>
                    <a:ln w="9525">
                      <a:noFill/>
                      <a:miter lim="800000"/>
                      <a:headEnd/>
                      <a:tailEnd/>
                    </a:ln>
                  </pic:spPr>
                </pic:pic>
              </a:graphicData>
            </a:graphic>
          </wp:inline>
        </w:drawing>
      </w:r>
    </w:p>
    <w:p>
      <w:pPr>
        <w:pStyle w:val="202"/>
        <w:spacing w:line="320" w:lineRule="exact"/>
      </w:pPr>
      <w:r>
        <w:rPr>
          <w:position w:val="-12"/>
        </w:rPr>
        <w:object>
          <v:shape id="_x0000_i1041" o:spt="75" type="#_x0000_t75" style="height:18.75pt;width:18.75pt;" o:ole="t" filled="f" o:preferrelative="t" stroked="f" coordsize="21600,21600">
            <v:path/>
            <v:fill on="f" focussize="0,0"/>
            <v:stroke on="f" joinstyle="miter"/>
            <v:imagedata r:id="rId63" o:title=""/>
            <o:lock v:ext="edit" aspectratio="t"/>
            <w10:wrap type="none"/>
            <w10:anchorlock/>
          </v:shape>
          <o:OLEObject Type="Embed" ProgID="Equation.3" ShapeID="_x0000_i1041" DrawAspect="Content" ObjectID="_1468075741" r:id="rId62">
            <o:LockedField>false</o:LockedField>
          </o:OLEObject>
        </w:object>
      </w:r>
      <w:r>
        <w:rPr>
          <w:rFonts w:hint="eastAsia"/>
        </w:rPr>
        <w:t>—脚手架</w:t>
      </w:r>
      <w:r>
        <w:t>内立杆轴向力设计值；</w:t>
      </w:r>
      <w:r>
        <w:rPr>
          <w:position w:val="-12"/>
        </w:rPr>
        <w:object>
          <v:shape id="_x0000_i1042" o:spt="75" type="#_x0000_t75" style="height:18.75pt;width:18.75pt;" o:ole="t" filled="f" o:preferrelative="t" stroked="f" coordsize="21600,21600">
            <v:path/>
            <v:fill on="f" focussize="0,0"/>
            <v:stroke on="f" joinstyle="miter"/>
            <v:imagedata r:id="rId65" o:title=""/>
            <o:lock v:ext="edit" aspectratio="t"/>
            <w10:wrap type="none"/>
            <w10:anchorlock/>
          </v:shape>
          <o:OLEObject Type="Embed" ProgID="Equation.3" ShapeID="_x0000_i1042" DrawAspect="Content" ObjectID="_1468075742" r:id="rId64">
            <o:LockedField>false</o:LockedField>
          </o:OLEObject>
        </w:object>
      </w:r>
      <w:r>
        <w:t>—</w:t>
      </w:r>
      <w:r>
        <w:rPr>
          <w:rFonts w:hint="eastAsia"/>
        </w:rPr>
        <w:t>脚手架</w:t>
      </w:r>
      <w:r>
        <w:t>外立杆轴向设计值；</w:t>
      </w:r>
      <w:r>
        <w:rPr>
          <w:position w:val="-8"/>
        </w:rPr>
        <w:object>
          <v:shape id="_x0000_i1043" o:spt="75" type="#_x0000_t75" style="height:12pt;width:9.75pt;" o:ole="t" filled="f" o:preferrelative="t" stroked="f" coordsize="21600,21600">
            <v:path/>
            <v:fill on="f" focussize="0,0"/>
            <v:stroke on="f" joinstyle="miter"/>
            <v:imagedata r:id="rId67" o:title=""/>
            <o:lock v:ext="edit" aspectratio="t"/>
            <w10:wrap type="none"/>
            <w10:anchorlock/>
          </v:shape>
          <o:OLEObject Type="Embed" ProgID="Equation.3" ShapeID="_x0000_i1043" DrawAspect="Content" ObjectID="_1468075743" r:id="rId66">
            <o:LockedField>false</o:LockedField>
          </o:OLEObject>
        </w:object>
      </w:r>
      <w:r>
        <w:t>—</w:t>
      </w:r>
      <w:r>
        <w:rPr>
          <w:rFonts w:hint="eastAsia"/>
        </w:rPr>
        <w:t>型钢</w:t>
      </w:r>
      <w:r>
        <w:t>梁自重线荷载</w:t>
      </w:r>
      <w:r>
        <w:rPr>
          <w:rFonts w:hint="eastAsia"/>
        </w:rPr>
        <w:t>设计</w:t>
      </w:r>
      <w:r>
        <w:t>值；</w:t>
      </w:r>
      <w:r>
        <w:rPr>
          <w:position w:val="-4"/>
          <w:sz w:val="15"/>
          <w:szCs w:val="15"/>
        </w:rPr>
        <w:object>
          <v:shape id="_x0000_i1044" o:spt="75" type="#_x0000_t75" style="height:13.5pt;width:10.5pt;" o:ole="t" filled="f" o:preferrelative="t" stroked="f" coordsize="21600,21600">
            <v:path/>
            <v:fill on="f" focussize="0,0"/>
            <v:stroke on="f" joinstyle="miter"/>
            <v:imagedata r:id="rId69" o:title=""/>
            <o:lock v:ext="edit" aspectratio="t"/>
            <w10:wrap type="none"/>
            <w10:anchorlock/>
          </v:shape>
          <o:OLEObject Type="Embed" ProgID="Equation.3" ShapeID="_x0000_i1044" DrawAspect="Content" ObjectID="_1468075744" r:id="rId68">
            <o:LockedField>false</o:LockedField>
          </o:OLEObject>
        </w:object>
      </w:r>
      <w:r>
        <w:t>—</w:t>
      </w:r>
      <w:r>
        <w:rPr>
          <w:rFonts w:hint="eastAsia"/>
        </w:rPr>
        <w:t>悬挑</w:t>
      </w:r>
      <w:r>
        <w:t>承力</w:t>
      </w:r>
      <w:r>
        <w:rPr>
          <w:rFonts w:hint="eastAsia"/>
        </w:rPr>
        <w:t>钢梁</w:t>
      </w:r>
      <w:r>
        <w:t>锚固点中心至建筑主体结构支撑点的距离；</w:t>
      </w:r>
      <w:r>
        <w:rPr>
          <w:position w:val="-10"/>
        </w:rPr>
        <w:object>
          <v:shape id="_x0000_i1045" o:spt="75" type="#_x0000_t75" style="height:18.75pt;width:15pt;" o:ole="t" filled="f" o:preferrelative="t" stroked="f" coordsize="21600,21600">
            <v:path/>
            <v:fill on="f" focussize="0,0"/>
            <v:stroke on="f" joinstyle="miter"/>
            <v:imagedata r:id="rId71" o:title=""/>
            <o:lock v:ext="edit" aspectratio="t"/>
            <w10:wrap type="none"/>
            <w10:anchorlock/>
          </v:shape>
          <o:OLEObject Type="Embed" ProgID="Equation.3" ShapeID="_x0000_i1045" DrawAspect="Content" ObjectID="_1468075745" r:id="rId70">
            <o:LockedField>false</o:LockedField>
          </o:OLEObject>
        </w:object>
      </w:r>
      <w:r>
        <w:t>—</w:t>
      </w:r>
      <w:r>
        <w:rPr>
          <w:rFonts w:hint="eastAsia"/>
        </w:rPr>
        <w:t>悬挑</w:t>
      </w:r>
      <w:r>
        <w:t>承力钢梁悬挑端面至建筑主体结构支撑点的距离；</w:t>
      </w:r>
      <w:r>
        <w:rPr>
          <w:position w:val="-10"/>
        </w:rPr>
        <w:object>
          <v:shape id="_x0000_i1046" o:spt="75" type="#_x0000_t75" style="height:18.75pt;width:15pt;" o:ole="t" filled="f" o:preferrelative="t" stroked="f" coordsize="21600,21600">
            <v:path/>
            <v:fill on="f" focussize="0,0"/>
            <v:stroke on="f" joinstyle="miter"/>
            <v:imagedata r:id="rId73" o:title=""/>
            <o:lock v:ext="edit" aspectratio="t"/>
            <w10:wrap type="none"/>
            <w10:anchorlock/>
          </v:shape>
          <o:OLEObject Type="Embed" ProgID="Equation.3" ShapeID="_x0000_i1046" DrawAspect="Content" ObjectID="_1468075746" r:id="rId72">
            <o:LockedField>false</o:LockedField>
          </o:OLEObject>
        </w:object>
      </w:r>
      <w:r>
        <w:t>—</w:t>
      </w:r>
      <w:r>
        <w:rPr>
          <w:rFonts w:hint="eastAsia"/>
        </w:rPr>
        <w:t>脚手架</w:t>
      </w:r>
      <w:r>
        <w:t>外立杆至建筑主体结构支撑点的距离；</w:t>
      </w:r>
      <w:r>
        <w:rPr>
          <w:position w:val="-10"/>
        </w:rPr>
        <w:object>
          <v:shape id="_x0000_i1047" o:spt="75" type="#_x0000_t75" style="height:18.75pt;width:15pt;" o:ole="t" filled="f" o:preferrelative="t" stroked="f" coordsize="21600,21600">
            <v:path/>
            <v:fill on="f" focussize="0,0"/>
            <v:stroke on="f" joinstyle="miter"/>
            <v:imagedata r:id="rId75" o:title=""/>
            <o:lock v:ext="edit" aspectratio="t"/>
            <w10:wrap type="none"/>
            <w10:anchorlock/>
          </v:shape>
          <o:OLEObject Type="Embed" ProgID="Equation.3" ShapeID="_x0000_i1047" DrawAspect="Content" ObjectID="_1468075747" r:id="rId74">
            <o:LockedField>false</o:LockedField>
          </o:OLEObject>
        </w:object>
      </w:r>
      <w:r>
        <w:t>—</w:t>
      </w:r>
      <w:r>
        <w:rPr>
          <w:rFonts w:hint="eastAsia"/>
        </w:rPr>
        <w:t>脚手架</w:t>
      </w:r>
      <w:r>
        <w:t>内立杆</w:t>
      </w:r>
      <w:r>
        <w:rPr>
          <w:rFonts w:hint="eastAsia"/>
        </w:rPr>
        <w:t>至</w:t>
      </w:r>
      <w:r>
        <w:t>建筑主体结构支撑点的距离</w:t>
      </w:r>
      <w:r>
        <w:rPr>
          <w:rFonts w:hint="eastAsia"/>
        </w:rPr>
        <w:t>。</w:t>
      </w:r>
    </w:p>
    <w:p>
      <w:pPr>
        <w:pStyle w:val="263"/>
        <w:numPr>
          <w:ilvl w:val="0"/>
          <w:numId w:val="17"/>
        </w:numPr>
        <w:spacing w:before="156" w:after="156"/>
        <w:ind w:left="0"/>
      </w:pPr>
      <w:r>
        <w:rPr>
          <w:rFonts w:hint="eastAsia"/>
        </w:rPr>
        <w:t>楼板结构锚固方式钢梁的计算示意图</w:t>
      </w:r>
    </w:p>
    <w:p>
      <w:pPr>
        <w:pStyle w:val="188"/>
        <w:ind w:left="0"/>
      </w:pPr>
      <w:r>
        <w:rPr>
          <w:rFonts w:hint="eastAsia"/>
        </w:rPr>
        <w:t>采用侧墙锚固形式，且悬挑梁为纯悬挑承力钢梁时，悬挑梁与主体结构连接为刚接，其设计验算可采用以建筑主体结构支承点为平衡点的结构计算，计算简图可同图11所示。</w:t>
      </w:r>
    </w:p>
    <w:p>
      <w:pPr>
        <w:pStyle w:val="253"/>
        <w:jc w:val="center"/>
      </w:pPr>
      <w:r>
        <w:rPr>
          <w:szCs w:val="18"/>
        </w:rPr>
        <w:drawing>
          <wp:inline distT="0" distB="0" distL="0" distR="0">
            <wp:extent cx="1129030" cy="1271270"/>
            <wp:effectExtent l="0" t="0" r="0" b="0"/>
            <wp:docPr id="106" name="图片 1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true" noChangeArrowheads="true"/>
                    </pic:cNvPicPr>
                  </pic:nvPicPr>
                  <pic:blipFill>
                    <a:blip r:embed="rId76"/>
                    <a:srcRect l="31415" t="27974" r="52002" b="16077"/>
                    <a:stretch>
                      <a:fillRect/>
                    </a:stretch>
                  </pic:blipFill>
                  <pic:spPr>
                    <a:xfrm>
                      <a:off x="0" y="0"/>
                      <a:ext cx="1129321" cy="1271427"/>
                    </a:xfrm>
                    <a:prstGeom prst="rect">
                      <a:avLst/>
                    </a:prstGeom>
                    <a:noFill/>
                    <a:ln w="9525">
                      <a:noFill/>
                      <a:miter lim="800000"/>
                      <a:headEnd/>
                      <a:tailEnd/>
                    </a:ln>
                  </pic:spPr>
                </pic:pic>
              </a:graphicData>
            </a:graphic>
          </wp:inline>
        </w:drawing>
      </w:r>
    </w:p>
    <w:p>
      <w:pPr>
        <w:pStyle w:val="253"/>
        <w:jc w:val="center"/>
      </w:pPr>
    </w:p>
    <w:p>
      <w:pPr>
        <w:pStyle w:val="202"/>
        <w:spacing w:line="320" w:lineRule="exact"/>
      </w:pPr>
      <w:r>
        <w:object>
          <v:shape id="_x0000_i1048" o:spt="75" type="#_x0000_t75" style="height:18.75pt;width:18.75pt;" o:ole="t" filled="f" o:preferrelative="t" stroked="f" coordsize="21600,21600">
            <v:path/>
            <v:fill on="f" focussize="0,0"/>
            <v:stroke on="f" joinstyle="miter"/>
            <v:imagedata r:id="rId63" o:title=""/>
            <o:lock v:ext="edit" aspectratio="t"/>
            <w10:wrap type="none"/>
            <w10:anchorlock/>
          </v:shape>
          <o:OLEObject Type="Embed" ProgID="Equation.3" ShapeID="_x0000_i1048" DrawAspect="Content" ObjectID="_1468075748" r:id="rId77">
            <o:LockedField>false</o:LockedField>
          </o:OLEObject>
        </w:object>
      </w:r>
      <w:r>
        <w:rPr>
          <w:rFonts w:hint="eastAsia"/>
        </w:rPr>
        <w:t>—脚手架</w:t>
      </w:r>
      <w:r>
        <w:t>内立杆轴向力设计值；</w:t>
      </w:r>
      <w:r>
        <w:object>
          <v:shape id="_x0000_i1049" o:spt="75" type="#_x0000_t75" style="height:18.75pt;width:18.75pt;" o:ole="t" filled="f" o:preferrelative="t" stroked="f" coordsize="21600,21600">
            <v:path/>
            <v:fill on="f" focussize="0,0"/>
            <v:stroke on="f" joinstyle="miter"/>
            <v:imagedata r:id="rId65" o:title=""/>
            <o:lock v:ext="edit" aspectratio="t"/>
            <w10:wrap type="none"/>
            <w10:anchorlock/>
          </v:shape>
          <o:OLEObject Type="Embed" ProgID="Equation.3" ShapeID="_x0000_i1049" DrawAspect="Content" ObjectID="_1468075749" r:id="rId78">
            <o:LockedField>false</o:LockedField>
          </o:OLEObject>
        </w:object>
      </w:r>
      <w:r>
        <w:t>—</w:t>
      </w:r>
      <w:r>
        <w:rPr>
          <w:rFonts w:hint="eastAsia"/>
        </w:rPr>
        <w:t>脚手架</w:t>
      </w:r>
      <w:r>
        <w:t>外立杆轴向设计值；</w:t>
      </w:r>
      <w:r>
        <w:object>
          <v:shape id="_x0000_i1050" o:spt="75" type="#_x0000_t75" style="height:12pt;width:9.75pt;" o:ole="t" filled="f" o:preferrelative="t" stroked="f" coordsize="21600,21600">
            <v:path/>
            <v:fill on="f" focussize="0,0"/>
            <v:stroke on="f" joinstyle="miter"/>
            <v:imagedata r:id="rId67" o:title=""/>
            <o:lock v:ext="edit" aspectratio="t"/>
            <w10:wrap type="none"/>
            <w10:anchorlock/>
          </v:shape>
          <o:OLEObject Type="Embed" ProgID="Equation.3" ShapeID="_x0000_i1050" DrawAspect="Content" ObjectID="_1468075750" r:id="rId79">
            <o:LockedField>false</o:LockedField>
          </o:OLEObject>
        </w:object>
      </w:r>
      <w:r>
        <w:t>—</w:t>
      </w:r>
      <w:r>
        <w:rPr>
          <w:rFonts w:hint="eastAsia"/>
        </w:rPr>
        <w:t>型钢</w:t>
      </w:r>
      <w:r>
        <w:t>梁自重线荷载</w:t>
      </w:r>
      <w:r>
        <w:rPr>
          <w:rFonts w:hint="eastAsia"/>
        </w:rPr>
        <w:t>设计</w:t>
      </w:r>
      <w:r>
        <w:t xml:space="preserve">值； </w:t>
      </w:r>
      <w:r>
        <w:object>
          <v:shape id="_x0000_i1051" o:spt="75" type="#_x0000_t75" style="height:18.75pt;width:15pt;" o:ole="t" filled="f" o:preferrelative="t" stroked="f" coordsize="21600,21600">
            <v:path/>
            <v:fill on="f" focussize="0,0"/>
            <v:stroke on="f" joinstyle="miter"/>
            <v:imagedata r:id="rId71" o:title=""/>
            <o:lock v:ext="edit" aspectratio="t"/>
            <w10:wrap type="none"/>
            <w10:anchorlock/>
          </v:shape>
          <o:OLEObject Type="Embed" ProgID="Equation.3" ShapeID="_x0000_i1051" DrawAspect="Content" ObjectID="_1468075751" r:id="rId80">
            <o:LockedField>false</o:LockedField>
          </o:OLEObject>
        </w:object>
      </w:r>
      <w:r>
        <w:t>—</w:t>
      </w:r>
      <w:r>
        <w:rPr>
          <w:rFonts w:hint="eastAsia"/>
        </w:rPr>
        <w:t>悬挑</w:t>
      </w:r>
      <w:r>
        <w:t>承力钢梁悬挑端面至建筑主体结构支撑点的距离；</w:t>
      </w:r>
      <w:r>
        <w:object>
          <v:shape id="_x0000_i1052" o:spt="75" type="#_x0000_t75" style="height:18.75pt;width:15pt;" o:ole="t" filled="f" o:preferrelative="t" stroked="f" coordsize="21600,21600">
            <v:path/>
            <v:fill on="f" focussize="0,0"/>
            <v:stroke on="f" joinstyle="miter"/>
            <v:imagedata r:id="rId73" o:title=""/>
            <o:lock v:ext="edit" aspectratio="t"/>
            <w10:wrap type="none"/>
            <w10:anchorlock/>
          </v:shape>
          <o:OLEObject Type="Embed" ProgID="Equation.3" ShapeID="_x0000_i1052" DrawAspect="Content" ObjectID="_1468075752" r:id="rId81">
            <o:LockedField>false</o:LockedField>
          </o:OLEObject>
        </w:object>
      </w:r>
      <w:r>
        <w:t>—</w:t>
      </w:r>
      <w:r>
        <w:rPr>
          <w:rFonts w:hint="eastAsia"/>
        </w:rPr>
        <w:t>脚手架</w:t>
      </w:r>
      <w:r>
        <w:t>外立杆至建筑主体结构支撑点的距离；</w:t>
      </w:r>
      <w:r>
        <w:object>
          <v:shape id="_x0000_i1053" o:spt="75" type="#_x0000_t75" style="height:18.75pt;width:15pt;" o:ole="t" filled="f" o:preferrelative="t" stroked="f" coordsize="21600,21600">
            <v:path/>
            <v:fill on="f" focussize="0,0"/>
            <v:stroke on="f" joinstyle="miter"/>
            <v:imagedata r:id="rId75" o:title=""/>
            <o:lock v:ext="edit" aspectratio="t"/>
            <w10:wrap type="none"/>
            <w10:anchorlock/>
          </v:shape>
          <o:OLEObject Type="Embed" ProgID="Equation.3" ShapeID="_x0000_i1053" DrawAspect="Content" ObjectID="_1468075753" r:id="rId82">
            <o:LockedField>false</o:LockedField>
          </o:OLEObject>
        </w:object>
      </w:r>
      <w:r>
        <w:t>—</w:t>
      </w:r>
      <w:r>
        <w:rPr>
          <w:rFonts w:hint="eastAsia"/>
        </w:rPr>
        <w:t>脚手架</w:t>
      </w:r>
      <w:r>
        <w:t>内立杆</w:t>
      </w:r>
      <w:r>
        <w:rPr>
          <w:rFonts w:hint="eastAsia"/>
        </w:rPr>
        <w:t>至</w:t>
      </w:r>
      <w:r>
        <w:t>建筑主体结构支撑点的距离</w:t>
      </w:r>
      <w:r>
        <w:rPr>
          <w:rFonts w:hint="eastAsia"/>
        </w:rPr>
        <w:t>。</w:t>
      </w:r>
    </w:p>
    <w:p>
      <w:pPr>
        <w:pStyle w:val="263"/>
        <w:numPr>
          <w:ilvl w:val="0"/>
          <w:numId w:val="17"/>
        </w:numPr>
        <w:spacing w:before="156" w:after="156"/>
        <w:ind w:left="0"/>
      </w:pPr>
      <w:r>
        <w:rPr>
          <w:rFonts w:hint="eastAsia"/>
        </w:rPr>
        <w:t>底部悬挑梁为纯悬挑承力钢梁的计算示意图</w:t>
      </w:r>
    </w:p>
    <w:p>
      <w:pPr>
        <w:pStyle w:val="188"/>
        <w:ind w:left="0"/>
      </w:pPr>
      <w:r>
        <w:rPr>
          <w:rFonts w:hint="eastAsia"/>
        </w:rPr>
        <w:t>采用侧墙锚固形式，且悬挑脚手架底部承力架为斜撑式悬挑承力钢梁时，其设计验算可采用以建筑主体结构支承点为铰接支点的结构计算，</w:t>
      </w:r>
      <w:r>
        <w:t>计算</w:t>
      </w:r>
      <w:r>
        <w:rPr>
          <w:rFonts w:hint="eastAsia"/>
        </w:rPr>
        <w:t>简图如</w:t>
      </w:r>
      <w:r>
        <w:t>图</w:t>
      </w:r>
      <w:r>
        <w:rPr>
          <w:rFonts w:hint="eastAsia"/>
        </w:rPr>
        <w:t>12所示。</w:t>
      </w:r>
    </w:p>
    <w:p>
      <w:pPr>
        <w:pStyle w:val="253"/>
        <w:jc w:val="center"/>
      </w:pPr>
      <w:r>
        <w:rPr>
          <w:szCs w:val="18"/>
        </w:rPr>
        <w:drawing>
          <wp:inline distT="0" distB="0" distL="0" distR="0">
            <wp:extent cx="1227455" cy="1736090"/>
            <wp:effectExtent l="0" t="0" r="0" b="0"/>
            <wp:docPr id="109" name="图片 1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true" noChangeArrowheads="true"/>
                    </pic:cNvPicPr>
                  </pic:nvPicPr>
                  <pic:blipFill>
                    <a:blip r:embed="rId83"/>
                    <a:srcRect l="60353" t="46303" r="29010" b="8038"/>
                    <a:stretch>
                      <a:fillRect/>
                    </a:stretch>
                  </pic:blipFill>
                  <pic:spPr>
                    <a:xfrm>
                      <a:off x="0" y="0"/>
                      <a:ext cx="1227768" cy="1736365"/>
                    </a:xfrm>
                    <a:prstGeom prst="rect">
                      <a:avLst/>
                    </a:prstGeom>
                    <a:noFill/>
                    <a:ln w="9525">
                      <a:noFill/>
                      <a:miter lim="800000"/>
                      <a:headEnd/>
                      <a:tailEnd/>
                    </a:ln>
                  </pic:spPr>
                </pic:pic>
              </a:graphicData>
            </a:graphic>
          </wp:inline>
        </w:drawing>
      </w:r>
    </w:p>
    <w:p>
      <w:pPr>
        <w:pStyle w:val="202"/>
        <w:spacing w:line="320" w:lineRule="exact"/>
      </w:pPr>
      <w:r>
        <w:rPr>
          <w:position w:val="-12"/>
        </w:rPr>
        <w:object>
          <v:shape id="_x0000_i1054" o:spt="75" type="#_x0000_t75" style="height:18.75pt;width:18.75pt;" o:ole="t" filled="f" o:preferrelative="t" stroked="f" coordsize="21600,21600">
            <v:path/>
            <v:fill on="f" focussize="0,0"/>
            <v:stroke on="f" joinstyle="miter"/>
            <v:imagedata r:id="rId63" o:title=""/>
            <o:lock v:ext="edit" aspectratio="t"/>
            <w10:wrap type="none"/>
            <w10:anchorlock/>
          </v:shape>
          <o:OLEObject Type="Embed" ProgID="Equation.3" ShapeID="_x0000_i1054" DrawAspect="Content" ObjectID="_1468075754" r:id="rId84">
            <o:LockedField>false</o:LockedField>
          </o:OLEObject>
        </w:object>
      </w:r>
      <w:r>
        <w:rPr>
          <w:rFonts w:hint="eastAsia"/>
        </w:rPr>
        <w:t>—脚手架</w:t>
      </w:r>
      <w:r>
        <w:t>内立杆轴向力设计值；</w:t>
      </w:r>
      <w:r>
        <w:rPr>
          <w:position w:val="-12"/>
        </w:rPr>
        <w:object>
          <v:shape id="_x0000_i1055" o:spt="75" type="#_x0000_t75" style="height:18.75pt;width:18.75pt;" o:ole="t" filled="f" o:preferrelative="t" stroked="f" coordsize="21600,21600">
            <v:path/>
            <v:fill on="f" focussize="0,0"/>
            <v:stroke on="f" joinstyle="miter"/>
            <v:imagedata r:id="rId65" o:title=""/>
            <o:lock v:ext="edit" aspectratio="t"/>
            <w10:wrap type="none"/>
            <w10:anchorlock/>
          </v:shape>
          <o:OLEObject Type="Embed" ProgID="Equation.3" ShapeID="_x0000_i1055" DrawAspect="Content" ObjectID="_1468075755" r:id="rId85">
            <o:LockedField>false</o:LockedField>
          </o:OLEObject>
        </w:object>
      </w:r>
      <w:r>
        <w:t>—</w:t>
      </w:r>
      <w:r>
        <w:rPr>
          <w:rFonts w:hint="eastAsia"/>
        </w:rPr>
        <w:t>脚手架</w:t>
      </w:r>
      <w:r>
        <w:t>外立杆轴向设计值；</w:t>
      </w:r>
      <w:r>
        <w:rPr>
          <w:position w:val="-8"/>
        </w:rPr>
        <w:object>
          <v:shape id="_x0000_i1056" o:spt="75" type="#_x0000_t75" style="height:12pt;width:9.75pt;" o:ole="t" filled="f" o:preferrelative="t" stroked="f" coordsize="21600,21600">
            <v:path/>
            <v:fill on="f" focussize="0,0"/>
            <v:stroke on="f" joinstyle="miter"/>
            <v:imagedata r:id="rId67" o:title=""/>
            <o:lock v:ext="edit" aspectratio="t"/>
            <w10:wrap type="none"/>
            <w10:anchorlock/>
          </v:shape>
          <o:OLEObject Type="Embed" ProgID="Equation.3" ShapeID="_x0000_i1056" DrawAspect="Content" ObjectID="_1468075756" r:id="rId86">
            <o:LockedField>false</o:LockedField>
          </o:OLEObject>
        </w:object>
      </w:r>
      <w:r>
        <w:t>—</w:t>
      </w:r>
      <w:r>
        <w:rPr>
          <w:rFonts w:hint="eastAsia"/>
        </w:rPr>
        <w:t>型钢</w:t>
      </w:r>
      <w:r>
        <w:t>梁自重线荷载</w:t>
      </w:r>
      <w:r>
        <w:rPr>
          <w:rFonts w:hint="eastAsia"/>
        </w:rPr>
        <w:t>设计</w:t>
      </w:r>
      <w:r>
        <w:t xml:space="preserve">值； </w:t>
      </w:r>
      <w:r>
        <w:rPr>
          <w:position w:val="-10"/>
        </w:rPr>
        <w:object>
          <v:shape id="_x0000_i1057" o:spt="75" type="#_x0000_t75" style="height:18.75pt;width:15pt;" o:ole="t" filled="f" o:preferrelative="t" stroked="f" coordsize="21600,21600">
            <v:path/>
            <v:fill on="f" focussize="0,0"/>
            <v:stroke on="f" joinstyle="miter"/>
            <v:imagedata r:id="rId71" o:title=""/>
            <o:lock v:ext="edit" aspectratio="t"/>
            <w10:wrap type="none"/>
            <w10:anchorlock/>
          </v:shape>
          <o:OLEObject Type="Embed" ProgID="Equation.3" ShapeID="_x0000_i1057" DrawAspect="Content" ObjectID="_1468075757" r:id="rId87">
            <o:LockedField>false</o:LockedField>
          </o:OLEObject>
        </w:object>
      </w:r>
      <w:r>
        <w:t>—</w:t>
      </w:r>
      <w:r>
        <w:rPr>
          <w:rFonts w:hint="eastAsia"/>
        </w:rPr>
        <w:t>悬挑</w:t>
      </w:r>
      <w:r>
        <w:t>承力钢梁悬挑端面至建筑主体结构支撑点的距离；</w:t>
      </w:r>
      <w:r>
        <w:rPr>
          <w:position w:val="-10"/>
        </w:rPr>
        <w:object>
          <v:shape id="_x0000_i1058" o:spt="75" type="#_x0000_t75" style="height:18.75pt;width:15pt;" o:ole="t" filled="f" o:preferrelative="t" stroked="f" coordsize="21600,21600">
            <v:path/>
            <v:fill on="f" focussize="0,0"/>
            <v:stroke on="f" joinstyle="miter"/>
            <v:imagedata r:id="rId73" o:title=""/>
            <o:lock v:ext="edit" aspectratio="t"/>
            <w10:wrap type="none"/>
            <w10:anchorlock/>
          </v:shape>
          <o:OLEObject Type="Embed" ProgID="Equation.3" ShapeID="_x0000_i1058" DrawAspect="Content" ObjectID="_1468075758" r:id="rId88">
            <o:LockedField>false</o:LockedField>
          </o:OLEObject>
        </w:object>
      </w:r>
      <w:r>
        <w:t>—</w:t>
      </w:r>
      <w:r>
        <w:rPr>
          <w:rFonts w:hint="eastAsia"/>
        </w:rPr>
        <w:t>脚手架</w:t>
      </w:r>
      <w:r>
        <w:t>外立杆至建筑主体结构支撑点的距离；</w:t>
      </w:r>
      <w:r>
        <w:rPr>
          <w:position w:val="-10"/>
        </w:rPr>
        <w:object>
          <v:shape id="_x0000_i1059" o:spt="75" type="#_x0000_t75" style="height:18.75pt;width:15pt;" o:ole="t" filled="f" o:preferrelative="t" stroked="f" coordsize="21600,21600">
            <v:path/>
            <v:fill on="f" focussize="0,0"/>
            <v:stroke on="f" joinstyle="miter"/>
            <v:imagedata r:id="rId75" o:title=""/>
            <o:lock v:ext="edit" aspectratio="t"/>
            <w10:wrap type="none"/>
            <w10:anchorlock/>
          </v:shape>
          <o:OLEObject Type="Embed" ProgID="Equation.3" ShapeID="_x0000_i1059" DrawAspect="Content" ObjectID="_1468075759" r:id="rId89">
            <o:LockedField>false</o:LockedField>
          </o:OLEObject>
        </w:object>
      </w:r>
      <w:r>
        <w:t>—</w:t>
      </w:r>
      <w:r>
        <w:rPr>
          <w:rFonts w:hint="eastAsia"/>
        </w:rPr>
        <w:t>脚手架</w:t>
      </w:r>
      <w:r>
        <w:t>内立杆</w:t>
      </w:r>
      <w:r>
        <w:rPr>
          <w:rFonts w:hint="eastAsia"/>
        </w:rPr>
        <w:t>至</w:t>
      </w:r>
      <w:r>
        <w:t>建筑主体结构支撑点的距离</w:t>
      </w:r>
      <w:r>
        <w:rPr>
          <w:rFonts w:hint="eastAsia"/>
        </w:rPr>
        <w:t>；</w:t>
      </w:r>
      <w:r>
        <w:rPr>
          <w:position w:val="-4"/>
        </w:rPr>
        <w:object>
          <v:shape id="_x0000_i1060" o:spt="75" type="#_x0000_t75" style="height:13.5pt;width:9.75pt;" o:ole="t" filled="f" o:preferrelative="t" stroked="f" coordsize="21600,21600">
            <v:path/>
            <v:fill on="f" focussize="0,0"/>
            <v:stroke on="f" joinstyle="miter"/>
            <v:imagedata r:id="rId91" o:title=""/>
            <o:lock v:ext="edit" aspectratio="t"/>
            <w10:wrap type="none"/>
            <w10:anchorlock/>
          </v:shape>
          <o:OLEObject Type="Embed" ProgID="Equation.3" ShapeID="_x0000_i1060" DrawAspect="Content" ObjectID="_1468075760" r:id="rId90">
            <o:LockedField>false</o:LockedField>
          </o:OLEObject>
        </w:object>
      </w:r>
      <w:r>
        <w:t>—</w:t>
      </w:r>
      <w:r>
        <w:rPr>
          <w:rFonts w:hint="eastAsia"/>
        </w:rPr>
        <w:t>下部斜撑承受</w:t>
      </w:r>
      <w:r>
        <w:t>的轴力设计值</w:t>
      </w:r>
      <w:r>
        <w:rPr>
          <w:rFonts w:hint="eastAsia"/>
        </w:rPr>
        <w:t>。</w:t>
      </w:r>
    </w:p>
    <w:p>
      <w:pPr>
        <w:pStyle w:val="263"/>
        <w:numPr>
          <w:ilvl w:val="0"/>
          <w:numId w:val="17"/>
        </w:numPr>
        <w:spacing w:before="156" w:after="156"/>
        <w:ind w:left="0"/>
      </w:pPr>
      <w:r>
        <w:rPr>
          <w:rFonts w:hint="eastAsia"/>
        </w:rPr>
        <w:t>底部承力架为斜撑式悬挑承力钢梁的计算示意图</w:t>
      </w:r>
    </w:p>
    <w:p>
      <w:pPr>
        <w:pStyle w:val="188"/>
        <w:ind w:left="0"/>
      </w:pPr>
      <w:r>
        <w:rPr>
          <w:rFonts w:hint="eastAsia"/>
        </w:rPr>
        <w:t>采用侧墙锚固形式，且悬挑脚手架底部承力架为斜拉式悬挑承力钢梁时，其设计验算可采用以建筑主体结构支承点为铰接支点的结构计算，</w:t>
      </w:r>
      <w:r>
        <w:t>计算</w:t>
      </w:r>
      <w:r>
        <w:rPr>
          <w:rFonts w:hint="eastAsia"/>
        </w:rPr>
        <w:t>简图如</w:t>
      </w:r>
      <w:r>
        <w:t>图</w:t>
      </w:r>
      <w:r>
        <w:rPr>
          <w:rFonts w:hint="eastAsia"/>
        </w:rPr>
        <w:t>13所示。</w:t>
      </w:r>
    </w:p>
    <w:p>
      <w:pPr>
        <w:pStyle w:val="253"/>
        <w:jc w:val="center"/>
      </w:pPr>
      <w:r>
        <w:rPr>
          <w:szCs w:val="18"/>
        </w:rPr>
        <w:drawing>
          <wp:inline distT="0" distB="0" distL="0" distR="0">
            <wp:extent cx="1085215" cy="2120900"/>
            <wp:effectExtent l="0" t="0" r="0" b="0"/>
            <wp:docPr id="1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true" noChangeArrowheads="true"/>
                    </pic:cNvPicPr>
                  </pic:nvPicPr>
                  <pic:blipFill>
                    <a:blip r:embed="rId92"/>
                    <a:srcRect l="32979" t="6454" r="52555" b="26851"/>
                    <a:stretch>
                      <a:fillRect/>
                    </a:stretch>
                  </pic:blipFill>
                  <pic:spPr>
                    <a:xfrm>
                      <a:off x="0" y="0"/>
                      <a:ext cx="1088188" cy="2126398"/>
                    </a:xfrm>
                    <a:prstGeom prst="rect">
                      <a:avLst/>
                    </a:prstGeom>
                    <a:noFill/>
                    <a:ln w="9525">
                      <a:noFill/>
                      <a:miter lim="800000"/>
                      <a:headEnd/>
                      <a:tailEnd/>
                    </a:ln>
                  </pic:spPr>
                </pic:pic>
              </a:graphicData>
            </a:graphic>
          </wp:inline>
        </w:drawing>
      </w:r>
    </w:p>
    <w:p>
      <w:pPr>
        <w:pStyle w:val="202"/>
        <w:spacing w:line="320" w:lineRule="exact"/>
      </w:pPr>
      <w:r>
        <w:object>
          <v:shape id="_x0000_i1061" o:spt="75" type="#_x0000_t75" style="height:18.75pt;width:18.75pt;" o:ole="t" filled="f" o:preferrelative="t" stroked="f" coordsize="21600,21600">
            <v:path/>
            <v:fill on="f" focussize="0,0"/>
            <v:stroke on="f" joinstyle="miter"/>
            <v:imagedata r:id="rId63" o:title=""/>
            <o:lock v:ext="edit" aspectratio="t"/>
            <w10:wrap type="none"/>
            <w10:anchorlock/>
          </v:shape>
          <o:OLEObject Type="Embed" ProgID="Equation.3" ShapeID="_x0000_i1061" DrawAspect="Content" ObjectID="_1468075761" r:id="rId93">
            <o:LockedField>false</o:LockedField>
          </o:OLEObject>
        </w:object>
      </w:r>
      <w:r>
        <w:rPr>
          <w:rFonts w:hint="eastAsia"/>
        </w:rPr>
        <w:t>—脚手架</w:t>
      </w:r>
      <w:r>
        <w:t>内立杆轴向力设计值；</w:t>
      </w:r>
      <w:r>
        <w:object>
          <v:shape id="_x0000_i1062" o:spt="75" type="#_x0000_t75" style="height:18.75pt;width:18.75pt;" o:ole="t" filled="f" o:preferrelative="t" stroked="f" coordsize="21600,21600">
            <v:path/>
            <v:fill on="f" focussize="0,0"/>
            <v:stroke on="f" joinstyle="miter"/>
            <v:imagedata r:id="rId65" o:title=""/>
            <o:lock v:ext="edit" aspectratio="t"/>
            <w10:wrap type="none"/>
            <w10:anchorlock/>
          </v:shape>
          <o:OLEObject Type="Embed" ProgID="Equation.3" ShapeID="_x0000_i1062" DrawAspect="Content" ObjectID="_1468075762" r:id="rId94">
            <o:LockedField>false</o:LockedField>
          </o:OLEObject>
        </w:object>
      </w:r>
      <w:r>
        <w:t>—</w:t>
      </w:r>
      <w:r>
        <w:rPr>
          <w:rFonts w:hint="eastAsia"/>
        </w:rPr>
        <w:t>脚手架</w:t>
      </w:r>
      <w:r>
        <w:t>外立杆轴向设计值；</w:t>
      </w:r>
      <w:r>
        <w:object>
          <v:shape id="_x0000_i1063" o:spt="75" type="#_x0000_t75" style="height:12pt;width:9.75pt;" o:ole="t" filled="f" o:preferrelative="t" stroked="f" coordsize="21600,21600">
            <v:path/>
            <v:fill on="f" focussize="0,0"/>
            <v:stroke on="f" joinstyle="miter"/>
            <v:imagedata r:id="rId67" o:title=""/>
            <o:lock v:ext="edit" aspectratio="t"/>
            <w10:wrap type="none"/>
            <w10:anchorlock/>
          </v:shape>
          <o:OLEObject Type="Embed" ProgID="Equation.3" ShapeID="_x0000_i1063" DrawAspect="Content" ObjectID="_1468075763" r:id="rId95">
            <o:LockedField>false</o:LockedField>
          </o:OLEObject>
        </w:object>
      </w:r>
      <w:r>
        <w:t>—</w:t>
      </w:r>
      <w:r>
        <w:rPr>
          <w:rFonts w:hint="eastAsia"/>
        </w:rPr>
        <w:t>型钢</w:t>
      </w:r>
      <w:r>
        <w:t>梁自重线荷载</w:t>
      </w:r>
      <w:r>
        <w:rPr>
          <w:rFonts w:hint="eastAsia"/>
        </w:rPr>
        <w:t>设计</w:t>
      </w:r>
      <w:r>
        <w:t xml:space="preserve">值； </w:t>
      </w:r>
      <w:r>
        <w:object>
          <v:shape id="_x0000_i1064" o:spt="75" type="#_x0000_t75" style="height:18.75pt;width:15pt;" o:ole="t" filled="f" o:preferrelative="t" stroked="f" coordsize="21600,21600">
            <v:path/>
            <v:fill on="f" focussize="0,0"/>
            <v:stroke on="f" joinstyle="miter"/>
            <v:imagedata r:id="rId71" o:title=""/>
            <o:lock v:ext="edit" aspectratio="t"/>
            <w10:wrap type="none"/>
            <w10:anchorlock/>
          </v:shape>
          <o:OLEObject Type="Embed" ProgID="Equation.3" ShapeID="_x0000_i1064" DrawAspect="Content" ObjectID="_1468075764" r:id="rId96">
            <o:LockedField>false</o:LockedField>
          </o:OLEObject>
        </w:object>
      </w:r>
      <w:r>
        <w:t>—</w:t>
      </w:r>
      <w:r>
        <w:rPr>
          <w:rFonts w:hint="eastAsia"/>
        </w:rPr>
        <w:t>悬挑</w:t>
      </w:r>
      <w:r>
        <w:t>承力钢梁悬挑端面至建筑主体结构支撑点的距离；</w:t>
      </w:r>
      <w:r>
        <w:object>
          <v:shape id="_x0000_i1065" o:spt="75" type="#_x0000_t75" style="height:18.75pt;width:15pt;" o:ole="t" filled="f" o:preferrelative="t" stroked="f" coordsize="21600,21600">
            <v:path/>
            <v:fill on="f" focussize="0,0"/>
            <v:stroke on="f" joinstyle="miter"/>
            <v:imagedata r:id="rId73" o:title=""/>
            <o:lock v:ext="edit" aspectratio="t"/>
            <w10:wrap type="none"/>
            <w10:anchorlock/>
          </v:shape>
          <o:OLEObject Type="Embed" ProgID="Equation.3" ShapeID="_x0000_i1065" DrawAspect="Content" ObjectID="_1468075765" r:id="rId97">
            <o:LockedField>false</o:LockedField>
          </o:OLEObject>
        </w:object>
      </w:r>
      <w:r>
        <w:t>—</w:t>
      </w:r>
      <w:r>
        <w:rPr>
          <w:rFonts w:hint="eastAsia"/>
        </w:rPr>
        <w:t>脚手架</w:t>
      </w:r>
      <w:r>
        <w:t>外立杆至建筑主体结构支撑点的距离；</w:t>
      </w:r>
      <w:r>
        <w:object>
          <v:shape id="_x0000_i1066" o:spt="75" type="#_x0000_t75" style="height:18.75pt;width:15pt;" o:ole="t" filled="f" o:preferrelative="t" stroked="f" coordsize="21600,21600">
            <v:path/>
            <v:fill on="f" focussize="0,0"/>
            <v:stroke on="f" joinstyle="miter"/>
            <v:imagedata r:id="rId75" o:title=""/>
            <o:lock v:ext="edit" aspectratio="t"/>
            <w10:wrap type="none"/>
            <w10:anchorlock/>
          </v:shape>
          <o:OLEObject Type="Embed" ProgID="Equation.3" ShapeID="_x0000_i1066" DrawAspect="Content" ObjectID="_1468075766" r:id="rId98">
            <o:LockedField>false</o:LockedField>
          </o:OLEObject>
        </w:object>
      </w:r>
      <w:r>
        <w:t>—</w:t>
      </w:r>
      <w:r>
        <w:rPr>
          <w:rFonts w:hint="eastAsia"/>
        </w:rPr>
        <w:t>脚手架</w:t>
      </w:r>
      <w:r>
        <w:t>内立杆</w:t>
      </w:r>
      <w:r>
        <w:rPr>
          <w:rFonts w:hint="eastAsia"/>
        </w:rPr>
        <w:t>至</w:t>
      </w:r>
      <w:r>
        <w:t>建筑主体结构支撑点的距离</w:t>
      </w:r>
      <w:r>
        <w:rPr>
          <w:rFonts w:hint="eastAsia"/>
        </w:rPr>
        <w:t>。</w:t>
      </w:r>
    </w:p>
    <w:p>
      <w:pPr>
        <w:pStyle w:val="263"/>
        <w:numPr>
          <w:ilvl w:val="0"/>
          <w:numId w:val="17"/>
        </w:numPr>
        <w:spacing w:before="156" w:after="156"/>
        <w:ind w:left="0"/>
      </w:pPr>
      <w:r>
        <w:rPr>
          <w:rFonts w:hint="eastAsia"/>
        </w:rPr>
        <w:t>底部承力架为斜拉式悬挑承力钢梁的计算示意图</w:t>
      </w:r>
    </w:p>
    <w:p>
      <w:pPr>
        <w:pStyle w:val="188"/>
        <w:ind w:left="0"/>
      </w:pPr>
      <w:r>
        <w:rPr>
          <w:rFonts w:hint="eastAsia"/>
        </w:rPr>
        <w:t>悬挑梁设计计算时，支承点的选择应符合下列规定：</w:t>
      </w:r>
    </w:p>
    <w:p>
      <w:pPr>
        <w:pStyle w:val="79"/>
        <w:ind w:firstLine="420"/>
        <w:rPr>
          <w:rFonts w:hAnsi="宋体"/>
        </w:rPr>
      </w:pPr>
      <w:r>
        <w:rPr>
          <w:rFonts w:hint="eastAsia"/>
        </w:rPr>
        <w:t>a）</w:t>
      </w:r>
      <w:r>
        <w:rPr>
          <w:rFonts w:hint="eastAsia" w:hAnsi="宋体"/>
        </w:rPr>
        <w:t>悬挑梁搁置于建筑楼面结构时，支承点位置应取主体结构外边缘向内</w:t>
      </w:r>
      <w:r>
        <w:rPr>
          <w:rFonts w:hAnsi="宋体"/>
        </w:rPr>
        <w:t>100mm</w:t>
      </w:r>
      <w:r>
        <w:rPr>
          <w:rFonts w:hint="eastAsia" w:hAnsi="宋体"/>
        </w:rPr>
        <w:t>。</w:t>
      </w:r>
    </w:p>
    <w:p>
      <w:pPr>
        <w:pStyle w:val="79"/>
        <w:ind w:firstLine="420"/>
        <w:rPr>
          <w:rFonts w:hAnsi="宋体"/>
        </w:rPr>
      </w:pPr>
      <w:r>
        <w:rPr>
          <w:rFonts w:hint="eastAsia"/>
        </w:rPr>
        <w:t>b）</w:t>
      </w:r>
      <w:r>
        <w:rPr>
          <w:rFonts w:hint="eastAsia" w:hAnsi="宋体"/>
        </w:rPr>
        <w:t>悬挑梁与主体结构外侧面连接时，支承点应取实际连接位置。</w:t>
      </w:r>
    </w:p>
    <w:p>
      <w:pPr>
        <w:pStyle w:val="128"/>
        <w:spacing w:before="156" w:after="156"/>
      </w:pPr>
      <w:bookmarkStart w:id="91" w:name="_Toc106092170"/>
      <w:bookmarkStart w:id="92" w:name="_Toc106095438"/>
      <w:r>
        <w:rPr>
          <w:rFonts w:hint="eastAsia"/>
        </w:rPr>
        <w:t>架体设计</w:t>
      </w:r>
      <w:bookmarkEnd w:id="91"/>
      <w:bookmarkEnd w:id="92"/>
    </w:p>
    <w:p>
      <w:pPr>
        <w:pStyle w:val="79"/>
        <w:ind w:firstLine="420"/>
        <w:rPr>
          <w:rFonts w:hAnsi="宋体"/>
        </w:rPr>
      </w:pPr>
      <w:r>
        <w:rPr>
          <w:rFonts w:hint="eastAsia" w:hAnsi="宋体"/>
        </w:rPr>
        <w:t>上部脚手架架体的设计计算，应按照《建筑</w:t>
      </w:r>
      <w:r>
        <w:rPr>
          <w:rFonts w:hAnsi="宋体"/>
        </w:rPr>
        <w:t>施工扣件式钢管脚手架安全技术规范</w:t>
      </w:r>
      <w:r>
        <w:rPr>
          <w:rFonts w:hint="eastAsia" w:hAnsi="宋体"/>
        </w:rPr>
        <w:t>》</w:t>
      </w:r>
      <w:r>
        <w:rPr>
          <w:rFonts w:hAnsi="宋体"/>
        </w:rPr>
        <w:t>JGJ130</w:t>
      </w:r>
      <w:r>
        <w:rPr>
          <w:rFonts w:hint="eastAsia" w:hAnsi="宋体"/>
        </w:rPr>
        <w:t>和《</w:t>
      </w:r>
      <w:r>
        <w:rPr>
          <w:rFonts w:hint="eastAsia" w:hAnsi="宋体"/>
          <w:bCs/>
        </w:rPr>
        <w:t>建筑施工承插型盘扣式钢管脚手架安全技术标准</w:t>
      </w:r>
      <w:r>
        <w:rPr>
          <w:rFonts w:hint="eastAsia" w:hAnsi="宋体"/>
        </w:rPr>
        <w:t>》</w:t>
      </w:r>
      <w:r>
        <w:rPr>
          <w:rFonts w:hAnsi="宋体"/>
        </w:rPr>
        <w:t>JGJ</w:t>
      </w:r>
      <w:r>
        <w:rPr>
          <w:rFonts w:hint="eastAsia" w:hAnsi="宋体"/>
        </w:rPr>
        <w:t>2</w:t>
      </w:r>
      <w:r>
        <w:rPr>
          <w:rFonts w:hAnsi="宋体"/>
        </w:rPr>
        <w:t>30的规定进行</w:t>
      </w:r>
      <w:r>
        <w:rPr>
          <w:rFonts w:hint="eastAsia" w:hAnsi="宋体"/>
        </w:rPr>
        <w:t>。</w:t>
      </w:r>
    </w:p>
    <w:p>
      <w:pPr>
        <w:pStyle w:val="127"/>
        <w:spacing w:before="312" w:after="312"/>
      </w:pPr>
      <w:bookmarkStart w:id="93" w:name="_Toc40694691"/>
      <w:bookmarkStart w:id="94" w:name="_Toc40636259"/>
      <w:bookmarkStart w:id="95" w:name="_Toc40626474"/>
      <w:bookmarkStart w:id="96" w:name="_Toc106092171"/>
      <w:bookmarkStart w:id="97" w:name="_Toc106095439"/>
      <w:r>
        <w:t>施工</w:t>
      </w:r>
      <w:bookmarkEnd w:id="93"/>
      <w:bookmarkEnd w:id="94"/>
      <w:bookmarkEnd w:id="95"/>
      <w:bookmarkEnd w:id="96"/>
      <w:bookmarkEnd w:id="97"/>
    </w:p>
    <w:p>
      <w:pPr>
        <w:pStyle w:val="128"/>
        <w:spacing w:before="156" w:after="156"/>
      </w:pPr>
      <w:bookmarkStart w:id="98" w:name="_Toc106095440"/>
      <w:bookmarkStart w:id="99" w:name="_Toc106092172"/>
      <w:r>
        <w:t>施工准备</w:t>
      </w:r>
      <w:bookmarkEnd w:id="98"/>
      <w:bookmarkEnd w:id="99"/>
    </w:p>
    <w:p>
      <w:pPr>
        <w:pStyle w:val="188"/>
        <w:ind w:left="0"/>
      </w:pPr>
      <w:r>
        <w:t>悬挑式脚手架搭设前，应编制专项施工方案，专项施工方案应由施工单位组织专业技术人员编制，施工单位技术负责人审核。当悬挑脚手架搭设高度在20m及以上时，应由施工单位组织召开专家论证会对该施工方案进行专项论证。</w:t>
      </w:r>
    </w:p>
    <w:p>
      <w:pPr>
        <w:pStyle w:val="188"/>
        <w:ind w:left="0"/>
      </w:pPr>
      <w:r>
        <w:t>悬挑式脚手架搭设前，应对施工人员进行技术交底。</w:t>
      </w:r>
    </w:p>
    <w:p>
      <w:pPr>
        <w:pStyle w:val="188"/>
        <w:ind w:left="0"/>
      </w:pPr>
      <w:r>
        <w:t>悬挑式脚手架搭设前，应按照专项施工方案要求,制作、安装预埋铁件和预埋螺栓,并进行隐蔽工程验收，隐蔽验收合格后方能进行悬挑式脚手架搭设。</w:t>
      </w:r>
    </w:p>
    <w:p>
      <w:pPr>
        <w:pStyle w:val="188"/>
        <w:ind w:left="0"/>
      </w:pPr>
      <w:r>
        <w:t>经检验合格的构配件应按品种、规格分类,堆放整齐、平稳,堆放场地不得有积水。</w:t>
      </w:r>
    </w:p>
    <w:p>
      <w:pPr>
        <w:pStyle w:val="188"/>
        <w:ind w:left="0"/>
      </w:pPr>
      <w:r>
        <w:t>悬挑式脚手架的钢管、扣件、预埋螺栓和悬挑梁等应做好涂油防腐处理。</w:t>
      </w:r>
    </w:p>
    <w:p>
      <w:pPr>
        <w:pStyle w:val="188"/>
        <w:ind w:left="0"/>
      </w:pPr>
      <w:r>
        <w:t>悬挑梁、脚手架搭设及连墙件安装时，对应主体结构混凝土强度不应低于15MPa。</w:t>
      </w:r>
    </w:p>
    <w:p>
      <w:pPr>
        <w:pStyle w:val="128"/>
        <w:spacing w:before="156" w:after="156"/>
        <w:rPr>
          <w:rStyle w:val="259"/>
          <w:rFonts w:hint="default" w:ascii="宋体" w:hAnsi="宋体" w:eastAsia="宋体"/>
          <w:sz w:val="21"/>
          <w:szCs w:val="21"/>
        </w:rPr>
      </w:pPr>
      <w:bookmarkStart w:id="100" w:name="_Toc106095441"/>
      <w:r>
        <w:rPr>
          <w:rStyle w:val="259"/>
          <w:rFonts w:hint="default" w:ascii="宋体" w:hAnsi="宋体" w:eastAsia="宋体"/>
          <w:sz w:val="21"/>
          <w:szCs w:val="21"/>
        </w:rPr>
        <w:t>安装</w:t>
      </w:r>
      <w:bookmarkEnd w:id="100"/>
    </w:p>
    <w:p>
      <w:pPr>
        <w:pStyle w:val="188"/>
        <w:ind w:left="0"/>
      </w:pPr>
      <w:r>
        <w:t>悬挑式脚手架安装搭设时，必须分工明确，统一指挥。</w:t>
      </w:r>
    </w:p>
    <w:p>
      <w:pPr>
        <w:pStyle w:val="188"/>
        <w:ind w:left="0"/>
      </w:pPr>
      <w:r>
        <w:t>安装搭设作业应有可靠的防护措施,防止人员、物料坠落。</w:t>
      </w:r>
    </w:p>
    <w:p>
      <w:pPr>
        <w:pStyle w:val="188"/>
        <w:ind w:left="0"/>
      </w:pPr>
      <w:r>
        <w:t>悬挑梁应按安全专项施工方案要求准确就位、安装牢固，安装过程中应随时检查构件型号、规格、安装位置的准确性和螺栓紧固及焊接质量。</w:t>
      </w:r>
    </w:p>
    <w:p>
      <w:pPr>
        <w:pStyle w:val="188"/>
        <w:ind w:left="0"/>
      </w:pPr>
      <w:r>
        <w:t>脚手架搭设应配合施工进度进行，一次搭设高度不应超过两步。</w:t>
      </w:r>
    </w:p>
    <w:p>
      <w:pPr>
        <w:pStyle w:val="188"/>
        <w:ind w:left="0"/>
      </w:pPr>
      <w:r>
        <w:t>连墙件的安装宜随悬挑式脚手架搭设同步进行。</w:t>
      </w:r>
    </w:p>
    <w:p>
      <w:pPr>
        <w:pStyle w:val="188"/>
        <w:ind w:left="0"/>
      </w:pPr>
      <w:r>
        <w:t>悬挑式脚手架的剪刀撑和斜撑，应随立杆、纵向和横向水平杆等同步搭设</w:t>
      </w:r>
      <w:r>
        <w:rPr>
          <w:rFonts w:hint="eastAsia"/>
        </w:rPr>
        <w:t>。</w:t>
      </w:r>
    </w:p>
    <w:p>
      <w:pPr>
        <w:pStyle w:val="188"/>
        <w:ind w:left="0"/>
      </w:pPr>
      <w:r>
        <w:t>每搭完一步悬挑式脚手架后，应及时校正步距、纵距、横距和立杆垂直度。</w:t>
      </w:r>
    </w:p>
    <w:p>
      <w:pPr>
        <w:pStyle w:val="188"/>
        <w:ind w:left="0"/>
      </w:pPr>
      <w:r>
        <w:rPr>
          <w:rFonts w:hint="eastAsia"/>
        </w:rPr>
        <w:t>悬挑承力架安装应符合下列规定：</w:t>
      </w:r>
    </w:p>
    <w:p>
      <w:pPr>
        <w:pStyle w:val="79"/>
        <w:ind w:firstLine="420"/>
      </w:pPr>
      <w:r>
        <w:rPr>
          <w:rFonts w:hint="eastAsia"/>
        </w:rPr>
        <w:t>a）悬挑承力架应按设计的施工平面布置图准确就位，安装牢固，安装过程中应随时检查构件型号、规格、安装位置的准确性和螺栓的紧固及焊接质量。</w:t>
      </w:r>
    </w:p>
    <w:p>
      <w:pPr>
        <w:pStyle w:val="79"/>
        <w:ind w:firstLine="420"/>
      </w:pPr>
      <w:r>
        <w:rPr>
          <w:rFonts w:hint="eastAsia"/>
        </w:rPr>
        <w:t>b）悬挑梁安装过程应有可靠的防止人员、物料坠落的措施。</w:t>
      </w:r>
    </w:p>
    <w:p>
      <w:pPr>
        <w:pStyle w:val="79"/>
        <w:ind w:firstLine="420"/>
      </w:pPr>
      <w:r>
        <w:rPr>
          <w:rFonts w:hint="eastAsia"/>
        </w:rPr>
        <w:t>c）悬挑梁安装前应做好螺纹丝帽等精密件的检查和保护，可取出部件使用前宜采取涂油等保护措施。</w:t>
      </w:r>
    </w:p>
    <w:p>
      <w:pPr>
        <w:pStyle w:val="79"/>
        <w:ind w:firstLine="420"/>
      </w:pPr>
      <w:r>
        <w:rPr>
          <w:rFonts w:hint="eastAsia"/>
        </w:rPr>
        <w:t>d）楼板、外墙预埋螺栓宜采用在楼板、外墙模板上定位出螺栓预埋位置并将螺栓牢固于楼板、外墙结构钢筋及模板的定位和安装方式；穿板、穿墙螺栓既可采用在楼板、外墙模板上定位出螺栓套筒预埋位置并将螺栓套筒牢固于楼板、外墙结构钢筋后期再穿螺栓的定位和安装方式，也可以采用不预埋后期在结构楼板、外墙钻孔的定位和安装方式。</w:t>
      </w:r>
    </w:p>
    <w:p>
      <w:pPr>
        <w:pStyle w:val="79"/>
        <w:ind w:firstLine="420"/>
      </w:pPr>
      <w:r>
        <w:rPr>
          <w:rFonts w:hint="eastAsia"/>
        </w:rPr>
        <w:t>e）悬挑梁宜通过吊装就位，工人进行悬挑梁外部连接件的连接固定时需对标高、水平偏移、平整度等定位和校正</w:t>
      </w:r>
      <w:r>
        <w:t>。</w:t>
      </w:r>
    </w:p>
    <w:p>
      <w:pPr>
        <w:pStyle w:val="79"/>
        <w:ind w:firstLine="420"/>
      </w:pPr>
      <w:r>
        <w:rPr>
          <w:rFonts w:hint="eastAsia"/>
        </w:rPr>
        <w:t>f）侧墙预埋螺杆与</w:t>
      </w:r>
      <w:r>
        <w:t>螺母</w:t>
      </w:r>
      <w:r>
        <w:rPr>
          <w:rFonts w:hint="eastAsia"/>
        </w:rPr>
        <w:t>连接固定时，螺母</w:t>
      </w:r>
      <w:r>
        <w:t>拧紧力矩不</w:t>
      </w:r>
      <w:r>
        <w:rPr>
          <w:rFonts w:hint="eastAsia"/>
        </w:rPr>
        <w:t>应小于4</w:t>
      </w:r>
      <w:r>
        <w:t>0N</w:t>
      </w:r>
      <w:r>
        <w:rPr>
          <w:rFonts w:hAnsi="宋体"/>
        </w:rPr>
        <w:t>·</w:t>
      </w:r>
      <w:r>
        <w:t>m</w:t>
      </w:r>
      <w:r>
        <w:rPr>
          <w:rFonts w:hint="eastAsia"/>
        </w:rPr>
        <w:t>，且不宜大于6</w:t>
      </w:r>
      <w:r>
        <w:t>0N</w:t>
      </w:r>
      <w:r>
        <w:rPr>
          <w:rFonts w:hAnsi="宋体"/>
        </w:rPr>
        <w:t>·</w:t>
      </w:r>
      <w:r>
        <w:t>m</w:t>
      </w:r>
      <w:r>
        <w:rPr>
          <w:rFonts w:hint="eastAsia"/>
        </w:rPr>
        <w:t>，避免因预紧力造成对初期混凝土的破坏。</w:t>
      </w:r>
    </w:p>
    <w:p>
      <w:pPr>
        <w:pStyle w:val="188"/>
        <w:ind w:left="0"/>
      </w:pPr>
      <w:r>
        <w:rPr>
          <w:rFonts w:hint="eastAsia"/>
        </w:rPr>
        <w:t>扣件式钢管脚手架</w:t>
      </w:r>
      <w:r>
        <w:t>立杆搭设应符合下列规定</w:t>
      </w:r>
      <w:r>
        <w:rPr>
          <w:rFonts w:hint="eastAsia"/>
        </w:rPr>
        <w:t>：</w:t>
      </w:r>
    </w:p>
    <w:p>
      <w:pPr>
        <w:pStyle w:val="79"/>
        <w:ind w:firstLine="420"/>
      </w:pPr>
      <w:r>
        <w:rPr>
          <w:rFonts w:hint="eastAsia"/>
        </w:rPr>
        <w:t>a）内立杆距离结构外缘的距离宜为300mm，立杆的横向间距宜为700～900mm，立杆纵向间距不大于1500mm，步距不大于1800mm。</w:t>
      </w:r>
    </w:p>
    <w:p>
      <w:pPr>
        <w:pStyle w:val="79"/>
        <w:ind w:firstLine="420"/>
      </w:pPr>
      <w:r>
        <w:rPr>
          <w:rFonts w:hint="eastAsia"/>
        </w:rPr>
        <w:t>b）脚手架搭设前务必进行立杆排布，结构阴阳角位置须保证四根立杆，中间立杆按照均分且≤1500mm布置。</w:t>
      </w:r>
    </w:p>
    <w:p>
      <w:pPr>
        <w:pStyle w:val="79"/>
        <w:ind w:firstLine="420"/>
      </w:pPr>
      <w:r>
        <w:rPr>
          <w:rFonts w:hint="eastAsia"/>
        </w:rPr>
        <w:t>c）立杆宜交替搭设。立杆接长除顶层顶步外，其余各层各步接头必须采用对接扣件连接。</w:t>
      </w:r>
    </w:p>
    <w:p>
      <w:pPr>
        <w:pStyle w:val="79"/>
        <w:ind w:firstLine="420"/>
      </w:pPr>
      <w:r>
        <w:rPr>
          <w:rFonts w:hint="eastAsia"/>
        </w:rPr>
        <w:t>d） 当立杆采用对接接长时，立杆的对接扣件应交错布置，两根相邻立杆的接头不应设置在同步内，同步内隔一根立杆的两个相隔接头在高度方向错开的距离不宜小于500mm；各接头中心至主节点的距离不宜大于步距的1/3。</w:t>
      </w:r>
    </w:p>
    <w:p>
      <w:pPr>
        <w:pStyle w:val="79"/>
        <w:ind w:firstLine="420"/>
      </w:pPr>
      <w:r>
        <w:rPr>
          <w:rFonts w:hint="eastAsia"/>
        </w:rPr>
        <w:t>e）脚手架立杆顶端栏杆宜高出檐口上端1.2m。</w:t>
      </w:r>
    </w:p>
    <w:p>
      <w:pPr>
        <w:pStyle w:val="188"/>
        <w:ind w:left="0"/>
      </w:pPr>
      <w:r>
        <w:rPr>
          <w:rFonts w:hint="eastAsia"/>
        </w:rPr>
        <w:t>扣件式钢管脚手架</w:t>
      </w:r>
      <w:r>
        <w:t>纵向水平杆的搭设应符合下列规定</w:t>
      </w:r>
      <w:r>
        <w:rPr>
          <w:rFonts w:hint="eastAsia"/>
        </w:rPr>
        <w:t>：</w:t>
      </w:r>
    </w:p>
    <w:p>
      <w:pPr>
        <w:pStyle w:val="79"/>
        <w:ind w:firstLine="420"/>
      </w:pPr>
      <w:r>
        <w:rPr>
          <w:rFonts w:hint="eastAsia"/>
        </w:rPr>
        <w:t>a）</w:t>
      </w:r>
      <w:r>
        <w:t>悬挑式脚手架纵向水平杆应随立杆按步搭设</w:t>
      </w:r>
      <w:r>
        <w:rPr>
          <w:rFonts w:hint="eastAsia"/>
        </w:rPr>
        <w:t>，</w:t>
      </w:r>
      <w:r>
        <w:t>并应采用直角扣件将其固定在立杆内侧</w:t>
      </w:r>
      <w:r>
        <w:rPr>
          <w:rFonts w:hint="eastAsia"/>
        </w:rPr>
        <w:t>，</w:t>
      </w:r>
      <w:r>
        <w:t>单根杆长度不应小于3跨。</w:t>
      </w:r>
    </w:p>
    <w:p>
      <w:pPr>
        <w:pStyle w:val="79"/>
        <w:ind w:firstLine="420"/>
      </w:pPr>
      <w:r>
        <w:rPr>
          <w:rFonts w:hint="eastAsia"/>
        </w:rPr>
        <w:t>b）</w:t>
      </w:r>
      <w:r>
        <w:t>两根相邻纵向水平杆的接头不应设置在同步或同跨内</w:t>
      </w:r>
      <w:r>
        <w:rPr>
          <w:rFonts w:hint="eastAsia"/>
        </w:rPr>
        <w:t>；</w:t>
      </w:r>
      <w:r>
        <w:t>不同步或不同跨两个相邻接头在水平方向错开的距离不应小于500 mm；各接头中心至最近主节点的距离不应大于纵距的1/3</w:t>
      </w:r>
      <w:r>
        <w:rPr>
          <w:rFonts w:hint="eastAsia"/>
        </w:rPr>
        <w:t>，</w:t>
      </w:r>
      <w:r>
        <w:t>如图</w:t>
      </w:r>
      <w:r>
        <w:rPr>
          <w:rFonts w:hint="eastAsia"/>
        </w:rPr>
        <w:t>14所示。</w:t>
      </w:r>
    </w:p>
    <w:p>
      <w:pPr>
        <w:pStyle w:val="79"/>
        <w:ind w:firstLine="420"/>
      </w:pPr>
      <w:r>
        <w:rPr>
          <w:rFonts w:hint="eastAsia"/>
        </w:rPr>
        <w:t>c）</w:t>
      </w:r>
      <w:r>
        <w:t>两根相邻纵向水平杆搭接长度不应小于1m</w:t>
      </w:r>
      <w:r>
        <w:rPr>
          <w:rFonts w:hint="eastAsia"/>
        </w:rPr>
        <w:t>，</w:t>
      </w:r>
      <w:r>
        <w:t>应等间距设置</w:t>
      </w:r>
      <w:r>
        <w:rPr>
          <w:rFonts w:hint="eastAsia"/>
        </w:rPr>
        <w:t>3</w:t>
      </w:r>
      <w:r>
        <w:t>个旋转扣件固定;端部扣件盖板边缘至搭接纵向水平杆杆端的距离不应小于100 mm</w:t>
      </w:r>
      <w:r>
        <w:rPr>
          <w:rFonts w:hint="eastAsia"/>
        </w:rPr>
        <w:t>。</w:t>
      </w:r>
    </w:p>
    <w:p>
      <w:pPr>
        <w:pStyle w:val="79"/>
        <w:ind w:firstLine="420"/>
      </w:pPr>
      <w:r>
        <w:rPr>
          <w:rFonts w:hint="eastAsia"/>
        </w:rPr>
        <w:t>d）</w:t>
      </w:r>
      <w:r>
        <w:t>当使用冲压钢脚手板、木脚手板、竹串片脚手板时，纵向水平杆应作为横向水平杆的支座，用直角扣件固定在立杆上</w:t>
      </w:r>
      <w:r>
        <w:rPr>
          <w:rFonts w:hint="eastAsia"/>
        </w:rPr>
        <w:t>；</w:t>
      </w:r>
      <w:r>
        <w:t>当使用竹笆</w:t>
      </w:r>
      <w:r>
        <w:rPr>
          <w:rFonts w:hint="eastAsia"/>
        </w:rPr>
        <w:t>、钢笆</w:t>
      </w:r>
      <w:r>
        <w:t>脚手板时，纵向水平杆应采用直角扣件固定在横向水平杆上</w:t>
      </w:r>
      <w:r>
        <w:rPr>
          <w:rFonts w:hint="eastAsia"/>
        </w:rPr>
        <w:t>，</w:t>
      </w:r>
      <w:r>
        <w:t>并应等间距设置</w:t>
      </w:r>
      <w:r>
        <w:rPr>
          <w:rFonts w:hint="eastAsia"/>
        </w:rPr>
        <w:t>，</w:t>
      </w:r>
      <w:r>
        <w:t>间距不应大于400 mm</w:t>
      </w:r>
      <w:r>
        <w:rPr>
          <w:rFonts w:hint="eastAsia"/>
        </w:rPr>
        <w:t>，</w:t>
      </w:r>
      <w:r>
        <w:t>如图</w:t>
      </w:r>
      <w:r>
        <w:rPr>
          <w:rFonts w:hint="eastAsia"/>
        </w:rPr>
        <w:t>15所示</w:t>
      </w:r>
      <w:r>
        <w:t>。</w:t>
      </w:r>
    </w:p>
    <w:p>
      <w:pPr>
        <w:pStyle w:val="79"/>
        <w:ind w:firstLine="420"/>
      </w:pPr>
      <w:r>
        <w:rPr>
          <w:rFonts w:hint="eastAsia"/>
        </w:rPr>
        <w:t>e）</w:t>
      </w:r>
      <w:r>
        <w:t>在封闭型脚手架的同一步中，纵向水平杆应四周交圈设置，并应用直角扣件与内外角部立杆固定。</w:t>
      </w:r>
    </w:p>
    <w:p>
      <w:pPr>
        <w:pStyle w:val="79"/>
        <w:ind w:firstLine="420"/>
      </w:pPr>
      <w:r>
        <w:rPr>
          <w:rFonts w:hint="eastAsia"/>
        </w:rPr>
        <w:t>f）</w:t>
      </w:r>
      <w:r>
        <w:t>搭设的纵向水平杆在水平方向上两端的高差不大于</w:t>
      </w:r>
      <w:r>
        <w:rPr>
          <w:rFonts w:hint="eastAsia"/>
        </w:rPr>
        <w:t>L</w:t>
      </w:r>
      <w:r>
        <w:rPr>
          <w:rFonts w:hint="eastAsia"/>
          <w:vertAlign w:val="subscript"/>
        </w:rPr>
        <w:t>0</w:t>
      </w:r>
      <w:r>
        <w:t>/400</w:t>
      </w:r>
      <w:r>
        <w:rPr>
          <w:rFonts w:hint="eastAsia"/>
        </w:rPr>
        <w:t>，</w:t>
      </w:r>
      <w:r>
        <w:t>其中</w:t>
      </w:r>
      <w:r>
        <w:rPr>
          <w:rFonts w:hint="eastAsia"/>
        </w:rPr>
        <w:t>L</w:t>
      </w:r>
      <w:r>
        <w:rPr>
          <w:rFonts w:hint="eastAsia"/>
          <w:vertAlign w:val="subscript"/>
        </w:rPr>
        <w:t>0</w:t>
      </w:r>
      <w:r>
        <w:t>为杆段跨度。</w:t>
      </w:r>
    </w:p>
    <w:p>
      <w:pPr>
        <w:pStyle w:val="260"/>
        <w:spacing w:before="156" w:after="156"/>
        <w:ind w:left="839" w:hanging="419"/>
        <w:jc w:val="center"/>
        <w:rPr>
          <w:rStyle w:val="259"/>
          <w:rFonts w:hint="default" w:ascii="宋体" w:hAnsi="Times New Roman" w:eastAsia="宋体"/>
          <w:sz w:val="21"/>
          <w:szCs w:val="20"/>
        </w:rPr>
      </w:pPr>
      <w:r>
        <w:rPr>
          <w:rFonts w:hint="eastAsia"/>
        </w:rPr>
        <w:drawing>
          <wp:inline distT="0" distB="0" distL="0" distR="0">
            <wp:extent cx="1762760" cy="1780540"/>
            <wp:effectExtent l="0" t="0" r="8890" b="0"/>
            <wp:docPr id="28" name="图片 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true" noChangeArrowheads="true"/>
                    </pic:cNvPicPr>
                  </pic:nvPicPr>
                  <pic:blipFill>
                    <a:blip r:embed="rId99">
                      <a:extLst>
                        <a:ext uri="{28A0092B-C50C-407E-A947-70E740481C1C}">
                          <a14:useLocalDpi xmlns:a14="http://schemas.microsoft.com/office/drawing/2010/main" val="false"/>
                        </a:ext>
                      </a:extLst>
                    </a:blip>
                    <a:srcRect/>
                    <a:stretch>
                      <a:fillRect/>
                    </a:stretch>
                  </pic:blipFill>
                  <pic:spPr>
                    <a:xfrm>
                      <a:off x="0" y="0"/>
                      <a:ext cx="1762760" cy="1780540"/>
                    </a:xfrm>
                    <a:prstGeom prst="rect">
                      <a:avLst/>
                    </a:prstGeom>
                    <a:noFill/>
                    <a:ln>
                      <a:noFill/>
                    </a:ln>
                  </pic:spPr>
                </pic:pic>
              </a:graphicData>
            </a:graphic>
          </wp:inline>
        </w:drawing>
      </w:r>
    </w:p>
    <w:p>
      <w:pPr>
        <w:pStyle w:val="202"/>
        <w:jc w:val="center"/>
      </w:pPr>
      <w:r>
        <w:rPr>
          <w:rFonts w:hint="eastAsia"/>
        </w:rPr>
        <w:t>1一立杆；2一纵向水平杆；3一横向水平杆</w:t>
      </w:r>
    </w:p>
    <w:p>
      <w:pPr>
        <w:pStyle w:val="263"/>
        <w:numPr>
          <w:ilvl w:val="0"/>
          <w:numId w:val="17"/>
        </w:numPr>
        <w:spacing w:before="156" w:after="156"/>
        <w:ind w:left="0"/>
      </w:pPr>
      <w:r>
        <w:t>纵向水平杆对接接头布置</w:t>
      </w:r>
    </w:p>
    <w:tbl>
      <w:tblPr>
        <w:tblStyle w:val="46"/>
        <w:tblW w:w="0" w:type="auto"/>
        <w:tblCellSpacing w:w="0" w:type="dxa"/>
        <w:tblInd w:w="0" w:type="dxa"/>
        <w:tblLayout w:type="fixed"/>
        <w:tblCellMar>
          <w:top w:w="0" w:type="dxa"/>
          <w:left w:w="0" w:type="dxa"/>
          <w:bottom w:w="0" w:type="dxa"/>
          <w:right w:w="0" w:type="dxa"/>
        </w:tblCellMar>
      </w:tblPr>
      <w:tblGrid>
        <w:gridCol w:w="20"/>
      </w:tblGrid>
      <w:tr>
        <w:trPr>
          <w:tblCellSpacing w:w="0" w:type="dxa"/>
        </w:trPr>
        <w:tc>
          <w:tcPr>
            <w:tcW w:w="20" w:type="dxa"/>
            <w:vAlign w:val="center"/>
          </w:tcPr>
          <w:p>
            <w:pPr>
              <w:pStyle w:val="253"/>
            </w:pPr>
          </w:p>
        </w:tc>
      </w:tr>
    </w:tbl>
    <w:p>
      <w:pPr>
        <w:pStyle w:val="79"/>
        <w:ind w:firstLine="420"/>
        <w:jc w:val="center"/>
      </w:pPr>
      <w:r>
        <w:drawing>
          <wp:inline distT="0" distB="0" distL="0" distR="0">
            <wp:extent cx="1913255" cy="1642110"/>
            <wp:effectExtent l="0" t="0" r="0" b="0"/>
            <wp:docPr id="27" name="图片 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true" noChangeArrowheads="true"/>
                    </pic:cNvPicPr>
                  </pic:nvPicPr>
                  <pic:blipFill>
                    <a:blip r:embed="rId100">
                      <a:extLst>
                        <a:ext uri="{28A0092B-C50C-407E-A947-70E740481C1C}">
                          <a14:useLocalDpi xmlns:a14="http://schemas.microsoft.com/office/drawing/2010/main" val="false"/>
                        </a:ext>
                      </a:extLst>
                    </a:blip>
                    <a:srcRect/>
                    <a:stretch>
                      <a:fillRect/>
                    </a:stretch>
                  </pic:blipFill>
                  <pic:spPr>
                    <a:xfrm>
                      <a:off x="0" y="0"/>
                      <a:ext cx="1913255" cy="1642110"/>
                    </a:xfrm>
                    <a:prstGeom prst="rect">
                      <a:avLst/>
                    </a:prstGeom>
                    <a:noFill/>
                    <a:ln>
                      <a:noFill/>
                    </a:ln>
                  </pic:spPr>
                </pic:pic>
              </a:graphicData>
            </a:graphic>
          </wp:inline>
        </w:drawing>
      </w:r>
    </w:p>
    <w:p>
      <w:pPr>
        <w:pStyle w:val="202"/>
        <w:jc w:val="center"/>
      </w:pPr>
      <w:r>
        <w:rPr>
          <w:rStyle w:val="259"/>
          <w:rFonts w:hint="default" w:ascii="宋体" w:hAnsi="宋体"/>
          <w:sz w:val="18"/>
          <w:szCs w:val="18"/>
        </w:rPr>
        <w:t>1一立杆;2—纵向水平杆；3—横向水平杆；4—竹笆脚手板；5—</w:t>
      </w:r>
      <w:r>
        <w:t>其他脚手板</w:t>
      </w:r>
    </w:p>
    <w:p>
      <w:pPr>
        <w:pStyle w:val="263"/>
        <w:numPr>
          <w:ilvl w:val="0"/>
          <w:numId w:val="17"/>
        </w:numPr>
        <w:spacing w:before="156" w:after="156"/>
        <w:ind w:left="0"/>
      </w:pPr>
      <w:r>
        <w:t>铺竹笆</w:t>
      </w:r>
      <w:r>
        <w:rPr>
          <w:rFonts w:hint="eastAsia"/>
        </w:rPr>
        <w:t>、钢笆片</w:t>
      </w:r>
      <w:r>
        <w:t>脚手板时纵向水平杆的构造</w:t>
      </w:r>
    </w:p>
    <w:p>
      <w:pPr>
        <w:pStyle w:val="188"/>
        <w:ind w:left="0"/>
      </w:pPr>
      <w:r>
        <w:rPr>
          <w:rFonts w:hint="eastAsia"/>
        </w:rPr>
        <w:t>扣件式钢管脚手架</w:t>
      </w:r>
      <w:r>
        <w:t>横向水平杆的搭设应符合下列规定</w:t>
      </w:r>
      <w:r>
        <w:rPr>
          <w:rFonts w:hint="eastAsia"/>
        </w:rPr>
        <w:t>：</w:t>
      </w:r>
    </w:p>
    <w:p>
      <w:pPr>
        <w:pStyle w:val="79"/>
        <w:ind w:firstLine="420"/>
      </w:pPr>
      <w:r>
        <w:rPr>
          <w:rFonts w:hint="eastAsia"/>
        </w:rPr>
        <w:t>a）</w:t>
      </w:r>
      <w:r>
        <w:t>搭设作业层上非主节点处的横向水平杆，宜根据支承脚手板的需要等间距设置，最大间距不应大于纵距的1/2</w:t>
      </w:r>
      <w:r>
        <w:rPr>
          <w:rFonts w:hint="eastAsia"/>
        </w:rPr>
        <w:t>。</w:t>
      </w:r>
    </w:p>
    <w:p>
      <w:pPr>
        <w:pStyle w:val="79"/>
        <w:ind w:firstLine="420"/>
      </w:pPr>
      <w:r>
        <w:rPr>
          <w:rFonts w:hint="eastAsia"/>
        </w:rPr>
        <w:t>b）</w:t>
      </w:r>
      <w:r>
        <w:t>当使用冲压钢脚手板、木脚手板、竹串片脚手板时，横向水平杆两端均应采用直角扣件固定</w:t>
      </w:r>
      <w:r>
        <w:rPr>
          <w:rFonts w:hint="eastAsia"/>
        </w:rPr>
        <w:t>、</w:t>
      </w:r>
      <w:r>
        <w:t>在纵向水平杆上；当使用竹笆</w:t>
      </w:r>
      <w:r>
        <w:rPr>
          <w:rFonts w:hint="eastAsia"/>
        </w:rPr>
        <w:t>片、钢笆片</w:t>
      </w:r>
      <w:r>
        <w:t>脚手板时，横向水平杆的两端应采用直角扣件固定在立杆上。</w:t>
      </w:r>
    </w:p>
    <w:p>
      <w:pPr>
        <w:pStyle w:val="79"/>
        <w:ind w:firstLine="420"/>
      </w:pPr>
      <w:r>
        <w:rPr>
          <w:rFonts w:hint="eastAsia"/>
        </w:rPr>
        <w:t>c）</w:t>
      </w:r>
      <w:r>
        <w:t>悬挑式脚手架横向水平杆的靠墙一端至主体结构外边缘的距离不应小于100mm</w:t>
      </w:r>
      <w:r>
        <w:rPr>
          <w:rFonts w:hint="eastAsia"/>
        </w:rPr>
        <w:t>。</w:t>
      </w:r>
    </w:p>
    <w:p>
      <w:pPr>
        <w:pStyle w:val="79"/>
        <w:ind w:firstLine="420"/>
      </w:pPr>
      <w:r>
        <w:rPr>
          <w:rFonts w:hint="eastAsia"/>
        </w:rPr>
        <w:t>d）</w:t>
      </w:r>
      <w:r>
        <w:t>搭设的横向水平杆在水平方向上两端的高差不大于</w:t>
      </w:r>
      <w:r>
        <w:rPr>
          <w:rFonts w:hint="eastAsia"/>
        </w:rPr>
        <w:t>L</w:t>
      </w:r>
      <w:r>
        <w:rPr>
          <w:rFonts w:hint="eastAsia"/>
          <w:vertAlign w:val="subscript"/>
        </w:rPr>
        <w:t>0</w:t>
      </w:r>
      <w:r>
        <w:rPr>
          <w:rFonts w:hint="eastAsia"/>
        </w:rPr>
        <w:t>/</w:t>
      </w:r>
      <w:r>
        <w:t>400</w:t>
      </w:r>
      <w:r>
        <w:rPr>
          <w:rFonts w:hint="eastAsia"/>
        </w:rPr>
        <w:t>，</w:t>
      </w:r>
      <w:r>
        <w:t>其中</w:t>
      </w:r>
      <w:r>
        <w:rPr>
          <w:rFonts w:hint="eastAsia"/>
        </w:rPr>
        <w:t>L</w:t>
      </w:r>
      <w:r>
        <w:rPr>
          <w:rFonts w:hint="eastAsia"/>
          <w:vertAlign w:val="subscript"/>
        </w:rPr>
        <w:t>0</w:t>
      </w:r>
      <w:r>
        <w:t>为杆段跨度。</w:t>
      </w:r>
    </w:p>
    <w:p>
      <w:pPr>
        <w:pStyle w:val="188"/>
        <w:ind w:left="0"/>
      </w:pPr>
      <w:r>
        <w:t>扣件安装应符合下列规定：</w:t>
      </w:r>
    </w:p>
    <w:p>
      <w:pPr>
        <w:pStyle w:val="79"/>
        <w:ind w:firstLine="420"/>
      </w:pPr>
      <w:r>
        <w:rPr>
          <w:rFonts w:hint="eastAsia"/>
        </w:rPr>
        <w:t>a）</w:t>
      </w:r>
      <w:r>
        <w:t>扣件规格应与脚手架钢管外径相同。</w:t>
      </w:r>
    </w:p>
    <w:p>
      <w:pPr>
        <w:pStyle w:val="79"/>
        <w:ind w:firstLine="420"/>
      </w:pPr>
      <w:r>
        <w:rPr>
          <w:rFonts w:hint="eastAsia"/>
        </w:rPr>
        <w:t>b）</w:t>
      </w:r>
      <w:r>
        <w:t>螺栓拧紧扭力矩不应小于40N</w:t>
      </w:r>
      <w:r>
        <w:rPr>
          <w:rFonts w:hAnsi="宋体"/>
        </w:rPr>
        <w:t>·</w:t>
      </w:r>
      <w:r>
        <w:t>m</w:t>
      </w:r>
      <w:r>
        <w:rPr>
          <w:rFonts w:hint="eastAsia"/>
        </w:rPr>
        <w:t>,不应大于65</w:t>
      </w:r>
      <w:r>
        <w:t>N</w:t>
      </w:r>
      <w:r>
        <w:rPr>
          <w:rFonts w:hAnsi="宋体"/>
        </w:rPr>
        <w:t>·</w:t>
      </w:r>
      <w:r>
        <w:t>m。</w:t>
      </w:r>
    </w:p>
    <w:p>
      <w:pPr>
        <w:pStyle w:val="79"/>
        <w:ind w:firstLine="420"/>
      </w:pPr>
      <w:r>
        <w:rPr>
          <w:rFonts w:hint="eastAsia"/>
        </w:rPr>
        <w:t>c）</w:t>
      </w:r>
      <w:r>
        <w:t>在主节点处固定横向水平杆、纵向水平杆、剪刀撑、横向斜撑等用的直角扣件、旋转扣件的中心点的相互距离不应大于150mm。</w:t>
      </w:r>
    </w:p>
    <w:p>
      <w:pPr>
        <w:pStyle w:val="79"/>
        <w:ind w:firstLine="420"/>
      </w:pPr>
      <w:r>
        <w:rPr>
          <w:rFonts w:hint="eastAsia"/>
        </w:rPr>
        <w:t>d）</w:t>
      </w:r>
      <w:r>
        <w:t>对接扣件开口应朝内。</w:t>
      </w:r>
    </w:p>
    <w:p>
      <w:pPr>
        <w:pStyle w:val="79"/>
        <w:ind w:firstLine="420"/>
      </w:pPr>
      <w:r>
        <w:rPr>
          <w:rFonts w:hint="eastAsia"/>
        </w:rPr>
        <w:t>e）</w:t>
      </w:r>
      <w:r>
        <w:t>各杆件端头伸出扣件盖板边缘的长度不应小于100mm</w:t>
      </w:r>
      <w:r>
        <w:rPr>
          <w:rFonts w:hint="eastAsia"/>
        </w:rPr>
        <w:t>。</w:t>
      </w:r>
    </w:p>
    <w:p>
      <w:pPr>
        <w:pStyle w:val="188"/>
        <w:ind w:left="0"/>
      </w:pPr>
      <w:r>
        <w:rPr>
          <w:rFonts w:hint="eastAsia"/>
        </w:rPr>
        <w:t>承插盘扣式钢管脚手架的</w:t>
      </w:r>
      <w:r>
        <w:t>搭设应符合下列规定</w:t>
      </w:r>
      <w:r>
        <w:rPr>
          <w:rFonts w:hint="eastAsia"/>
        </w:rPr>
        <w:t>：</w:t>
      </w:r>
    </w:p>
    <w:p>
      <w:pPr>
        <w:pStyle w:val="79"/>
        <w:ind w:firstLine="420"/>
      </w:pPr>
      <w:r>
        <w:rPr>
          <w:rFonts w:hint="eastAsia"/>
        </w:rPr>
        <w:t>a）承插盘扣式钢管脚手架宜采用B型支架，立杆接长宜采用外套筒连接。</w:t>
      </w:r>
    </w:p>
    <w:p>
      <w:pPr>
        <w:pStyle w:val="79"/>
        <w:ind w:firstLine="420"/>
      </w:pPr>
      <w:r>
        <w:rPr>
          <w:rFonts w:hint="eastAsia"/>
        </w:rPr>
        <w:t>b）双排外脚手架架体步距宜取2m，立杆纵距宜取1.5m或1.8m，且不宜大于2.1m，立杆横距宜取0.9m或1.2m。架体外侧纵向每5跨每层应设置一根竖向斜拉杆或者每5跨间应设置扣件钢管剪刀撑；每步水平杆层当无脚手板加强水平层刚度时，应每5跨设置水平斜杆。</w:t>
      </w:r>
    </w:p>
    <w:p>
      <w:pPr>
        <w:pStyle w:val="79"/>
        <w:ind w:firstLine="420"/>
      </w:pPr>
      <w:r>
        <w:rPr>
          <w:rFonts w:hint="eastAsia"/>
        </w:rPr>
        <w:t>c）盘扣承重脚手架立杆应对接接长，不许搭接，作业脚手架除顶层顶部防护立杆可采用搭接外，其余各层各步接头应采用对接扣件对接，对接扣件应交错布置，</w:t>
      </w:r>
    </w:p>
    <w:p>
      <w:pPr>
        <w:pStyle w:val="79"/>
        <w:ind w:firstLine="420"/>
      </w:pPr>
      <w:r>
        <w:rPr>
          <w:rFonts w:hint="eastAsia"/>
        </w:rPr>
        <w:t>d）连墙件应设置在有水平杆的盘扣节点旁，连接点至盘扣节点距离不应大于300mm，采用钢管扣件作为连墙件时，应采用直角扣件与盘扣立杆连接</w:t>
      </w:r>
      <w:r>
        <w:t>。</w:t>
      </w:r>
    </w:p>
    <w:p>
      <w:pPr>
        <w:pStyle w:val="79"/>
        <w:ind w:firstLine="420"/>
      </w:pPr>
      <w:r>
        <w:rPr>
          <w:rFonts w:hint="eastAsia"/>
        </w:rPr>
        <w:t>e）盘扣插销外表面应与水平杆和斜杆杆端扣接头内表面吻合，插销连接应保证锤击自锁后不拔脱，抗拔力不得小于3kN</w:t>
      </w:r>
      <w:r>
        <w:t>。</w:t>
      </w:r>
    </w:p>
    <w:p>
      <w:pPr>
        <w:pStyle w:val="128"/>
        <w:spacing w:before="156" w:after="156"/>
      </w:pPr>
      <w:bookmarkStart w:id="101" w:name="_Toc106095443"/>
      <w:r>
        <w:t>拆除</w:t>
      </w:r>
      <w:bookmarkEnd w:id="101"/>
    </w:p>
    <w:p>
      <w:pPr>
        <w:pStyle w:val="188"/>
        <w:ind w:left="0"/>
      </w:pPr>
      <w:r>
        <w:t>悬挑式脚手架拆除应按安全专项施工方案进行施工,拆除作业前应做好下列准备工作</w:t>
      </w:r>
      <w:r>
        <w:rPr>
          <w:rFonts w:hint="eastAsia"/>
        </w:rPr>
        <w:t>：</w:t>
      </w:r>
    </w:p>
    <w:p>
      <w:pPr>
        <w:pStyle w:val="79"/>
        <w:ind w:firstLine="420"/>
      </w:pPr>
      <w:r>
        <w:rPr>
          <w:rFonts w:hint="eastAsia"/>
        </w:rPr>
        <w:t>a）</w:t>
      </w:r>
      <w:r>
        <w:t>应全面检查悬挑式脚手架的连接、连墙件、支撑体系等是否符合构造要求。</w:t>
      </w:r>
    </w:p>
    <w:p>
      <w:pPr>
        <w:pStyle w:val="79"/>
        <w:ind w:firstLine="420"/>
      </w:pPr>
      <w:r>
        <w:rPr>
          <w:rFonts w:hint="eastAsia"/>
        </w:rPr>
        <w:t>b）</w:t>
      </w:r>
      <w:r>
        <w:t>应根据检查结果,补充完善安全专项施工方案中拆除顺序和措施,经企业安全管理部门和监理工程师批准后方可实施。</w:t>
      </w:r>
    </w:p>
    <w:p>
      <w:pPr>
        <w:pStyle w:val="79"/>
        <w:ind w:firstLine="420"/>
      </w:pPr>
      <w:r>
        <w:rPr>
          <w:rFonts w:hint="eastAsia"/>
        </w:rPr>
        <w:t>c）</w:t>
      </w:r>
      <w:r>
        <w:t>拆除前，单位工程负责人应组织安全专项施工方案编制人员、安全员等，按照安全专项施工方案和有关规范对拆除作业人员进行书面安全技术交底，并履行签字手续。</w:t>
      </w:r>
    </w:p>
    <w:p>
      <w:pPr>
        <w:pStyle w:val="79"/>
        <w:ind w:firstLine="420"/>
      </w:pPr>
      <w:r>
        <w:rPr>
          <w:rFonts w:hint="eastAsia"/>
        </w:rPr>
        <w:t>d）</w:t>
      </w:r>
      <w:r>
        <w:t>应清除悬挑式脚手架上的杂物及地面上影响拆卸作业的障碍物。</w:t>
      </w:r>
    </w:p>
    <w:p>
      <w:pPr>
        <w:pStyle w:val="188"/>
        <w:ind w:left="0"/>
      </w:pPr>
      <w:r>
        <w:t>悬挑式脚手架拆除作业必须由上而下逐层进行，严禁上下同时作业。连墙件必须随脚手架逐层拆除，严禁先将连墙件整层或数层拆除后再拆除悬挑式脚手架。分段拆除高差不应大于两步,如高差大于两步,应增设连墙件加固。当拆至最底层悬挑式脚手架时,应先拆除连墙件，后拆除吊拉钢丝绳。</w:t>
      </w:r>
    </w:p>
    <w:p>
      <w:pPr>
        <w:pStyle w:val="188"/>
        <w:ind w:left="0"/>
      </w:pPr>
      <w:r>
        <w:t>当悬挑式脚手架采取分段、分立面拆除时，应制订技术方案；对不拆除的悬挑式脚手架两端,必须采取连墙件和横向斜撑等可靠 措施加固后方可实施拆除作业。</w:t>
      </w:r>
    </w:p>
    <w:p>
      <w:pPr>
        <w:pStyle w:val="188"/>
        <w:ind w:left="0"/>
      </w:pPr>
      <w:r>
        <w:t>拆除作业时，应由专人负责统一指挥;当有多人同时操作时, 应明确分工,统一行动,且应具有足够的操作面。</w:t>
      </w:r>
    </w:p>
    <w:p>
      <w:pPr>
        <w:pStyle w:val="188"/>
        <w:ind w:left="0"/>
      </w:pPr>
      <w:r>
        <w:t>拆除作业必须严格按照安全专项施工方案和安全技术操作 规程进行,严禁违章指挥、违章作业，同时应有可靠措施防止人员与物料坠落。</w:t>
      </w:r>
    </w:p>
    <w:p>
      <w:pPr>
        <w:pStyle w:val="188"/>
        <w:ind w:left="0"/>
      </w:pPr>
      <w:r>
        <w:t>悬挑梁拆除时，</w:t>
      </w:r>
      <w:r>
        <w:rPr>
          <w:rFonts w:hint="eastAsia"/>
        </w:rPr>
        <w:t>宜采取吊装设备辅助作业，</w:t>
      </w:r>
      <w:r>
        <w:t>应</w:t>
      </w:r>
      <w:r>
        <w:rPr>
          <w:rFonts w:hint="eastAsia"/>
        </w:rPr>
        <w:t>有可靠的防止人员、物料坠落的措施。</w:t>
      </w:r>
    </w:p>
    <w:p>
      <w:pPr>
        <w:pStyle w:val="188"/>
        <w:ind w:left="0"/>
      </w:pPr>
      <w:r>
        <w:t>脚手板拆除时，应注意站立位置,并应自外向里翻起竖立，防止外翻使脚手板内未清除的残留物从高处坠落伤人。</w:t>
      </w:r>
    </w:p>
    <w:p>
      <w:pPr>
        <w:pStyle w:val="188"/>
        <w:ind w:left="0"/>
      </w:pPr>
      <w:r>
        <w:t>卸料时，拆除的构配件应传递或吊运至地面，严禁抛掷。</w:t>
      </w:r>
    </w:p>
    <w:p>
      <w:pPr>
        <w:pStyle w:val="188"/>
        <w:ind w:left="0"/>
      </w:pPr>
      <w:r>
        <w:t>运至地面的构配件应按本规程的规定及时检查、整修和保养,并按不同品种、规格分类存放。存放场地应干燥、通风，防止构配件锈蚀。</w:t>
      </w:r>
    </w:p>
    <w:p>
      <w:pPr>
        <w:pStyle w:val="127"/>
        <w:spacing w:before="312" w:after="312"/>
        <w:rPr>
          <w:rFonts w:hAnsi="黑体"/>
        </w:rPr>
      </w:pPr>
      <w:bookmarkStart w:id="102" w:name="_Toc40636260"/>
      <w:bookmarkStart w:id="103" w:name="_Toc106095444"/>
      <w:bookmarkStart w:id="104" w:name="_Toc40694692"/>
      <w:bookmarkStart w:id="105" w:name="_Toc40626475"/>
      <w:r>
        <w:rPr>
          <w:rStyle w:val="272"/>
          <w:rFonts w:hint="default" w:ascii="黑体" w:hAnsi="黑体" w:eastAsia="黑体"/>
          <w:sz w:val="21"/>
          <w:szCs w:val="21"/>
        </w:rPr>
        <w:t>安全监测</w:t>
      </w:r>
      <w:bookmarkEnd w:id="102"/>
      <w:bookmarkEnd w:id="103"/>
      <w:bookmarkEnd w:id="104"/>
      <w:bookmarkEnd w:id="105"/>
    </w:p>
    <w:p>
      <w:pPr>
        <w:pStyle w:val="128"/>
        <w:spacing w:before="156" w:after="156"/>
        <w:rPr>
          <w:rFonts w:hAnsi="黑体"/>
          <w:szCs w:val="21"/>
        </w:rPr>
      </w:pPr>
      <w:bookmarkStart w:id="106" w:name="_Toc106095445"/>
      <w:r>
        <w:rPr>
          <w:rStyle w:val="259"/>
          <w:rFonts w:hint="default" w:ascii="黑体" w:hAnsi="黑体" w:eastAsia="黑体"/>
          <w:sz w:val="21"/>
          <w:szCs w:val="21"/>
        </w:rPr>
        <w:t>基本规定</w:t>
      </w:r>
      <w:bookmarkEnd w:id="106"/>
    </w:p>
    <w:p>
      <w:pPr>
        <w:pStyle w:val="188"/>
        <w:ind w:left="0"/>
      </w:pPr>
      <w:r>
        <w:t>悬挑式脚手架安全监测包括巡视检查和内力监测等方法。悬挑式脚手架节段高度</w:t>
      </w:r>
      <w:r>
        <w:rPr>
          <w:rFonts w:hint="eastAsia"/>
        </w:rPr>
        <w:t>在</w:t>
      </w:r>
      <w:r>
        <w:t>2</w:t>
      </w:r>
      <w:r>
        <w:rPr>
          <w:rFonts w:hint="eastAsia"/>
        </w:rPr>
        <w:t>0</w:t>
      </w:r>
      <w:r>
        <w:t>m</w:t>
      </w:r>
      <w:r>
        <w:rPr>
          <w:rFonts w:hint="eastAsia"/>
        </w:rPr>
        <w:t>及以上</w:t>
      </w:r>
      <w:r>
        <w:t>时，</w:t>
      </w:r>
      <w:r>
        <w:rPr>
          <w:rFonts w:hint="eastAsia"/>
        </w:rPr>
        <w:t>应</w:t>
      </w:r>
      <w:r>
        <w:t>进行内力安全监测。</w:t>
      </w:r>
    </w:p>
    <w:p>
      <w:pPr>
        <w:pStyle w:val="188"/>
        <w:ind w:left="0"/>
      </w:pPr>
      <w:r>
        <w:t>悬挑式脚手架安全专项施工方案中应明确监测技术要求，包括监测项目、点位布设及保护措施、监测频率、数据反馈机制等，明确监测报警指标。</w:t>
      </w:r>
    </w:p>
    <w:p>
      <w:pPr>
        <w:pStyle w:val="128"/>
        <w:spacing w:before="156" w:after="156"/>
        <w:rPr>
          <w:rStyle w:val="259"/>
          <w:rFonts w:hint="default" w:ascii="黑体" w:hAnsi="黑体" w:eastAsia="黑体"/>
          <w:sz w:val="21"/>
          <w:szCs w:val="21"/>
        </w:rPr>
      </w:pPr>
      <w:bookmarkStart w:id="107" w:name="_Toc106095446"/>
      <w:r>
        <w:rPr>
          <w:rStyle w:val="259"/>
          <w:rFonts w:hint="default" w:ascii="黑体" w:hAnsi="黑体" w:eastAsia="黑体"/>
          <w:sz w:val="21"/>
          <w:szCs w:val="21"/>
        </w:rPr>
        <w:t>监测项目</w:t>
      </w:r>
      <w:bookmarkEnd w:id="107"/>
    </w:p>
    <w:p>
      <w:pPr>
        <w:pStyle w:val="188"/>
        <w:ind w:left="0"/>
      </w:pPr>
      <w:r>
        <w:t>悬挑式脚手架的内力安全监测项目包括：</w:t>
      </w:r>
    </w:p>
    <w:p>
      <w:pPr>
        <w:pStyle w:val="79"/>
        <w:ind w:firstLine="420"/>
      </w:pPr>
      <w:r>
        <w:rPr>
          <w:rFonts w:hint="eastAsia"/>
        </w:rPr>
        <w:t>a）</w:t>
      </w:r>
      <w:r>
        <w:t>悬挑梁锚固件内力</w:t>
      </w:r>
      <w:r>
        <w:rPr>
          <w:rFonts w:hint="eastAsia"/>
        </w:rPr>
        <w:t>。</w:t>
      </w:r>
    </w:p>
    <w:p>
      <w:pPr>
        <w:pStyle w:val="79"/>
        <w:ind w:firstLine="420"/>
      </w:pPr>
      <w:r>
        <w:rPr>
          <w:rFonts w:hint="eastAsia"/>
        </w:rPr>
        <w:t>b）</w:t>
      </w:r>
      <w:r>
        <w:t>吊拉钢丝绳内力</w:t>
      </w:r>
      <w:r>
        <w:rPr>
          <w:rFonts w:hint="eastAsia"/>
        </w:rPr>
        <w:t>。</w:t>
      </w:r>
    </w:p>
    <w:p>
      <w:pPr>
        <w:pStyle w:val="79"/>
        <w:ind w:firstLine="420"/>
      </w:pPr>
      <w:r>
        <w:rPr>
          <w:rFonts w:hint="eastAsia"/>
        </w:rPr>
        <w:t>c）斜拉杆件或斜撑杆件内力。</w:t>
      </w:r>
    </w:p>
    <w:p>
      <w:pPr>
        <w:pStyle w:val="79"/>
        <w:ind w:firstLine="420"/>
      </w:pPr>
      <w:r>
        <w:rPr>
          <w:rFonts w:hint="eastAsia"/>
        </w:rPr>
        <w:t>d）</w:t>
      </w:r>
      <w:r>
        <w:t>连墙件内力</w:t>
      </w:r>
      <w:r>
        <w:rPr>
          <w:rFonts w:hint="eastAsia"/>
        </w:rPr>
        <w:t>。</w:t>
      </w:r>
    </w:p>
    <w:p>
      <w:pPr>
        <w:pStyle w:val="188"/>
        <w:ind w:left="0"/>
      </w:pPr>
      <w:r>
        <w:t>各类测点应布置在同一竖向平面内。在每一个节段高度内,应沿建筑外围每30 m至少设置一个监测断面</w:t>
      </w:r>
      <w:r>
        <w:rPr>
          <w:rFonts w:hint="eastAsia"/>
        </w:rPr>
        <w:t>，</w:t>
      </w:r>
      <w:r>
        <w:t>在建筑转角等荷载作用集中位置宜增设监测断面。</w:t>
      </w:r>
    </w:p>
    <w:p>
      <w:pPr>
        <w:pStyle w:val="188"/>
        <w:ind w:left="0"/>
      </w:pPr>
      <w:r>
        <w:t>同一断面内至少布置1个悬挑梁锚固件内力传感器、1个钢丝绳内力传感器和1个连墙件内力传感器。</w:t>
      </w:r>
    </w:p>
    <w:p>
      <w:pPr>
        <w:pStyle w:val="188"/>
        <w:ind w:left="0"/>
      </w:pPr>
      <w:r>
        <w:t>悬挑式脚手架安全监测宜采用实时无线传输监测系统,传感器与读数仪应满足相应监测项目的量程、精度、耐久性等要求。</w:t>
      </w:r>
    </w:p>
    <w:p>
      <w:pPr>
        <w:pStyle w:val="128"/>
        <w:spacing w:before="156" w:after="156"/>
        <w:rPr>
          <w:rFonts w:hAnsi="黑体"/>
          <w:szCs w:val="21"/>
        </w:rPr>
      </w:pPr>
      <w:bookmarkStart w:id="108" w:name="_Toc106095447"/>
      <w:r>
        <w:rPr>
          <w:rStyle w:val="259"/>
          <w:rFonts w:hint="default" w:ascii="黑体" w:hAnsi="黑体" w:eastAsia="黑体"/>
          <w:sz w:val="21"/>
          <w:szCs w:val="21"/>
        </w:rPr>
        <w:t>监测点布置</w:t>
      </w:r>
      <w:bookmarkEnd w:id="108"/>
    </w:p>
    <w:p>
      <w:pPr>
        <w:pStyle w:val="188"/>
        <w:ind w:left="0"/>
      </w:pPr>
      <w:r>
        <w:t>吊拉钢丝绳内力监测应符合下列规定：</w:t>
      </w:r>
    </w:p>
    <w:p>
      <w:pPr>
        <w:pStyle w:val="79"/>
        <w:ind w:firstLine="420"/>
      </w:pPr>
      <w:r>
        <w:rPr>
          <w:rFonts w:hint="eastAsia"/>
        </w:rPr>
        <w:t>a）</w:t>
      </w:r>
      <w:r>
        <w:t>传感器与连接杆可通过螺纹机械连接</w:t>
      </w:r>
      <w:r>
        <w:rPr>
          <w:rFonts w:hint="eastAsia"/>
        </w:rPr>
        <w:t>。</w:t>
      </w:r>
    </w:p>
    <w:p>
      <w:pPr>
        <w:pStyle w:val="79"/>
        <w:ind w:firstLine="420"/>
      </w:pPr>
      <w:r>
        <w:rPr>
          <w:rFonts w:hint="eastAsia"/>
        </w:rPr>
        <w:t>b）</w:t>
      </w:r>
      <w:r>
        <w:t>连接杆与U形连接套可通过双面角焊缝焊接连接</w:t>
      </w:r>
      <w:r>
        <w:rPr>
          <w:rFonts w:hint="eastAsia"/>
        </w:rPr>
        <w:t>。</w:t>
      </w:r>
    </w:p>
    <w:p>
      <w:pPr>
        <w:pStyle w:val="79"/>
        <w:ind w:firstLine="420"/>
      </w:pPr>
      <w:r>
        <w:rPr>
          <w:rFonts w:hint="eastAsia"/>
        </w:rPr>
        <w:t>c）</w:t>
      </w:r>
      <w:r>
        <w:t>在吊拉钢丝绳内力监测位置，将U形连接套与钢丝绳通过</w:t>
      </w:r>
      <w:r>
        <w:rPr>
          <w:rFonts w:hint="eastAsia"/>
        </w:rPr>
        <w:t>三个绳卡连接，各部位连接构造如图16所示</w:t>
      </w:r>
      <w:r>
        <w:t>。</w:t>
      </w:r>
    </w:p>
    <w:p>
      <w:pPr>
        <w:pStyle w:val="260"/>
        <w:spacing w:before="156" w:after="156"/>
        <w:ind w:left="839" w:hanging="419"/>
        <w:jc w:val="center"/>
      </w:pPr>
      <w:r>
        <w:rPr>
          <w:rFonts w:hint="eastAsia"/>
        </w:rPr>
        <w:drawing>
          <wp:inline distT="0" distB="0" distL="0" distR="0">
            <wp:extent cx="2821305" cy="721995"/>
            <wp:effectExtent l="0" t="0" r="0" b="1905"/>
            <wp:docPr id="26" name="图片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true" noChangeArrowheads="true"/>
                    </pic:cNvPicPr>
                  </pic:nvPicPr>
                  <pic:blipFill>
                    <a:blip r:embed="rId101">
                      <a:extLst>
                        <a:ext uri="{28A0092B-C50C-407E-A947-70E740481C1C}">
                          <a14:useLocalDpi xmlns:a14="http://schemas.microsoft.com/office/drawing/2010/main" val="false"/>
                        </a:ext>
                      </a:extLst>
                    </a:blip>
                    <a:srcRect/>
                    <a:stretch>
                      <a:fillRect/>
                    </a:stretch>
                  </pic:blipFill>
                  <pic:spPr>
                    <a:xfrm>
                      <a:off x="0" y="0"/>
                      <a:ext cx="2821305" cy="721995"/>
                    </a:xfrm>
                    <a:prstGeom prst="rect">
                      <a:avLst/>
                    </a:prstGeom>
                    <a:noFill/>
                    <a:ln>
                      <a:noFill/>
                    </a:ln>
                  </pic:spPr>
                </pic:pic>
              </a:graphicData>
            </a:graphic>
          </wp:inline>
        </w:drawing>
      </w:r>
    </w:p>
    <w:p>
      <w:pPr>
        <w:pStyle w:val="263"/>
        <w:numPr>
          <w:ilvl w:val="0"/>
          <w:numId w:val="17"/>
        </w:numPr>
        <w:spacing w:before="156" w:after="156"/>
        <w:ind w:left="0"/>
      </w:pPr>
      <w:r>
        <w:rPr>
          <w:rFonts w:hint="eastAsia"/>
        </w:rPr>
        <w:t>吊拉钢丝绳传感器连接构造</w:t>
      </w:r>
    </w:p>
    <w:p>
      <w:pPr>
        <w:pStyle w:val="188"/>
        <w:ind w:left="0"/>
      </w:pPr>
      <w:r>
        <w:t>连墙件安全监测应符合下列规定：</w:t>
      </w:r>
    </w:p>
    <w:p>
      <w:pPr>
        <w:pStyle w:val="79"/>
        <w:ind w:firstLine="420"/>
      </w:pPr>
      <w:r>
        <w:rPr>
          <w:rFonts w:hint="eastAsia"/>
        </w:rPr>
        <w:t>a）</w:t>
      </w:r>
      <w:r>
        <w:t>传感器与连接杆可通过螺纹机械连接</w:t>
      </w:r>
      <w:r>
        <w:rPr>
          <w:rFonts w:hint="eastAsia"/>
        </w:rPr>
        <w:t>。</w:t>
      </w:r>
    </w:p>
    <w:p>
      <w:pPr>
        <w:pStyle w:val="79"/>
        <w:ind w:firstLine="420"/>
      </w:pPr>
      <w:r>
        <w:rPr>
          <w:rFonts w:hint="eastAsia"/>
        </w:rPr>
        <w:t>b）</w:t>
      </w:r>
      <w:r>
        <w:t>连接杆与圆形连接饼通过角焊缝沿杆体焊接连接，并应保证焊接强度</w:t>
      </w:r>
      <w:r>
        <w:rPr>
          <w:rFonts w:hint="eastAsia"/>
        </w:rPr>
        <w:t>。</w:t>
      </w:r>
    </w:p>
    <w:p>
      <w:pPr>
        <w:pStyle w:val="79"/>
        <w:ind w:firstLine="420"/>
      </w:pPr>
      <w:r>
        <w:rPr>
          <w:rFonts w:hint="eastAsia"/>
        </w:rPr>
        <w:t>c）</w:t>
      </w:r>
      <w:r>
        <w:t>连接饼与钢管通过角焊缝沿钢管末端焊接连接，并应保证焊接强度</w:t>
      </w:r>
      <w:r>
        <w:rPr>
          <w:rFonts w:hint="eastAsia"/>
        </w:rPr>
        <w:t>。</w:t>
      </w:r>
    </w:p>
    <w:p>
      <w:pPr>
        <w:pStyle w:val="79"/>
        <w:ind w:firstLine="420"/>
      </w:pPr>
      <w:r>
        <w:rPr>
          <w:rFonts w:hint="eastAsia"/>
        </w:rPr>
        <w:t>d）</w:t>
      </w:r>
      <w:r>
        <w:t>在连墙件内力监测位置,将装配好的连墙件监测装置通过扣件与建筑物边梁（或剪力墙）上的预埋钢管和悬挑式脚手架可靠连接。连墙件安全监测连接示意图如图</w:t>
      </w:r>
      <w:r>
        <w:rPr>
          <w:rFonts w:hint="eastAsia"/>
        </w:rPr>
        <w:t>17</w:t>
      </w:r>
      <w:r>
        <w:t>所示。</w:t>
      </w:r>
    </w:p>
    <w:p>
      <w:pPr>
        <w:pStyle w:val="260"/>
        <w:spacing w:before="156" w:after="156"/>
        <w:ind w:left="420" w:firstLine="0"/>
        <w:jc w:val="center"/>
      </w:pPr>
      <w:r>
        <w:drawing>
          <wp:inline distT="0" distB="0" distL="0" distR="0">
            <wp:extent cx="4595495" cy="2743200"/>
            <wp:effectExtent l="19050" t="0" r="0" b="0"/>
            <wp:docPr id="29"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true" noChangeArrowheads="true"/>
                    </pic:cNvPicPr>
                  </pic:nvPicPr>
                  <pic:blipFill>
                    <a:blip r:embed="rId102"/>
                    <a:srcRect l="34197" t="44043" r="44521" b="25984"/>
                    <a:stretch>
                      <a:fillRect/>
                    </a:stretch>
                  </pic:blipFill>
                  <pic:spPr>
                    <a:xfrm>
                      <a:off x="0" y="0"/>
                      <a:ext cx="4601390" cy="2746678"/>
                    </a:xfrm>
                    <a:prstGeom prst="rect">
                      <a:avLst/>
                    </a:prstGeom>
                    <a:noFill/>
                    <a:ln w="9525">
                      <a:noFill/>
                      <a:miter lim="800000"/>
                      <a:headEnd/>
                      <a:tailEnd/>
                    </a:ln>
                  </pic:spPr>
                </pic:pic>
              </a:graphicData>
            </a:graphic>
          </wp:inline>
        </w:drawing>
      </w:r>
    </w:p>
    <w:p>
      <w:pPr>
        <w:pStyle w:val="137"/>
        <w:spacing w:before="156" w:after="156"/>
        <w:ind w:left="0"/>
        <w:rPr>
          <w:rFonts w:hAnsi="黑体"/>
        </w:rPr>
      </w:pPr>
      <w:r>
        <w:rPr>
          <w:rStyle w:val="259"/>
          <w:rFonts w:hint="default" w:ascii="黑体" w:hAnsi="黑体" w:eastAsia="黑体"/>
        </w:rPr>
        <w:t>连墙件安全监测连接示意图</w:t>
      </w:r>
    </w:p>
    <w:p>
      <w:pPr>
        <w:pStyle w:val="79"/>
        <w:ind w:firstLine="420"/>
        <w:rPr>
          <w:rFonts w:hAnsi="宋体"/>
          <w:szCs w:val="21"/>
        </w:rPr>
      </w:pPr>
      <w:r>
        <w:rPr>
          <w:rFonts w:hint="eastAsia"/>
        </w:rPr>
        <w:t>e）</w:t>
      </w:r>
      <w:r>
        <w:rPr>
          <w:rStyle w:val="259"/>
          <w:rFonts w:hint="default" w:ascii="宋体" w:hAnsi="宋体" w:eastAsia="宋体"/>
          <w:sz w:val="21"/>
          <w:szCs w:val="21"/>
        </w:rPr>
        <w:t>在一个节段高度内,连墙件监测宜布置在断面内最高位置处。</w:t>
      </w:r>
    </w:p>
    <w:p>
      <w:pPr>
        <w:pStyle w:val="188"/>
        <w:ind w:left="0"/>
      </w:pPr>
      <w:r>
        <w:t>悬挑梁锚固端安全监测应符合下列规定:</w:t>
      </w:r>
    </w:p>
    <w:p>
      <w:pPr>
        <w:pStyle w:val="79"/>
        <w:ind w:firstLine="420"/>
      </w:pPr>
      <w:r>
        <w:rPr>
          <w:rFonts w:hint="eastAsia"/>
        </w:rPr>
        <w:t>a）</w:t>
      </w:r>
      <w:r>
        <w:t>悬挑梁尾端每个锚固截面均应设相同规格的传感器。</w:t>
      </w:r>
    </w:p>
    <w:p>
      <w:pPr>
        <w:pStyle w:val="79"/>
        <w:ind w:firstLine="420"/>
      </w:pPr>
      <w:r>
        <w:rPr>
          <w:rFonts w:hint="eastAsia"/>
        </w:rPr>
        <w:t>b）</w:t>
      </w:r>
      <w:r>
        <w:t>传感器应置于悬挑梁横截面中心位置。</w:t>
      </w:r>
    </w:p>
    <w:p>
      <w:pPr>
        <w:pStyle w:val="79"/>
        <w:ind w:firstLine="420"/>
      </w:pPr>
      <w:r>
        <w:rPr>
          <w:rFonts w:hint="eastAsia"/>
        </w:rPr>
        <w:t>c）</w:t>
      </w:r>
      <w:r>
        <w:t>悬挑梁锚固端安全监测连接示意图如图</w:t>
      </w:r>
      <w:r>
        <w:rPr>
          <w:rFonts w:hint="eastAsia"/>
        </w:rPr>
        <w:t>18所示。</w:t>
      </w:r>
    </w:p>
    <w:p>
      <w:pPr>
        <w:pStyle w:val="260"/>
        <w:spacing w:before="156" w:after="156"/>
        <w:ind w:left="0" w:firstLine="0"/>
        <w:jc w:val="center"/>
      </w:pPr>
      <w:r>
        <w:drawing>
          <wp:inline distT="0" distB="0" distL="0" distR="0">
            <wp:extent cx="4316095" cy="2197100"/>
            <wp:effectExtent l="0" t="0" r="0" b="0"/>
            <wp:docPr id="17"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true" noChangeArrowheads="true"/>
                    </pic:cNvPicPr>
                  </pic:nvPicPr>
                  <pic:blipFill>
                    <a:blip r:embed="rId103"/>
                    <a:srcRect l="24164" t="39068" r="57751" b="39232"/>
                    <a:stretch>
                      <a:fillRect/>
                    </a:stretch>
                  </pic:blipFill>
                  <pic:spPr>
                    <a:xfrm>
                      <a:off x="0" y="0"/>
                      <a:ext cx="4339445" cy="2209069"/>
                    </a:xfrm>
                    <a:prstGeom prst="rect">
                      <a:avLst/>
                    </a:prstGeom>
                    <a:noFill/>
                    <a:ln w="9525">
                      <a:noFill/>
                      <a:miter lim="800000"/>
                      <a:headEnd/>
                      <a:tailEnd/>
                    </a:ln>
                  </pic:spPr>
                </pic:pic>
              </a:graphicData>
            </a:graphic>
          </wp:inline>
        </w:drawing>
      </w:r>
    </w:p>
    <w:p>
      <w:pPr>
        <w:pStyle w:val="260"/>
        <w:spacing w:before="156" w:after="156"/>
        <w:ind w:left="0" w:firstLine="0"/>
        <w:jc w:val="center"/>
      </w:pPr>
      <w:r>
        <w:rPr>
          <w:rFonts w:hint="eastAsia"/>
        </w:rPr>
        <w:t>a 埋入型钢筋锚固式</w:t>
      </w:r>
    </w:p>
    <w:p>
      <w:pPr>
        <w:pStyle w:val="260"/>
        <w:spacing w:before="156" w:after="156"/>
        <w:ind w:left="0" w:firstLine="0"/>
        <w:jc w:val="center"/>
      </w:pPr>
      <w:r>
        <w:drawing>
          <wp:inline distT="0" distB="0" distL="0" distR="0">
            <wp:extent cx="3780155" cy="1851660"/>
            <wp:effectExtent l="0" t="0" r="0" b="0"/>
            <wp:docPr id="1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true" noChangeArrowheads="true"/>
                    </pic:cNvPicPr>
                  </pic:nvPicPr>
                  <pic:blipFill>
                    <a:blip r:embed="rId104"/>
                    <a:srcRect l="18693" t="38598" r="63070" b="40294"/>
                    <a:stretch>
                      <a:fillRect/>
                    </a:stretch>
                  </pic:blipFill>
                  <pic:spPr>
                    <a:xfrm>
                      <a:off x="0" y="0"/>
                      <a:ext cx="3811510" cy="1867385"/>
                    </a:xfrm>
                    <a:prstGeom prst="rect">
                      <a:avLst/>
                    </a:prstGeom>
                    <a:noFill/>
                    <a:ln w="9525">
                      <a:noFill/>
                      <a:miter lim="800000"/>
                      <a:headEnd/>
                      <a:tailEnd/>
                    </a:ln>
                  </pic:spPr>
                </pic:pic>
              </a:graphicData>
            </a:graphic>
          </wp:inline>
        </w:drawing>
      </w:r>
    </w:p>
    <w:p>
      <w:pPr>
        <w:pStyle w:val="260"/>
        <w:spacing w:before="156" w:after="156"/>
        <w:ind w:left="0" w:firstLine="0"/>
        <w:jc w:val="center"/>
      </w:pPr>
      <w:r>
        <w:rPr>
          <w:rFonts w:hint="eastAsia"/>
        </w:rPr>
        <w:t>b穿板型螺栓锚固式</w:t>
      </w:r>
    </w:p>
    <w:p>
      <w:pPr>
        <w:pStyle w:val="260"/>
        <w:spacing w:before="156" w:after="156"/>
        <w:ind w:left="0" w:firstLine="0"/>
        <w:jc w:val="center"/>
      </w:pPr>
      <w:r>
        <w:rPr>
          <w:rFonts w:hint="eastAsia"/>
        </w:rPr>
        <w:drawing>
          <wp:inline distT="0" distB="0" distL="0" distR="0">
            <wp:extent cx="4618990" cy="1506855"/>
            <wp:effectExtent l="19050" t="0" r="0" b="0"/>
            <wp:docPr id="6" name="图片 1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103"/>
                    <pic:cNvPicPr>
                      <a:picLocks noChangeAspect="true" noChangeArrowheads="true"/>
                    </pic:cNvPicPr>
                  </pic:nvPicPr>
                  <pic:blipFill>
                    <a:blip r:embed="rId105"/>
                    <a:srcRect l="43156" t="41492" r="25455" b="34514"/>
                    <a:stretch>
                      <a:fillRect/>
                    </a:stretch>
                  </pic:blipFill>
                  <pic:spPr>
                    <a:xfrm>
                      <a:off x="0" y="0"/>
                      <a:ext cx="4630111" cy="1510534"/>
                    </a:xfrm>
                    <a:prstGeom prst="rect">
                      <a:avLst/>
                    </a:prstGeom>
                    <a:noFill/>
                    <a:ln w="9525">
                      <a:noFill/>
                      <a:miter lim="800000"/>
                      <a:headEnd/>
                      <a:tailEnd/>
                    </a:ln>
                  </pic:spPr>
                </pic:pic>
              </a:graphicData>
            </a:graphic>
          </wp:inline>
        </w:drawing>
      </w:r>
    </w:p>
    <w:p>
      <w:pPr>
        <w:pStyle w:val="260"/>
        <w:spacing w:before="156" w:after="156"/>
        <w:ind w:left="0" w:firstLine="0"/>
        <w:jc w:val="center"/>
      </w:pPr>
      <w:r>
        <w:rPr>
          <w:rFonts w:hint="eastAsia"/>
        </w:rPr>
        <w:t>c穿墙型螺栓锚固式</w:t>
      </w:r>
    </w:p>
    <w:p>
      <w:pPr>
        <w:pStyle w:val="260"/>
        <w:spacing w:before="156" w:after="156"/>
        <w:ind w:left="0" w:firstLine="0"/>
        <w:jc w:val="center"/>
      </w:pPr>
      <w:r>
        <w:drawing>
          <wp:inline distT="0" distB="0" distL="0" distR="0">
            <wp:extent cx="5033010" cy="1594485"/>
            <wp:effectExtent l="0" t="0" r="0" b="0"/>
            <wp:docPr id="19"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true" noChangeArrowheads="true"/>
                    </pic:cNvPicPr>
                  </pic:nvPicPr>
                  <pic:blipFill>
                    <a:blip r:embed="rId106"/>
                    <a:srcRect l="24620" t="33386" r="40156" b="40246"/>
                    <a:stretch>
                      <a:fillRect/>
                    </a:stretch>
                  </pic:blipFill>
                  <pic:spPr>
                    <a:xfrm>
                      <a:off x="0" y="0"/>
                      <a:ext cx="5049944" cy="1600049"/>
                    </a:xfrm>
                    <a:prstGeom prst="rect">
                      <a:avLst/>
                    </a:prstGeom>
                    <a:noFill/>
                    <a:ln w="9525">
                      <a:noFill/>
                      <a:miter lim="800000"/>
                      <a:headEnd/>
                      <a:tailEnd/>
                    </a:ln>
                  </pic:spPr>
                </pic:pic>
              </a:graphicData>
            </a:graphic>
          </wp:inline>
        </w:drawing>
      </w:r>
    </w:p>
    <w:p>
      <w:pPr>
        <w:pStyle w:val="260"/>
        <w:spacing w:before="156" w:after="156"/>
        <w:ind w:left="0" w:firstLine="0"/>
        <w:jc w:val="center"/>
      </w:pPr>
      <w:r>
        <w:rPr>
          <w:rFonts w:hint="eastAsia"/>
        </w:rPr>
        <w:t>d侧埋型螺栓锚固式</w:t>
      </w:r>
    </w:p>
    <w:p>
      <w:pPr>
        <w:pStyle w:val="263"/>
        <w:numPr>
          <w:ilvl w:val="0"/>
          <w:numId w:val="17"/>
        </w:numPr>
        <w:spacing w:before="156" w:after="156"/>
        <w:ind w:left="0"/>
      </w:pPr>
      <w:r>
        <w:rPr>
          <w:rFonts w:hint="eastAsia"/>
        </w:rPr>
        <w:t>悬挑梁锚固端安全监测连接示意图</w:t>
      </w:r>
    </w:p>
    <w:p>
      <w:pPr>
        <w:pStyle w:val="128"/>
        <w:spacing w:before="156" w:after="156"/>
      </w:pPr>
      <w:bookmarkStart w:id="109" w:name="_Toc106095448"/>
      <w:r>
        <w:rPr>
          <w:rFonts w:hint="eastAsia"/>
        </w:rPr>
        <w:t>巡视检查</w:t>
      </w:r>
      <w:bookmarkEnd w:id="109"/>
    </w:p>
    <w:p>
      <w:pPr>
        <w:pStyle w:val="188"/>
        <w:ind w:left="0"/>
      </w:pPr>
      <w:r>
        <w:rPr>
          <w:rFonts w:hint="eastAsia"/>
        </w:rPr>
        <w:t>所有的悬挑式脚手架施工和使用期内，每天都应由专人巡视检查。</w:t>
      </w:r>
    </w:p>
    <w:p>
      <w:pPr>
        <w:pStyle w:val="188"/>
        <w:ind w:left="0"/>
      </w:pPr>
      <w:r>
        <w:t>悬挑式脚手架节段高度大于2</w:t>
      </w:r>
      <w:r>
        <w:rPr>
          <w:rFonts w:hint="eastAsia"/>
        </w:rPr>
        <w:t>0</w:t>
      </w:r>
      <w:r>
        <w:t>m时,巡视检查除应满足脚手架相关规定外,还应包括以下内容:</w:t>
      </w:r>
    </w:p>
    <w:p>
      <w:pPr>
        <w:pStyle w:val="79"/>
        <w:ind w:firstLine="420"/>
      </w:pPr>
      <w:r>
        <w:rPr>
          <w:rFonts w:hint="eastAsia"/>
        </w:rPr>
        <w:t>a）</w:t>
      </w:r>
      <w:r>
        <w:t>悬挑梁锚固端</w:t>
      </w:r>
      <w:r>
        <w:rPr>
          <w:rFonts w:hint="eastAsia"/>
        </w:rPr>
        <w:t>。</w:t>
      </w:r>
    </w:p>
    <w:p>
      <w:pPr>
        <w:pStyle w:val="132"/>
      </w:pPr>
      <w:r>
        <w:t>悬挑梁锚固端楼板有无裂缝出现；</w:t>
      </w:r>
    </w:p>
    <w:p>
      <w:pPr>
        <w:pStyle w:val="132"/>
      </w:pPr>
      <w:r>
        <w:t>悬挑梁锚固端锚固螺栓有无脱落。</w:t>
      </w:r>
    </w:p>
    <w:p>
      <w:pPr>
        <w:pStyle w:val="79"/>
        <w:ind w:firstLine="420"/>
      </w:pPr>
      <w:r>
        <w:rPr>
          <w:rFonts w:hint="eastAsia"/>
        </w:rPr>
        <w:t>b）吊拉钢丝绳。</w:t>
      </w:r>
    </w:p>
    <w:p>
      <w:pPr>
        <w:pStyle w:val="132"/>
      </w:pPr>
      <w:r>
        <w:t>钢丝绳绷紧状态；</w:t>
      </w:r>
    </w:p>
    <w:p>
      <w:pPr>
        <w:pStyle w:val="132"/>
      </w:pPr>
      <w:r>
        <w:t>钢丝绳端部安全弯是否正常。</w:t>
      </w:r>
    </w:p>
    <w:p>
      <w:pPr>
        <w:pStyle w:val="79"/>
        <w:ind w:firstLine="420"/>
      </w:pPr>
      <w:r>
        <w:rPr>
          <w:rFonts w:hint="eastAsia"/>
        </w:rPr>
        <w:t>c）</w:t>
      </w:r>
      <w:r>
        <w:t>连墙件。</w:t>
      </w:r>
    </w:p>
    <w:p>
      <w:pPr>
        <w:pStyle w:val="132"/>
      </w:pPr>
      <w:r>
        <w:t>连墙件部位扣件是否正常；</w:t>
      </w:r>
    </w:p>
    <w:p>
      <w:pPr>
        <w:pStyle w:val="132"/>
      </w:pPr>
      <w:r>
        <w:t>连墙件部位混凝土有无裂缝。</w:t>
      </w:r>
    </w:p>
    <w:p>
      <w:pPr>
        <w:pStyle w:val="79"/>
        <w:ind w:firstLine="420"/>
        <w:rPr>
          <w:rFonts w:hAnsi="宋体"/>
          <w:szCs w:val="21"/>
        </w:rPr>
      </w:pPr>
      <w:r>
        <w:rPr>
          <w:rFonts w:hint="eastAsia"/>
        </w:rPr>
        <w:t>d）</w:t>
      </w:r>
      <w:r>
        <w:rPr>
          <w:rStyle w:val="259"/>
          <w:rFonts w:hint="default" w:ascii="宋体" w:hAnsi="宋体" w:eastAsia="宋体"/>
          <w:sz w:val="21"/>
          <w:szCs w:val="21"/>
        </w:rPr>
        <w:t>监测装置完好状况。</w:t>
      </w:r>
    </w:p>
    <w:p>
      <w:pPr>
        <w:pStyle w:val="79"/>
        <w:ind w:firstLine="420"/>
        <w:rPr>
          <w:rFonts w:hAnsi="宋体"/>
          <w:szCs w:val="21"/>
        </w:rPr>
      </w:pPr>
      <w:r>
        <w:rPr>
          <w:rFonts w:hint="eastAsia"/>
        </w:rPr>
        <w:t>e）</w:t>
      </w:r>
      <w:r>
        <w:rPr>
          <w:rStyle w:val="259"/>
          <w:rFonts w:hint="default" w:ascii="宋体" w:hAnsi="宋体" w:eastAsia="宋体"/>
          <w:sz w:val="21"/>
          <w:szCs w:val="21"/>
        </w:rPr>
        <w:t>悬挑架荷载是否超过规定。</w:t>
      </w:r>
    </w:p>
    <w:p>
      <w:pPr>
        <w:pStyle w:val="79"/>
        <w:ind w:firstLine="420"/>
        <w:rPr>
          <w:rFonts w:hAnsi="宋体"/>
          <w:szCs w:val="21"/>
        </w:rPr>
      </w:pPr>
      <w:r>
        <w:rPr>
          <w:rFonts w:hint="eastAsia"/>
        </w:rPr>
        <w:t>f）</w:t>
      </w:r>
      <w:r>
        <w:rPr>
          <w:rStyle w:val="259"/>
          <w:rFonts w:hint="default" w:ascii="宋体" w:hAnsi="宋体" w:eastAsia="宋体"/>
          <w:sz w:val="21"/>
          <w:szCs w:val="21"/>
        </w:rPr>
        <w:t>悬挑式脚手架安全防护措施是否符合安全专项施工方案的要求。</w:t>
      </w:r>
    </w:p>
    <w:p>
      <w:pPr>
        <w:pStyle w:val="188"/>
        <w:ind w:left="0"/>
      </w:pPr>
      <w:r>
        <w:t>巡视检查如发现异常和危险情况，应及时通报相关作业人员并立即整改。</w:t>
      </w:r>
    </w:p>
    <w:p>
      <w:pPr>
        <w:pStyle w:val="128"/>
        <w:spacing w:before="156" w:after="156"/>
      </w:pPr>
      <w:bookmarkStart w:id="110" w:name="_Toc106095449"/>
      <w:r>
        <w:rPr>
          <w:rStyle w:val="259"/>
          <w:rFonts w:hint="default" w:ascii="黑体" w:hAnsi="黑体" w:eastAsia="黑体"/>
          <w:sz w:val="21"/>
          <w:szCs w:val="21"/>
        </w:rPr>
        <w:t>监测频率</w:t>
      </w:r>
      <w:bookmarkEnd w:id="110"/>
      <w:r>
        <w:rPr>
          <w:rStyle w:val="259"/>
          <w:rFonts w:hint="default" w:ascii="黑体" w:hAnsi="黑体" w:eastAsia="黑体"/>
          <w:sz w:val="21"/>
          <w:szCs w:val="21"/>
        </w:rPr>
        <w:tab/>
      </w:r>
    </w:p>
    <w:p>
      <w:pPr>
        <w:pStyle w:val="188"/>
        <w:ind w:left="0"/>
      </w:pPr>
      <w:r>
        <w:t>监测频率应根据悬挑式脚手架作业安全需要确定。</w:t>
      </w:r>
    </w:p>
    <w:p>
      <w:pPr>
        <w:pStyle w:val="188"/>
        <w:ind w:left="0"/>
      </w:pPr>
      <w:r>
        <w:t>悬挑式脚手架的安全监测应贯穿整个脚手架安装和拆除全过程。在每一个节段高度内，监测应从悬挑梁锚固完成开始,直至钢 丝绳和锚固件拆除。</w:t>
      </w:r>
    </w:p>
    <w:p>
      <w:pPr>
        <w:pStyle w:val="188"/>
        <w:ind w:left="0"/>
      </w:pPr>
      <w:r>
        <w:t>在每一个节段高度内，悬挑架每增高1层至少监测1次。</w:t>
      </w:r>
    </w:p>
    <w:p>
      <w:pPr>
        <w:pStyle w:val="188"/>
        <w:ind w:left="0"/>
      </w:pPr>
      <w:r>
        <w:t>在遇到5级以上（含5级）大风和大雨、雪天气时，应增加监测频率。</w:t>
      </w:r>
    </w:p>
    <w:p>
      <w:pPr>
        <w:pStyle w:val="128"/>
        <w:spacing w:before="156" w:after="156"/>
      </w:pPr>
      <w:bookmarkStart w:id="111" w:name="_Toc106095450"/>
      <w:r>
        <w:rPr>
          <w:rStyle w:val="259"/>
          <w:rFonts w:hint="default" w:ascii="黑体" w:hAnsi="黑体" w:eastAsia="黑体"/>
          <w:sz w:val="21"/>
          <w:szCs w:val="21"/>
        </w:rPr>
        <w:t>监测报警</w:t>
      </w:r>
      <w:bookmarkEnd w:id="111"/>
    </w:p>
    <w:p>
      <w:pPr>
        <w:pStyle w:val="188"/>
        <w:ind w:left="0"/>
      </w:pPr>
      <w:r>
        <w:t>悬挑梁锚固件、吊拉钢丝绳及连墙件可根据其材料性质和截面尺寸确定其设计承载力R。各构件的内力报警值取为设计承载力的85%</w:t>
      </w:r>
      <w:r>
        <w:rPr>
          <w:rFonts w:hint="eastAsia"/>
        </w:rPr>
        <w:t>。</w:t>
      </w:r>
    </w:p>
    <w:p>
      <w:pPr>
        <w:pStyle w:val="187"/>
        <w:rPr>
          <w:rFonts w:ascii="黑体" w:hAnsi="黑体" w:eastAsia="黑体"/>
        </w:rPr>
      </w:pPr>
      <w:r>
        <w:t>悬挑梁锚固件设计承载力应取楼板冲切破坏和锚固件破坏两者较小值。楼板冲切破坏承载力由结构设计参数确定，锚固件破坏承载力可按公式</w:t>
      </w:r>
      <w:r>
        <w:rPr>
          <w:rFonts w:hint="eastAsia"/>
        </w:rPr>
        <w:t>（11）</w:t>
      </w:r>
      <w:r>
        <w:t>确定</w:t>
      </w:r>
      <w:r>
        <w:rPr>
          <w:rFonts w:hint="eastAsia"/>
        </w:rPr>
        <w:t>。</w:t>
      </w:r>
    </w:p>
    <w:p>
      <w:pPr>
        <w:pStyle w:val="136"/>
      </w:pPr>
      <w:r>
        <w:tab/>
      </w:r>
      <m:oMath>
        <m:sSub>
          <m:sSubPr>
            <m:ctrlPr>
              <w:rPr>
                <w:rFonts w:ascii="Cambria Math" w:hAnsi="Cambria Math"/>
              </w:rPr>
            </m:ctrlPr>
          </m:sSubPr>
          <m:e>
            <m:r>
              <m:rPr/>
              <w:rPr>
                <w:rFonts w:ascii="Cambria Math" w:hAnsi="Cambria Math"/>
              </w:rPr>
              <m:t>R</m:t>
            </m:r>
            <m:ctrlPr>
              <w:rPr>
                <w:rFonts w:ascii="Cambria Math" w:hAnsi="Cambria Math"/>
              </w:rPr>
            </m:ctrlPr>
          </m:e>
          <m:sub>
            <m:r>
              <m:rPr/>
              <w:rPr>
                <w:rFonts w:ascii="Cambria Math" w:hAnsi="Cambria Math"/>
              </w:rPr>
              <m:t>m</m:t>
            </m:r>
            <m:ctrlPr>
              <w:rPr>
                <w:rFonts w:ascii="Cambria Math" w:hAnsi="Cambria Math"/>
              </w:rPr>
            </m:ctrlPr>
          </m:sub>
        </m:sSub>
        <m:r>
          <m:rPr/>
          <w:rPr>
            <w:rFonts w:ascii="Cambria Math" w:hAnsi="Cambria Math"/>
          </w:rPr>
          <m:t>=β</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l</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l</m:t>
            </m:r>
            <m:ctrlPr>
              <w:rPr>
                <w:rFonts w:ascii="Cambria Math" w:hAnsi="Cambria Math"/>
                <w:i/>
              </w:rPr>
            </m:ctrlPr>
          </m:sub>
        </m:sSub>
      </m:oMath>
      <w:r>
        <w:rPr>
          <w:rFonts w:ascii="微软雅黑" w:hAnsi="微软雅黑" w:eastAsia="微软雅黑"/>
        </w:rPr>
        <w:tab/>
      </w:r>
      <w:r>
        <w:t>(</w:t>
      </w:r>
      <w:r>
        <w:fldChar w:fldCharType="begin"/>
      </w:r>
      <w:r>
        <w:instrText xml:space="preserve"> AUTONUM </w:instrText>
      </w:r>
      <w:r>
        <w:fldChar w:fldCharType="end"/>
      </w:r>
      <w:r>
        <w:t>)</w:t>
      </w:r>
    </w:p>
    <w:p>
      <w:pPr>
        <w:pStyle w:val="78"/>
        <w:ind w:firstLine="420"/>
      </w:pPr>
      <w:r>
        <w:rPr>
          <w:rFonts w:hint="eastAsia"/>
        </w:rPr>
        <w:t>式中：</w:t>
      </w:r>
    </w:p>
    <w:p>
      <w:pPr>
        <w:pStyle w:val="253"/>
        <w:ind w:firstLine="380"/>
        <w:rPr>
          <w:szCs w:val="21"/>
        </w:rPr>
      </w:pPr>
      <w:r>
        <w:rPr>
          <w:rStyle w:val="259"/>
          <w:rFonts w:hint="default" w:hAnsi="宋体"/>
          <w:i/>
          <w:iCs/>
          <w:szCs w:val="21"/>
        </w:rPr>
        <w:t>R</w:t>
      </w:r>
      <w:r>
        <w:rPr>
          <w:rStyle w:val="259"/>
          <w:rFonts w:hint="default" w:hAnsi="宋体"/>
          <w:i/>
          <w:iCs/>
          <w:szCs w:val="21"/>
          <w:vertAlign w:val="subscript"/>
        </w:rPr>
        <w:t>m</w:t>
      </w:r>
      <w:r>
        <w:rPr>
          <w:rStyle w:val="259"/>
          <w:rFonts w:hint="default" w:ascii="Times New Roman" w:hAnsi="Times New Roman" w:eastAsia="宋体"/>
          <w:sz w:val="21"/>
          <w:szCs w:val="21"/>
        </w:rPr>
        <w:t>——</w:t>
      </w:r>
      <w:r>
        <w:rPr>
          <w:rStyle w:val="259"/>
          <w:rFonts w:hint="default" w:ascii="宋体" w:hAnsi="宋体" w:eastAsia="宋体"/>
          <w:sz w:val="21"/>
          <w:szCs w:val="21"/>
        </w:rPr>
        <w:t>锚固件破坏承载力,N ；</w:t>
      </w:r>
    </w:p>
    <w:p>
      <w:pPr>
        <w:pStyle w:val="326"/>
        <w:spacing w:line="316" w:lineRule="exact"/>
        <w:ind w:left="210" w:leftChars="100" w:firstLine="210" w:firstLineChars="100"/>
        <w:jc w:val="both"/>
        <w:rPr>
          <w:rFonts w:ascii="宋体" w:hAnsi="宋体" w:eastAsia="宋体"/>
          <w:sz w:val="21"/>
          <w:szCs w:val="21"/>
        </w:rPr>
      </w:pPr>
      <w:r>
        <w:rPr>
          <w:rStyle w:val="259"/>
          <w:rFonts w:hint="default" w:ascii="宋体" w:hAnsi="宋体" w:eastAsia="宋体"/>
          <w:i/>
          <w:iCs/>
          <w:sz w:val="21"/>
          <w:szCs w:val="21"/>
        </w:rPr>
        <w:t>A</w:t>
      </w:r>
      <w:r>
        <w:rPr>
          <w:rStyle w:val="259"/>
          <w:rFonts w:hint="default" w:ascii="宋体" w:hAnsi="宋体" w:eastAsia="宋体"/>
          <w:i/>
          <w:iCs/>
          <w:sz w:val="21"/>
          <w:szCs w:val="21"/>
          <w:vertAlign w:val="subscript"/>
        </w:rPr>
        <w:t>l</w:t>
      </w:r>
      <w:r>
        <w:rPr>
          <w:rStyle w:val="259"/>
          <w:rFonts w:hint="default" w:ascii="Times New Roman" w:hAnsi="Times New Roman" w:eastAsia="宋体"/>
          <w:sz w:val="21"/>
          <w:szCs w:val="21"/>
        </w:rPr>
        <w:t>——</w:t>
      </w:r>
      <w:r>
        <w:rPr>
          <w:rStyle w:val="259"/>
          <w:rFonts w:hint="default" w:ascii="宋体" w:eastAsia="宋体"/>
          <w:sz w:val="21"/>
          <w:szCs w:val="21"/>
        </w:rPr>
        <w:t>U形钢筋拉环净截面面积或螺栓有效截面面积mm</w:t>
      </w:r>
      <w:r>
        <w:rPr>
          <w:rStyle w:val="259"/>
          <w:rFonts w:hint="default" w:ascii="宋体" w:eastAsia="宋体"/>
          <w:sz w:val="21"/>
          <w:szCs w:val="21"/>
          <w:vertAlign w:val="superscript"/>
        </w:rPr>
        <w:t>2</w:t>
      </w:r>
      <w:r>
        <w:rPr>
          <w:rStyle w:val="259"/>
          <w:rFonts w:hint="default" w:ascii="宋体" w:eastAsia="宋体"/>
          <w:sz w:val="21"/>
          <w:szCs w:val="21"/>
        </w:rPr>
        <w:t>，一个钢筋拉环或一对螺栓按2个截面计算；</w:t>
      </w:r>
    </w:p>
    <w:p>
      <w:pPr>
        <w:pStyle w:val="326"/>
        <w:spacing w:line="316" w:lineRule="exact"/>
        <w:ind w:firstLine="438" w:firstLineChars="209"/>
        <w:jc w:val="both"/>
        <w:rPr>
          <w:rFonts w:ascii="宋体" w:eastAsia="宋体"/>
          <w:sz w:val="21"/>
          <w:szCs w:val="21"/>
        </w:rPr>
      </w:pPr>
      <w:r>
        <w:rPr>
          <w:rStyle w:val="259"/>
          <w:rFonts w:hint="default" w:ascii="宋体" w:hAnsi="宋体" w:eastAsia="宋体" w:cs="Arial Unicode MS"/>
          <w:i/>
          <w:iCs/>
          <w:sz w:val="21"/>
          <w:szCs w:val="21"/>
        </w:rPr>
        <w:t>β</w:t>
      </w:r>
      <w:r>
        <w:rPr>
          <w:rStyle w:val="259"/>
          <w:rFonts w:hint="default" w:ascii="Times New Roman" w:hAnsi="Times New Roman" w:eastAsia="宋体"/>
          <w:sz w:val="21"/>
          <w:szCs w:val="21"/>
        </w:rPr>
        <w:t>——</w:t>
      </w:r>
      <w:r>
        <w:rPr>
          <w:rStyle w:val="259"/>
          <w:rFonts w:hint="default" w:ascii="宋体" w:eastAsia="宋体"/>
          <w:sz w:val="21"/>
          <w:szCs w:val="21"/>
        </w:rPr>
        <w:t>折减系数，取0.3；</w:t>
      </w:r>
    </w:p>
    <w:p>
      <w:pPr>
        <w:pStyle w:val="326"/>
        <w:spacing w:line="316" w:lineRule="exact"/>
        <w:ind w:firstLine="420"/>
        <w:jc w:val="both"/>
        <w:rPr>
          <w:rFonts w:ascii="宋体" w:eastAsia="宋体"/>
          <w:sz w:val="21"/>
          <w:szCs w:val="21"/>
        </w:rPr>
      </w:pPr>
      <w:r>
        <w:rPr>
          <w:position w:val="-12"/>
        </w:rPr>
        <w:object>
          <v:shape id="_x0000_i1067" o:spt="75" type="#_x0000_t75" style="height:18.75pt;width:13.5pt;" o:ole="t" filled="f" o:preferrelative="t" stroked="f" coordsize="21600,21600">
            <v:path/>
            <v:fill on="f" focussize="0,0"/>
            <v:stroke on="f" joinstyle="miter"/>
            <v:imagedata r:id="rId108" o:title=""/>
            <o:lock v:ext="edit" aspectratio="t"/>
            <w10:wrap type="none"/>
            <w10:anchorlock/>
          </v:shape>
          <o:OLEObject Type="Embed" ProgID="Equation.3" ShapeID="_x0000_i1067" DrawAspect="Content" ObjectID="_1468075767" r:id="rId107">
            <o:LockedField>false</o:LockedField>
          </o:OLEObject>
        </w:object>
      </w:r>
      <w:r>
        <w:rPr>
          <w:rStyle w:val="259"/>
          <w:rFonts w:hint="default" w:ascii="Times New Roman" w:hAnsi="Times New Roman" w:eastAsia="宋体"/>
          <w:sz w:val="21"/>
          <w:szCs w:val="21"/>
        </w:rPr>
        <w:t>——</w:t>
      </w:r>
      <w:r>
        <w:rPr>
          <w:rStyle w:val="259"/>
          <w:rFonts w:hint="default" w:ascii="宋体" w:eastAsia="宋体"/>
          <w:sz w:val="21"/>
          <w:szCs w:val="21"/>
        </w:rPr>
        <w:t>U形钢筋拉环或螺栓抗拉强度设计值,N/mm</w:t>
      </w:r>
      <w:r>
        <w:rPr>
          <w:rStyle w:val="259"/>
          <w:rFonts w:hint="default" w:ascii="宋体" w:eastAsia="宋体"/>
          <w:sz w:val="21"/>
          <w:szCs w:val="21"/>
          <w:vertAlign w:val="superscript"/>
        </w:rPr>
        <w:t>2</w:t>
      </w:r>
      <w:r>
        <w:rPr>
          <w:rStyle w:val="259"/>
          <w:rFonts w:hint="default" w:ascii="宋体" w:eastAsia="宋体"/>
          <w:sz w:val="21"/>
          <w:szCs w:val="21"/>
          <w:vertAlign w:val="subscript"/>
        </w:rPr>
        <w:t>o</w:t>
      </w:r>
    </w:p>
    <w:p>
      <w:pPr>
        <w:pStyle w:val="187"/>
      </w:pPr>
      <w:r>
        <w:t>吊拉钢丝绳设计承载力应取配套花篮螺栓安全工作负荷与钢丝绳的容许拉力两者较小值。钢丝绳的容许拉力应按破断拉力计算，安全系数取6。</w:t>
      </w:r>
    </w:p>
    <w:p>
      <w:pPr>
        <w:pStyle w:val="187"/>
      </w:pPr>
      <w:r>
        <w:t>连墙件设计承载力应取连墙杆件受拉破坏、失稳破坏或扣件抗滑承载力的最小值。</w:t>
      </w:r>
    </w:p>
    <w:p>
      <w:pPr>
        <w:pStyle w:val="187"/>
      </w:pPr>
      <w:r>
        <w:t>当采用钢管扣件制作连墙件时，抗滑承载力可取8.0kN。</w:t>
      </w:r>
    </w:p>
    <w:p>
      <w:pPr>
        <w:pStyle w:val="79"/>
        <w:ind w:firstLine="420"/>
        <w:rPr>
          <w:rStyle w:val="259"/>
          <w:rFonts w:hint="default" w:ascii="宋体" w:hAnsi="宋体" w:eastAsia="宋体"/>
          <w:sz w:val="21"/>
          <w:szCs w:val="21"/>
        </w:rPr>
      </w:pPr>
      <w:r>
        <w:rPr>
          <w:rFonts w:hint="eastAsia"/>
        </w:rPr>
        <w:t>a）</w:t>
      </w:r>
      <w:r>
        <w:rPr>
          <w:rStyle w:val="259"/>
          <w:rFonts w:hint="default" w:ascii="宋体" w:hAnsi="宋体" w:eastAsia="宋体"/>
          <w:sz w:val="21"/>
          <w:szCs w:val="21"/>
        </w:rPr>
        <w:t>连墙件受拉承载力可按公式（12）计算：</w:t>
      </w:r>
    </w:p>
    <w:p>
      <w:pPr>
        <w:pStyle w:val="136"/>
        <w:rPr>
          <w:rStyle w:val="259"/>
          <w:rFonts w:hint="default" w:ascii="宋体" w:hAnsi="宋体" w:eastAsia="宋体"/>
          <w:sz w:val="21"/>
          <w:szCs w:val="21"/>
        </w:rPr>
      </w:pPr>
      <w:r>
        <w:rPr>
          <w:rStyle w:val="259"/>
          <w:rFonts w:hint="default" w:ascii="宋体" w:hAnsi="宋体" w:eastAsia="宋体"/>
          <w:sz w:val="21"/>
          <w:szCs w:val="21"/>
        </w:rPr>
        <w:tab/>
      </w:r>
      <m:oMath>
        <m:sSub>
          <m:sSubPr>
            <m:ctrlPr>
              <w:rPr>
                <w:rStyle w:val="259"/>
                <w:rFonts w:hint="default" w:ascii="Cambria Math" w:hAnsi="Cambria Math" w:eastAsia="宋体"/>
                <w:i/>
                <w:sz w:val="21"/>
                <w:szCs w:val="21"/>
              </w:rPr>
            </m:ctrlPr>
          </m:sSubPr>
          <m:e>
            <m:r>
              <m:rPr/>
              <w:rPr>
                <w:rStyle w:val="259"/>
                <w:rFonts w:hint="default" w:ascii="Cambria Math" w:hAnsi="Cambria Math" w:eastAsia="宋体"/>
                <w:sz w:val="21"/>
                <w:szCs w:val="21"/>
              </w:rPr>
              <m:t>R</m:t>
            </m:r>
            <m:ctrlPr>
              <w:rPr>
                <w:rStyle w:val="259"/>
                <w:rFonts w:hint="default" w:ascii="Cambria Math" w:hAnsi="Cambria Math" w:eastAsia="宋体"/>
                <w:i/>
                <w:sz w:val="21"/>
                <w:szCs w:val="21"/>
              </w:rPr>
            </m:ctrlPr>
          </m:e>
          <m:sub>
            <m:r>
              <m:rPr/>
              <w:rPr>
                <w:rStyle w:val="259"/>
                <w:rFonts w:hint="default" w:ascii="Cambria Math" w:hAnsi="Cambria Math" w:eastAsia="宋体"/>
                <w:sz w:val="21"/>
                <w:szCs w:val="21"/>
              </w:rPr>
              <m:t>1</m:t>
            </m:r>
            <m:ctrlPr>
              <w:rPr>
                <w:rStyle w:val="259"/>
                <w:rFonts w:hint="default" w:ascii="Cambria Math" w:hAnsi="Cambria Math" w:eastAsia="宋体"/>
                <w:i/>
                <w:sz w:val="21"/>
                <w:szCs w:val="21"/>
              </w:rPr>
            </m:ctrlPr>
          </m:sub>
        </m:sSub>
        <m:r>
          <m:rPr/>
          <w:rPr>
            <w:rStyle w:val="259"/>
            <w:rFonts w:hint="default" w:ascii="Cambria Math" w:hAnsi="Cambria Math" w:eastAsia="宋体"/>
            <w:sz w:val="21"/>
            <w:szCs w:val="21"/>
          </w:rPr>
          <m:t>=αf</m:t>
        </m:r>
        <m:sSub>
          <m:sSubPr>
            <m:ctrlPr>
              <w:rPr>
                <w:rStyle w:val="259"/>
                <w:rFonts w:hint="default" w:ascii="Cambria Math" w:hAnsi="Cambria Math" w:eastAsia="宋体"/>
                <w:i/>
                <w:sz w:val="21"/>
                <w:szCs w:val="21"/>
              </w:rPr>
            </m:ctrlPr>
          </m:sSubPr>
          <m:e>
            <m:r>
              <m:rPr/>
              <w:rPr>
                <w:rStyle w:val="259"/>
                <w:rFonts w:hint="default" w:ascii="Cambria Math" w:hAnsi="Cambria Math" w:eastAsia="宋体"/>
                <w:sz w:val="21"/>
                <w:szCs w:val="21"/>
              </w:rPr>
              <m:t>A</m:t>
            </m:r>
            <m:ctrlPr>
              <w:rPr>
                <w:rStyle w:val="259"/>
                <w:rFonts w:hint="default" w:ascii="Cambria Math" w:hAnsi="Cambria Math" w:eastAsia="宋体"/>
                <w:i/>
                <w:sz w:val="21"/>
                <w:szCs w:val="21"/>
              </w:rPr>
            </m:ctrlPr>
          </m:e>
          <m:sub>
            <m:r>
              <m:rPr/>
              <w:rPr>
                <w:rStyle w:val="259"/>
                <w:rFonts w:hint="default" w:ascii="Cambria Math" w:hAnsi="Cambria Math" w:eastAsia="宋体"/>
                <w:sz w:val="21"/>
                <w:szCs w:val="21"/>
              </w:rPr>
              <m:t>c</m:t>
            </m:r>
            <m:ctrlPr>
              <w:rPr>
                <w:rStyle w:val="259"/>
                <w:rFonts w:hint="default" w:ascii="Cambria Math" w:hAnsi="Cambria Math" w:eastAsia="宋体"/>
                <w:i/>
                <w:sz w:val="21"/>
                <w:szCs w:val="21"/>
              </w:rPr>
            </m:ctrlPr>
          </m:sub>
        </m:sSub>
      </m:oMath>
      <w:r>
        <w:rPr>
          <w:rStyle w:val="259"/>
          <w:rFonts w:hint="default" w:ascii="微软雅黑" w:hAnsi="微软雅黑" w:eastAsia="微软雅黑"/>
          <w:sz w:val="21"/>
          <w:szCs w:val="21"/>
        </w:rPr>
        <w:tab/>
      </w:r>
      <w:r>
        <w:rPr>
          <w:rStyle w:val="259"/>
          <w:rFonts w:hint="default" w:ascii="宋体" w:hAnsi="宋体" w:eastAsia="宋体"/>
          <w:sz w:val="21"/>
          <w:szCs w:val="21"/>
        </w:rPr>
        <w:t>(</w:t>
      </w:r>
      <w:r>
        <w:rPr>
          <w:rStyle w:val="259"/>
          <w:rFonts w:hint="default" w:ascii="宋体" w:hAnsi="宋体" w:eastAsia="宋体"/>
          <w:sz w:val="21"/>
          <w:szCs w:val="21"/>
        </w:rPr>
        <w:fldChar w:fldCharType="begin"/>
      </w:r>
      <w:r>
        <w:rPr>
          <w:rStyle w:val="259"/>
          <w:rFonts w:hint="default" w:ascii="宋体" w:hAnsi="宋体" w:eastAsia="宋体"/>
          <w:sz w:val="21"/>
          <w:szCs w:val="21"/>
        </w:rPr>
        <w:instrText xml:space="preserve"> AUTONUM </w:instrText>
      </w:r>
      <w:r>
        <w:rPr>
          <w:rStyle w:val="259"/>
          <w:rFonts w:hint="default" w:ascii="宋体" w:hAnsi="宋体" w:eastAsia="宋体"/>
          <w:sz w:val="21"/>
          <w:szCs w:val="21"/>
        </w:rPr>
        <w:fldChar w:fldCharType="end"/>
      </w:r>
      <w:r>
        <w:rPr>
          <w:rStyle w:val="259"/>
          <w:rFonts w:hint="default" w:ascii="宋体" w:hAnsi="宋体" w:eastAsia="宋体"/>
          <w:sz w:val="21"/>
          <w:szCs w:val="21"/>
        </w:rPr>
        <w:t>)</w:t>
      </w:r>
    </w:p>
    <w:p>
      <w:pPr>
        <w:pStyle w:val="78"/>
        <w:ind w:firstLine="420"/>
      </w:pPr>
      <w:r>
        <w:rPr>
          <w:rFonts w:hint="eastAsia"/>
        </w:rPr>
        <w:t>式中：</w:t>
      </w:r>
    </w:p>
    <w:p>
      <w:pPr>
        <w:pStyle w:val="326"/>
        <w:spacing w:line="316" w:lineRule="exact"/>
        <w:ind w:firstLine="438" w:firstLineChars="209"/>
        <w:rPr>
          <w:rFonts w:ascii="宋体" w:hAnsi="宋体" w:eastAsia="宋体"/>
          <w:sz w:val="21"/>
          <w:szCs w:val="21"/>
        </w:rPr>
      </w:pPr>
      <w:r>
        <w:rPr>
          <w:rStyle w:val="259"/>
          <w:rFonts w:hint="default" w:ascii="宋体" w:hAnsi="宋体" w:eastAsia="宋体"/>
          <w:i/>
          <w:iCs/>
          <w:sz w:val="21"/>
          <w:szCs w:val="21"/>
        </w:rPr>
        <w:t>R</w:t>
      </w:r>
      <w:r>
        <w:rPr>
          <w:rStyle w:val="259"/>
          <w:rFonts w:hint="default" w:ascii="宋体" w:hAnsi="宋体" w:eastAsia="宋体"/>
          <w:i/>
          <w:iCs/>
          <w:sz w:val="21"/>
          <w:szCs w:val="21"/>
          <w:vertAlign w:val="subscript"/>
        </w:rPr>
        <w:t>l</w:t>
      </w:r>
      <w:r>
        <w:rPr>
          <w:rStyle w:val="272"/>
          <w:rFonts w:hint="default" w:ascii="Times New Roman" w:hAnsi="Times New Roman" w:eastAsia="宋体"/>
          <w:sz w:val="21"/>
          <w:szCs w:val="21"/>
        </w:rPr>
        <w:t>——</w:t>
      </w:r>
      <w:r>
        <w:rPr>
          <w:rStyle w:val="272"/>
          <w:rFonts w:hint="default" w:ascii="宋体" w:hAnsi="宋体" w:eastAsia="宋体"/>
          <w:sz w:val="21"/>
          <w:szCs w:val="21"/>
        </w:rPr>
        <w:t>连墙件承载力,N；</w:t>
      </w:r>
    </w:p>
    <w:p>
      <w:pPr>
        <w:pStyle w:val="283"/>
        <w:spacing w:after="40"/>
        <w:ind w:firstLine="464" w:firstLineChars="221"/>
        <w:jc w:val="both"/>
        <w:rPr>
          <w:rFonts w:ascii="宋体" w:hAnsi="宋体"/>
          <w:sz w:val="21"/>
          <w:szCs w:val="21"/>
        </w:rPr>
      </w:pPr>
      <w:r>
        <w:rPr>
          <w:sz w:val="21"/>
          <w:szCs w:val="21"/>
        </w:rPr>
        <w:t>α</w:t>
      </w:r>
      <w:r>
        <w:rPr>
          <w:rStyle w:val="272"/>
          <w:rFonts w:hint="default" w:ascii="Times New Roman" w:hAnsi="Times New Roman" w:eastAsia="宋体"/>
          <w:sz w:val="21"/>
          <w:szCs w:val="21"/>
        </w:rPr>
        <w:t>——</w:t>
      </w:r>
      <w:r>
        <w:rPr>
          <w:rStyle w:val="259"/>
          <w:rFonts w:hint="default" w:ascii="宋体" w:hAnsi="宋体" w:eastAsia="宋体"/>
          <w:sz w:val="21"/>
          <w:szCs w:val="21"/>
        </w:rPr>
        <w:t>折减系数，取0.85；</w:t>
      </w:r>
    </w:p>
    <w:p>
      <w:pPr>
        <w:pStyle w:val="326"/>
        <w:ind w:firstLine="420" w:firstLineChars="200"/>
        <w:jc w:val="both"/>
        <w:rPr>
          <w:rFonts w:ascii="宋体" w:hAnsi="宋体" w:eastAsia="宋体"/>
          <w:sz w:val="21"/>
          <w:szCs w:val="21"/>
        </w:rPr>
      </w:pPr>
      <w:r>
        <w:rPr>
          <w:rStyle w:val="259"/>
          <w:rFonts w:hint="default" w:ascii="宋体" w:hAnsi="宋体" w:eastAsia="宋体"/>
          <w:i/>
          <w:iCs/>
          <w:sz w:val="21"/>
          <w:szCs w:val="21"/>
        </w:rPr>
        <w:t>A</w:t>
      </w:r>
      <w:r>
        <w:rPr>
          <w:rStyle w:val="259"/>
          <w:rFonts w:hint="default" w:ascii="宋体" w:hAnsi="宋体" w:eastAsia="宋体"/>
          <w:i/>
          <w:iCs/>
          <w:sz w:val="21"/>
          <w:szCs w:val="21"/>
          <w:vertAlign w:val="subscript"/>
        </w:rPr>
        <w:t>C</w:t>
      </w:r>
      <w:r>
        <w:rPr>
          <w:rStyle w:val="259"/>
          <w:rFonts w:hint="default" w:ascii="Times New Roman" w:hAnsi="Times New Roman" w:eastAsia="宋体"/>
          <w:sz w:val="21"/>
          <w:szCs w:val="21"/>
        </w:rPr>
        <w:t>——</w:t>
      </w:r>
      <w:r>
        <w:rPr>
          <w:rStyle w:val="272"/>
          <w:rFonts w:hint="default" w:ascii="宋体" w:hAnsi="宋体" w:eastAsia="宋体"/>
          <w:sz w:val="21"/>
          <w:szCs w:val="21"/>
        </w:rPr>
        <w:t>连墙件的净截面面积,mm</w:t>
      </w:r>
      <w:r>
        <w:rPr>
          <w:rStyle w:val="272"/>
          <w:rFonts w:hint="default" w:ascii="宋体" w:hAnsi="宋体" w:eastAsia="宋体"/>
          <w:sz w:val="21"/>
          <w:szCs w:val="21"/>
          <w:vertAlign w:val="superscript"/>
        </w:rPr>
        <w:t>2</w:t>
      </w:r>
      <w:r>
        <w:rPr>
          <w:rStyle w:val="272"/>
          <w:rFonts w:hint="default" w:ascii="宋体" w:hAnsi="宋体" w:eastAsia="宋体"/>
          <w:i/>
          <w:iCs/>
          <w:sz w:val="21"/>
          <w:szCs w:val="21"/>
        </w:rPr>
        <w:t>；</w:t>
      </w:r>
    </w:p>
    <w:p>
      <w:pPr>
        <w:pStyle w:val="326"/>
        <w:spacing w:line="316" w:lineRule="exact"/>
        <w:ind w:firstLine="380" w:firstLineChars="200"/>
        <w:jc w:val="both"/>
        <w:rPr>
          <w:rFonts w:ascii="宋体" w:hAnsi="宋体" w:eastAsia="宋体"/>
          <w:sz w:val="21"/>
          <w:szCs w:val="21"/>
        </w:rPr>
      </w:pPr>
      <w:r>
        <w:rPr>
          <w:position w:val="-10"/>
        </w:rPr>
        <w:object>
          <v:shape id="_x0000_i1068" o:spt="75" type="#_x0000_t75" style="height:15pt;width:12pt;" o:ole="t" filled="f" o:preferrelative="t" stroked="f" coordsize="21600,21600">
            <v:path/>
            <v:fill on="f" focussize="0,0"/>
            <v:stroke on="f" joinstyle="miter"/>
            <v:imagedata r:id="rId110" o:title=""/>
            <o:lock v:ext="edit" aspectratio="t"/>
            <w10:wrap type="none"/>
            <w10:anchorlock/>
          </v:shape>
          <o:OLEObject Type="Embed" ProgID="Equation.3" ShapeID="_x0000_i1068" DrawAspect="Content" ObjectID="_1468075768" r:id="rId109">
            <o:LockedField>false</o:LockedField>
          </o:OLEObject>
        </w:object>
      </w:r>
      <w:r>
        <w:rPr>
          <w:rStyle w:val="259"/>
          <w:rFonts w:hint="default" w:ascii="Times New Roman" w:hAnsi="Times New Roman" w:eastAsia="宋体"/>
          <w:sz w:val="21"/>
          <w:szCs w:val="21"/>
        </w:rPr>
        <w:t>——</w:t>
      </w:r>
      <w:r>
        <w:rPr>
          <w:rStyle w:val="272"/>
          <w:rFonts w:hint="default" w:ascii="宋体" w:hAnsi="宋体" w:eastAsia="宋体"/>
          <w:sz w:val="21"/>
          <w:szCs w:val="21"/>
        </w:rPr>
        <w:t>连墙件钢材的强度设计值,N/mm</w:t>
      </w:r>
      <w:r>
        <w:rPr>
          <w:rStyle w:val="272"/>
          <w:rFonts w:hint="default" w:ascii="宋体" w:hAnsi="宋体" w:eastAsia="宋体"/>
          <w:sz w:val="21"/>
          <w:szCs w:val="21"/>
          <w:vertAlign w:val="superscript"/>
        </w:rPr>
        <w:t>2</w:t>
      </w:r>
      <w:r>
        <w:rPr>
          <w:rStyle w:val="272"/>
          <w:rFonts w:hint="default" w:ascii="宋体" w:hAnsi="宋体" w:eastAsia="宋体"/>
          <w:sz w:val="21"/>
          <w:szCs w:val="21"/>
        </w:rPr>
        <w:t>,取205N/mm</w:t>
      </w:r>
      <w:r>
        <w:rPr>
          <w:rStyle w:val="272"/>
          <w:rFonts w:hint="default" w:ascii="宋体" w:hAnsi="宋体" w:eastAsia="宋体"/>
          <w:sz w:val="21"/>
          <w:szCs w:val="21"/>
          <w:vertAlign w:val="superscript"/>
        </w:rPr>
        <w:t>2</w:t>
      </w:r>
      <w:r>
        <w:rPr>
          <w:rStyle w:val="272"/>
          <w:rFonts w:hint="default" w:ascii="宋体" w:hAnsi="宋体" w:eastAsia="宋体"/>
          <w:sz w:val="21"/>
          <w:szCs w:val="21"/>
        </w:rPr>
        <w:t>。</w:t>
      </w:r>
    </w:p>
    <w:p>
      <w:pPr>
        <w:pStyle w:val="79"/>
        <w:ind w:firstLine="420"/>
        <w:rPr>
          <w:rStyle w:val="272"/>
          <w:rFonts w:hint="default" w:ascii="宋体" w:hAnsi="宋体" w:eastAsia="宋体"/>
          <w:sz w:val="21"/>
          <w:szCs w:val="21"/>
        </w:rPr>
      </w:pPr>
      <w:r>
        <w:rPr>
          <w:rFonts w:hint="eastAsia"/>
        </w:rPr>
        <w:t>b）</w:t>
      </w:r>
      <w:r>
        <w:rPr>
          <w:rStyle w:val="272"/>
          <w:rFonts w:hint="default" w:ascii="宋体" w:hAnsi="宋体" w:eastAsia="宋体"/>
          <w:sz w:val="21"/>
          <w:szCs w:val="21"/>
        </w:rPr>
        <w:t>连墙件稳定承载力可按</w:t>
      </w:r>
      <w:r>
        <w:rPr>
          <w:rStyle w:val="259"/>
          <w:rFonts w:hint="default" w:ascii="宋体" w:hAnsi="宋体" w:eastAsia="宋体"/>
          <w:sz w:val="21"/>
          <w:szCs w:val="21"/>
        </w:rPr>
        <w:t>公</w:t>
      </w:r>
      <w:r>
        <w:rPr>
          <w:rStyle w:val="272"/>
          <w:rFonts w:hint="default" w:ascii="宋体" w:hAnsi="宋体" w:eastAsia="宋体"/>
          <w:sz w:val="21"/>
          <w:szCs w:val="21"/>
        </w:rPr>
        <w:t>式</w:t>
      </w:r>
      <w:r>
        <w:rPr>
          <w:rStyle w:val="259"/>
          <w:rFonts w:hint="default" w:ascii="宋体" w:hAnsi="宋体" w:eastAsia="宋体"/>
          <w:sz w:val="21"/>
          <w:szCs w:val="21"/>
        </w:rPr>
        <w:t>（13）</w:t>
      </w:r>
      <w:r>
        <w:rPr>
          <w:rStyle w:val="272"/>
          <w:rFonts w:hint="default" w:ascii="宋体" w:hAnsi="宋体" w:eastAsia="宋体"/>
          <w:sz w:val="21"/>
          <w:szCs w:val="21"/>
        </w:rPr>
        <w:t>计算：</w:t>
      </w:r>
    </w:p>
    <w:p>
      <w:pPr>
        <w:pStyle w:val="136"/>
        <w:rPr>
          <w:rStyle w:val="272"/>
          <w:rFonts w:hint="default"/>
        </w:rPr>
      </w:pPr>
      <w:r>
        <w:rPr>
          <w:rStyle w:val="272"/>
          <w:rFonts w:hint="default"/>
        </w:rPr>
        <w:tab/>
      </w:r>
      <m:oMath>
        <m:sSub>
          <m:sSubPr>
            <m:ctrlPr>
              <w:rPr>
                <w:rStyle w:val="272"/>
                <w:rFonts w:hint="default" w:ascii="Cambria Math" w:hAnsi="Cambria Math"/>
                <w:i/>
              </w:rPr>
            </m:ctrlPr>
          </m:sSubPr>
          <m:e>
            <m:r>
              <m:rPr/>
              <w:rPr>
                <w:rStyle w:val="272"/>
                <w:rFonts w:hint="default" w:ascii="Cambria Math" w:hAnsi="Cambria Math"/>
              </w:rPr>
              <m:t>R</m:t>
            </m:r>
            <m:ctrlPr>
              <w:rPr>
                <w:rStyle w:val="272"/>
                <w:rFonts w:hint="default" w:ascii="Cambria Math" w:hAnsi="Cambria Math"/>
                <w:i/>
              </w:rPr>
            </m:ctrlPr>
          </m:e>
          <m:sub>
            <m:r>
              <m:rPr/>
              <w:rPr>
                <w:rStyle w:val="272"/>
                <w:rFonts w:hint="default" w:ascii="Cambria Math" w:hAnsi="Cambria Math"/>
              </w:rPr>
              <m:t>1</m:t>
            </m:r>
            <m:ctrlPr>
              <w:rPr>
                <w:rStyle w:val="272"/>
                <w:rFonts w:hint="default" w:ascii="Cambria Math" w:hAnsi="Cambria Math"/>
                <w:i/>
              </w:rPr>
            </m:ctrlPr>
          </m:sub>
        </m:sSub>
        <m:r>
          <m:rPr/>
          <w:rPr>
            <w:rStyle w:val="272"/>
            <w:rFonts w:hint="default" w:ascii="Cambria Math" w:hAnsi="Cambria Math"/>
          </w:rPr>
          <m:t>=αφfA</m:t>
        </m:r>
      </m:oMath>
      <w:r>
        <w:rPr>
          <w:rStyle w:val="272"/>
          <w:rFonts w:hint="default" w:ascii="微软雅黑" w:hAnsi="微软雅黑" w:eastAsia="微软雅黑"/>
        </w:rPr>
        <w:tab/>
      </w:r>
      <w:r>
        <w:rPr>
          <w:rStyle w:val="259"/>
          <w:rFonts w:hint="default" w:ascii="宋体" w:hAnsi="宋体" w:eastAsia="宋体"/>
          <w:sz w:val="21"/>
          <w:szCs w:val="21"/>
        </w:rPr>
        <w:t>(</w:t>
      </w:r>
      <w:r>
        <w:rPr>
          <w:rStyle w:val="259"/>
          <w:rFonts w:hint="default" w:ascii="宋体" w:hAnsi="宋体" w:eastAsia="宋体"/>
          <w:sz w:val="21"/>
          <w:szCs w:val="21"/>
        </w:rPr>
        <w:fldChar w:fldCharType="begin"/>
      </w:r>
      <w:r>
        <w:rPr>
          <w:rStyle w:val="259"/>
          <w:rFonts w:hint="default" w:ascii="宋体" w:hAnsi="宋体" w:eastAsia="宋体"/>
          <w:sz w:val="21"/>
          <w:szCs w:val="21"/>
        </w:rPr>
        <w:instrText xml:space="preserve"> AUTONUM </w:instrText>
      </w:r>
      <w:r>
        <w:rPr>
          <w:rStyle w:val="259"/>
          <w:rFonts w:hint="default" w:ascii="宋体" w:hAnsi="宋体" w:eastAsia="宋体"/>
          <w:sz w:val="21"/>
          <w:szCs w:val="21"/>
        </w:rPr>
        <w:fldChar w:fldCharType="end"/>
      </w:r>
      <w:r>
        <w:rPr>
          <w:rStyle w:val="259"/>
          <w:rFonts w:hint="default" w:ascii="宋体" w:hAnsi="宋体" w:eastAsia="宋体"/>
          <w:sz w:val="21"/>
          <w:szCs w:val="21"/>
        </w:rPr>
        <w:t>)</w:t>
      </w:r>
    </w:p>
    <w:p>
      <w:pPr>
        <w:pStyle w:val="78"/>
        <w:ind w:firstLine="420"/>
      </w:pPr>
      <w:r>
        <w:rPr>
          <w:rFonts w:hint="eastAsia"/>
        </w:rPr>
        <w:t>式中：</w:t>
      </w:r>
    </w:p>
    <w:p>
      <w:pPr>
        <w:pStyle w:val="78"/>
        <w:spacing w:line="360" w:lineRule="exact"/>
        <w:ind w:firstLine="475" w:firstLineChars="250"/>
        <w:rPr>
          <w:rStyle w:val="272"/>
          <w:rFonts w:hint="default" w:ascii="宋体" w:hAnsi="宋体" w:eastAsia="宋体"/>
          <w:sz w:val="21"/>
          <w:szCs w:val="21"/>
        </w:rPr>
      </w:pPr>
      <w:r>
        <w:rPr>
          <w:rStyle w:val="259"/>
          <w:rFonts w:hint="default" w:hAnsi="宋体"/>
          <w:i/>
          <w:iCs/>
          <w:szCs w:val="21"/>
        </w:rPr>
        <w:t>R</w:t>
      </w:r>
      <w:r>
        <w:rPr>
          <w:rStyle w:val="259"/>
          <w:rFonts w:hint="default" w:hAnsi="宋体"/>
          <w:i/>
          <w:iCs/>
          <w:szCs w:val="21"/>
          <w:vertAlign w:val="subscript"/>
        </w:rPr>
        <w:t>l</w:t>
      </w:r>
      <w:r>
        <w:rPr>
          <w:rStyle w:val="259"/>
          <w:rFonts w:hint="default" w:ascii="Times New Roman" w:hAnsi="Times New Roman" w:eastAsia="宋体"/>
          <w:sz w:val="21"/>
          <w:szCs w:val="21"/>
        </w:rPr>
        <w:t>——</w:t>
      </w:r>
      <w:r>
        <w:rPr>
          <w:rStyle w:val="272"/>
          <w:rFonts w:hint="default" w:ascii="宋体" w:hAnsi="宋体" w:eastAsia="宋体"/>
          <w:sz w:val="21"/>
          <w:szCs w:val="21"/>
        </w:rPr>
        <w:t>连墙件承载力,N；</w:t>
      </w:r>
    </w:p>
    <w:p>
      <w:pPr>
        <w:pStyle w:val="78"/>
        <w:spacing w:line="360" w:lineRule="exact"/>
        <w:ind w:firstLine="409" w:firstLineChars="195"/>
        <w:rPr>
          <w:rFonts w:ascii="宋体" w:hAnsi="宋体"/>
        </w:rPr>
      </w:pPr>
      <w:r>
        <w:rPr>
          <w:rFonts w:ascii="宋体" w:hAnsi="宋体"/>
        </w:rPr>
        <w:t>α</w:t>
      </w:r>
      <w:r>
        <w:rPr>
          <w:rStyle w:val="259"/>
          <w:rFonts w:hint="default" w:ascii="Times New Roman" w:hAnsi="Times New Roman" w:eastAsia="宋体"/>
          <w:sz w:val="21"/>
          <w:szCs w:val="21"/>
        </w:rPr>
        <w:t>——</w:t>
      </w:r>
      <w:r>
        <w:rPr>
          <w:rStyle w:val="259"/>
          <w:rFonts w:hint="default" w:ascii="宋体" w:hAnsi="宋体" w:eastAsia="宋体"/>
          <w:sz w:val="21"/>
          <w:szCs w:val="21"/>
        </w:rPr>
        <w:t>折减系数，取0.85；</w:t>
      </w:r>
    </w:p>
    <w:p>
      <w:pPr>
        <w:pStyle w:val="253"/>
        <w:spacing w:line="360" w:lineRule="exact"/>
        <w:rPr>
          <w:rStyle w:val="272"/>
          <w:rFonts w:hint="default" w:ascii="宋体" w:hAnsi="宋体" w:eastAsia="宋体"/>
          <w:i/>
          <w:iCs/>
          <w:sz w:val="21"/>
          <w:szCs w:val="21"/>
        </w:rPr>
      </w:pPr>
      <w:r>
        <w:rPr>
          <w:rStyle w:val="259"/>
          <w:rFonts w:hint="default" w:ascii="宋体" w:hAnsi="宋体" w:eastAsia="宋体"/>
          <w:i/>
          <w:iCs/>
          <w:sz w:val="21"/>
          <w:szCs w:val="21"/>
        </w:rPr>
        <w:t>A</w:t>
      </w:r>
      <w:r>
        <w:rPr>
          <w:rStyle w:val="259"/>
          <w:rFonts w:hint="default" w:ascii="Times New Roman" w:hAnsi="Times New Roman" w:eastAsia="宋体"/>
          <w:sz w:val="21"/>
          <w:szCs w:val="21"/>
        </w:rPr>
        <w:t>——</w:t>
      </w:r>
      <w:r>
        <w:rPr>
          <w:rStyle w:val="272"/>
          <w:rFonts w:hint="default" w:ascii="宋体" w:hAnsi="宋体" w:eastAsia="宋体"/>
          <w:sz w:val="21"/>
          <w:szCs w:val="21"/>
        </w:rPr>
        <w:t>连墙件的毛截面面积,mm</w:t>
      </w:r>
      <w:r>
        <w:rPr>
          <w:rStyle w:val="272"/>
          <w:rFonts w:hint="default" w:ascii="宋体" w:hAnsi="宋体" w:eastAsia="宋体"/>
          <w:sz w:val="21"/>
          <w:szCs w:val="21"/>
          <w:vertAlign w:val="superscript"/>
        </w:rPr>
        <w:t>2</w:t>
      </w:r>
      <w:r>
        <w:rPr>
          <w:rStyle w:val="272"/>
          <w:rFonts w:hint="default" w:ascii="宋体" w:hAnsi="宋体" w:eastAsia="宋体"/>
          <w:i/>
          <w:iCs/>
          <w:sz w:val="21"/>
          <w:szCs w:val="21"/>
        </w:rPr>
        <w:t>；</w:t>
      </w:r>
    </w:p>
    <w:p>
      <w:pPr>
        <w:pStyle w:val="253"/>
        <w:spacing w:line="360" w:lineRule="exact"/>
        <w:rPr>
          <w:rFonts w:hAnsi="宋体"/>
          <w:i/>
          <w:iCs/>
          <w:szCs w:val="21"/>
        </w:rPr>
      </w:pPr>
      <w:r>
        <w:rPr>
          <w:rStyle w:val="272"/>
          <w:rFonts w:hint="default" w:ascii="宋体" w:hAnsi="宋体" w:eastAsia="宋体"/>
          <w:i/>
          <w:iCs/>
          <w:sz w:val="21"/>
          <w:szCs w:val="21"/>
        </w:rPr>
        <w:object>
          <v:shape id="_x0000_i1069" o:spt="75" type="#_x0000_t75" style="height:13.5pt;width:10.5pt;" o:ole="t" filled="f" o:preferrelative="t" stroked="f" coordsize="21600,21600">
            <v:path/>
            <v:fill on="f" focussize="0,0"/>
            <v:stroke on="f" joinstyle="miter"/>
            <v:imagedata r:id="rId112" o:title=""/>
            <o:lock v:ext="edit" aspectratio="t"/>
            <w10:wrap type="none"/>
            <w10:anchorlock/>
          </v:shape>
          <o:OLEObject Type="Embed" ProgID="Equation.3" ShapeID="_x0000_i1069" DrawAspect="Content" ObjectID="_1468075769" r:id="rId111">
            <o:LockedField>false</o:LockedField>
          </o:OLEObject>
        </w:object>
      </w:r>
      <w:r>
        <w:rPr>
          <w:rStyle w:val="259"/>
          <w:rFonts w:hint="default" w:ascii="Times New Roman" w:hAnsi="Times New Roman" w:eastAsia="宋体"/>
          <w:sz w:val="21"/>
          <w:szCs w:val="21"/>
        </w:rPr>
        <w:t>——</w:t>
      </w:r>
      <w:r>
        <w:rPr>
          <w:rStyle w:val="259"/>
          <w:rFonts w:hint="default" w:ascii="宋体" w:hAnsi="宋体" w:eastAsia="宋体"/>
          <w:sz w:val="21"/>
          <w:szCs w:val="21"/>
        </w:rPr>
        <w:t>连墙件的稳定系数，应按附录A表A.5取值；</w:t>
      </w:r>
    </w:p>
    <w:p>
      <w:pPr>
        <w:pStyle w:val="253"/>
        <w:spacing w:line="360" w:lineRule="exact"/>
        <w:rPr>
          <w:rFonts w:hAnsi="宋体"/>
          <w:i/>
          <w:iCs/>
          <w:szCs w:val="21"/>
        </w:rPr>
      </w:pPr>
      <w:r>
        <w:rPr>
          <w:rStyle w:val="272"/>
          <w:rFonts w:hint="default" w:ascii="宋体" w:hAnsi="宋体" w:eastAsia="宋体"/>
          <w:i/>
          <w:iCs/>
          <w:sz w:val="21"/>
          <w:szCs w:val="21"/>
        </w:rPr>
        <w:object>
          <v:shape id="_x0000_i1070" o:spt="75" type="#_x0000_t75" style="height:15pt;width:12pt;" o:ole="t" filled="f" o:preferrelative="t" stroked="f" coordsize="21600,21600">
            <v:path/>
            <v:fill on="f" focussize="0,0"/>
            <v:stroke on="f" joinstyle="miter"/>
            <v:imagedata r:id="rId114" o:title=""/>
            <o:lock v:ext="edit" aspectratio="t"/>
            <w10:wrap type="none"/>
            <w10:anchorlock/>
          </v:shape>
          <o:OLEObject Type="Embed" ProgID="Equation.3" ShapeID="_x0000_i1070" DrawAspect="Content" ObjectID="_1468075770" r:id="rId113">
            <o:LockedField>false</o:LockedField>
          </o:OLEObject>
        </w:object>
      </w:r>
      <w:r>
        <w:rPr>
          <w:rStyle w:val="259"/>
          <w:rFonts w:hint="default" w:ascii="Times New Roman" w:hAnsi="Times New Roman" w:eastAsia="宋体"/>
          <w:sz w:val="21"/>
          <w:szCs w:val="21"/>
        </w:rPr>
        <w:t>——</w:t>
      </w:r>
      <w:r>
        <w:rPr>
          <w:rStyle w:val="272"/>
          <w:rFonts w:hint="default" w:ascii="宋体" w:hAnsi="宋体" w:eastAsia="宋体"/>
          <w:sz w:val="21"/>
          <w:szCs w:val="21"/>
        </w:rPr>
        <w:t>连墙件钢材的强度设计值,N/mm</w:t>
      </w:r>
      <w:r>
        <w:rPr>
          <w:rStyle w:val="272"/>
          <w:rFonts w:hint="default" w:ascii="宋体" w:hAnsi="宋体" w:eastAsia="宋体"/>
          <w:sz w:val="21"/>
          <w:szCs w:val="21"/>
          <w:vertAlign w:val="superscript"/>
        </w:rPr>
        <w:t>2</w:t>
      </w:r>
      <w:r>
        <w:rPr>
          <w:rStyle w:val="272"/>
          <w:rFonts w:hint="default" w:ascii="宋体" w:hAnsi="宋体" w:eastAsia="宋体"/>
          <w:sz w:val="21"/>
          <w:szCs w:val="21"/>
        </w:rPr>
        <w:t>,取205N/mm</w:t>
      </w:r>
      <w:r>
        <w:rPr>
          <w:rStyle w:val="272"/>
          <w:rFonts w:hint="default" w:ascii="宋体" w:hAnsi="宋体" w:eastAsia="宋体"/>
          <w:sz w:val="21"/>
          <w:szCs w:val="21"/>
          <w:vertAlign w:val="superscript"/>
        </w:rPr>
        <w:t>2</w:t>
      </w:r>
      <w:r>
        <w:rPr>
          <w:rStyle w:val="272"/>
          <w:rFonts w:hint="default" w:ascii="宋体" w:hAnsi="宋体" w:eastAsia="宋体"/>
          <w:sz w:val="21"/>
          <w:szCs w:val="21"/>
        </w:rPr>
        <w:t>。</w:t>
      </w:r>
    </w:p>
    <w:p>
      <w:pPr>
        <w:pStyle w:val="188"/>
        <w:ind w:left="0"/>
      </w:pPr>
      <w:r>
        <w:t>当监测内力超过报警值时，应立即向项目经理、项目总监理工程师报告，并相应加密监测频率。</w:t>
      </w:r>
    </w:p>
    <w:p>
      <w:pPr>
        <w:pStyle w:val="188"/>
        <w:ind w:left="0"/>
      </w:pPr>
      <w:r>
        <w:t>项目经理、项目总监理工程师等接到悬挑式脚手架报警通知后，应立即查明原因,必要时应组织作业人员撤离危险部位,并采取措施消除事故隐患。</w:t>
      </w:r>
    </w:p>
    <w:p>
      <w:pPr>
        <w:pStyle w:val="127"/>
        <w:spacing w:before="312" w:after="312"/>
      </w:pPr>
      <w:bookmarkStart w:id="112" w:name="_Toc40626476"/>
      <w:bookmarkStart w:id="113" w:name="_Toc106095451"/>
      <w:bookmarkStart w:id="114" w:name="_Toc40694693"/>
      <w:bookmarkStart w:id="115" w:name="_Toc40636261"/>
      <w:r>
        <w:t>检查与验收</w:t>
      </w:r>
      <w:bookmarkEnd w:id="112"/>
      <w:bookmarkEnd w:id="113"/>
      <w:bookmarkEnd w:id="114"/>
      <w:bookmarkEnd w:id="115"/>
    </w:p>
    <w:p>
      <w:pPr>
        <w:pStyle w:val="185"/>
      </w:pPr>
      <w:r>
        <w:t>悬挑式脚手架应在下列阶段进行检查验收：</w:t>
      </w:r>
    </w:p>
    <w:p>
      <w:pPr>
        <w:pStyle w:val="79"/>
        <w:ind w:firstLine="420"/>
      </w:pPr>
      <w:r>
        <w:rPr>
          <w:rFonts w:hint="eastAsia"/>
        </w:rPr>
        <w:t>a）</w:t>
      </w:r>
      <w:r>
        <w:t>悬挑梁安装完成后、脚手架搭设前</w:t>
      </w:r>
      <w:r>
        <w:rPr>
          <w:rFonts w:hint="eastAsia"/>
        </w:rPr>
        <w:t>。</w:t>
      </w:r>
    </w:p>
    <w:p>
      <w:pPr>
        <w:pStyle w:val="79"/>
        <w:ind w:firstLine="420"/>
      </w:pPr>
      <w:r>
        <w:rPr>
          <w:rFonts w:hint="eastAsia"/>
        </w:rPr>
        <w:t>b）</w:t>
      </w:r>
      <w:r>
        <w:t>作业层上施加荷载前</w:t>
      </w:r>
      <w:r>
        <w:rPr>
          <w:rFonts w:hint="eastAsia"/>
        </w:rPr>
        <w:t>。</w:t>
      </w:r>
    </w:p>
    <w:p>
      <w:pPr>
        <w:pStyle w:val="79"/>
        <w:ind w:firstLine="420"/>
      </w:pPr>
      <w:r>
        <w:rPr>
          <w:rFonts w:hint="eastAsia"/>
        </w:rPr>
        <w:t>c）</w:t>
      </w:r>
      <w:r>
        <w:t>达到设计高度后</w:t>
      </w:r>
      <w:r>
        <w:rPr>
          <w:rFonts w:hint="eastAsia"/>
        </w:rPr>
        <w:t>。</w:t>
      </w:r>
    </w:p>
    <w:p>
      <w:pPr>
        <w:pStyle w:val="79"/>
        <w:ind w:firstLine="420"/>
      </w:pPr>
      <w:r>
        <w:rPr>
          <w:rFonts w:hint="eastAsia"/>
        </w:rPr>
        <w:t>d）</w:t>
      </w:r>
      <w:r>
        <w:t>遇有</w:t>
      </w:r>
      <w:r>
        <w:rPr>
          <w:rFonts w:hint="eastAsia"/>
        </w:rPr>
        <w:t>6</w:t>
      </w:r>
      <w:r>
        <w:t>级及以上大风和大雨后</w:t>
      </w:r>
      <w:r>
        <w:rPr>
          <w:rFonts w:hint="eastAsia"/>
        </w:rPr>
        <w:t>。</w:t>
      </w:r>
    </w:p>
    <w:p>
      <w:pPr>
        <w:pStyle w:val="79"/>
        <w:ind w:firstLine="420"/>
      </w:pPr>
      <w:r>
        <w:rPr>
          <w:rFonts w:hint="eastAsia"/>
        </w:rPr>
        <w:t>e）</w:t>
      </w:r>
      <w:r>
        <w:t>停用超过1个月。</w:t>
      </w:r>
    </w:p>
    <w:p>
      <w:pPr>
        <w:pStyle w:val="185"/>
      </w:pPr>
      <w:r>
        <w:t>悬挑式脚手架检验应根据下列技术文件进行：</w:t>
      </w:r>
    </w:p>
    <w:p>
      <w:pPr>
        <w:pStyle w:val="79"/>
        <w:ind w:firstLine="420"/>
      </w:pPr>
      <w:r>
        <w:rPr>
          <w:rFonts w:hint="eastAsia"/>
        </w:rPr>
        <w:t>a）本文件10.3，10.4条的规定。</w:t>
      </w:r>
    </w:p>
    <w:p>
      <w:pPr>
        <w:pStyle w:val="79"/>
        <w:ind w:firstLine="420"/>
      </w:pPr>
      <w:r>
        <w:rPr>
          <w:rFonts w:hint="eastAsia"/>
        </w:rPr>
        <w:t>b）</w:t>
      </w:r>
      <w:r>
        <w:t>安全专项施工方案及变更文件</w:t>
      </w:r>
      <w:r>
        <w:rPr>
          <w:rFonts w:hint="eastAsia"/>
        </w:rPr>
        <w:t>。</w:t>
      </w:r>
    </w:p>
    <w:p>
      <w:pPr>
        <w:pStyle w:val="79"/>
        <w:ind w:firstLine="420"/>
      </w:pPr>
      <w:r>
        <w:rPr>
          <w:rFonts w:hint="eastAsia"/>
        </w:rPr>
        <w:t>c）</w:t>
      </w:r>
      <w:r>
        <w:t>安全技术交底</w:t>
      </w:r>
      <w:r>
        <w:rPr>
          <w:rFonts w:hint="eastAsia"/>
        </w:rPr>
        <w:t>。</w:t>
      </w:r>
    </w:p>
    <w:p>
      <w:pPr>
        <w:pStyle w:val="79"/>
        <w:ind w:firstLine="420"/>
      </w:pPr>
      <w:r>
        <w:rPr>
          <w:rFonts w:hint="eastAsia"/>
        </w:rPr>
        <w:t>d）</w:t>
      </w:r>
      <w:r>
        <w:t>附录</w:t>
      </w:r>
      <w:r>
        <w:rPr>
          <w:rFonts w:hint="eastAsia"/>
        </w:rPr>
        <w:t>B</w:t>
      </w:r>
      <w:r>
        <w:t>的</w:t>
      </w:r>
      <w:r>
        <w:rPr>
          <w:rFonts w:hint="eastAsia"/>
        </w:rPr>
        <w:t>相关</w:t>
      </w:r>
      <w:r>
        <w:t>规定。</w:t>
      </w:r>
    </w:p>
    <w:p>
      <w:pPr>
        <w:pStyle w:val="185"/>
      </w:pPr>
      <w:r>
        <w:t>悬挑梁安装</w:t>
      </w:r>
      <w:r>
        <w:rPr>
          <w:rFonts w:hint="eastAsia"/>
        </w:rPr>
        <w:t>的</w:t>
      </w:r>
      <w:r>
        <w:t>技术要求及检验方法应符合附录</w:t>
      </w:r>
      <w:r>
        <w:rPr>
          <w:rFonts w:hint="eastAsia"/>
        </w:rPr>
        <w:t>B</w:t>
      </w:r>
      <w:r>
        <w:t>表</w:t>
      </w:r>
      <w:r>
        <w:rPr>
          <w:rFonts w:hint="eastAsia"/>
        </w:rPr>
        <w:t>B</w:t>
      </w:r>
      <w:r>
        <w:t>.2的规定</w:t>
      </w:r>
      <w:r>
        <w:rPr>
          <w:rFonts w:hint="eastAsia"/>
        </w:rPr>
        <w:t>。</w:t>
      </w:r>
    </w:p>
    <w:p>
      <w:pPr>
        <w:pStyle w:val="185"/>
      </w:pPr>
      <w:r>
        <w:t>悬挑</w:t>
      </w:r>
      <w:r>
        <w:rPr>
          <w:rFonts w:hint="eastAsia"/>
        </w:rPr>
        <w:t>架</w:t>
      </w:r>
      <w:r>
        <w:t>架体搭设的技术要求及检验方法应符合附录</w:t>
      </w:r>
      <w:r>
        <w:rPr>
          <w:rFonts w:hint="eastAsia"/>
        </w:rPr>
        <w:t>B</w:t>
      </w:r>
      <w:r>
        <w:t>表</w:t>
      </w:r>
      <w:r>
        <w:rPr>
          <w:rFonts w:hint="eastAsia"/>
        </w:rPr>
        <w:t>B</w:t>
      </w:r>
      <w:r>
        <w:t>.3的规定</w:t>
      </w:r>
      <w:r>
        <w:rPr>
          <w:rFonts w:hint="eastAsia"/>
        </w:rPr>
        <w:t>。</w:t>
      </w:r>
    </w:p>
    <w:p>
      <w:pPr>
        <w:pStyle w:val="127"/>
        <w:spacing w:before="312" w:after="312"/>
      </w:pPr>
      <w:bookmarkStart w:id="116" w:name="_Toc40694694"/>
      <w:bookmarkStart w:id="117" w:name="_Toc106095452"/>
      <w:bookmarkStart w:id="118" w:name="_Toc40626477"/>
      <w:bookmarkStart w:id="119" w:name="_Toc40636262"/>
      <w:r>
        <w:rPr>
          <w:rFonts w:hint="eastAsia"/>
        </w:rPr>
        <w:t>安全管理</w:t>
      </w:r>
      <w:bookmarkEnd w:id="116"/>
      <w:bookmarkEnd w:id="117"/>
      <w:bookmarkEnd w:id="118"/>
      <w:bookmarkEnd w:id="119"/>
    </w:p>
    <w:p>
      <w:pPr>
        <w:pStyle w:val="185"/>
      </w:pPr>
      <w:r>
        <w:t>未经项目经理同意，任何人不得拆除悬挑式脚手架的连墙件、吊拉钢丝绳等部件。</w:t>
      </w:r>
    </w:p>
    <w:p>
      <w:pPr>
        <w:pStyle w:val="185"/>
      </w:pPr>
      <w:r>
        <w:t>悬挑式脚手架安装拆卸人员，必须是经过特种作业人员安全技术考核合格的专业架子工。上岗人员应定期体检，合格者方可持上岗证。</w:t>
      </w:r>
    </w:p>
    <w:p>
      <w:pPr>
        <w:pStyle w:val="185"/>
      </w:pPr>
      <w:r>
        <w:t>悬挑式脚手架安装拆卸人员在安装拆卸过程中要做到文明作业，不得从架子上抛落工具、物品；同时必须保证自身安全,必须穿防滑鞋，佩戴安全帽、安全带,未佩戴安全防护用品不得上架子。</w:t>
      </w:r>
    </w:p>
    <w:p>
      <w:pPr>
        <w:pStyle w:val="185"/>
      </w:pPr>
      <w:r>
        <w:t>悬挑式脚手架安装、拆除作业前,应根据脚手架高度及坠落 半径,在地面对应位置设置临时围护和警告标志，并应设专人监护, 严禁非操作人员入内。</w:t>
      </w:r>
    </w:p>
    <w:p>
      <w:pPr>
        <w:pStyle w:val="185"/>
      </w:pPr>
      <w:r>
        <w:t>悬挑式脚手架安装拆卸作业，应有防止高空坠落和防止落物伤人的防护措施。</w:t>
      </w:r>
    </w:p>
    <w:p>
      <w:pPr>
        <w:pStyle w:val="185"/>
      </w:pPr>
      <w:r>
        <w:t>悬挑式脚手架构配件的质量和安装质量,应按本规程第</w:t>
      </w:r>
      <w:r>
        <w:rPr>
          <w:rFonts w:hint="eastAsia"/>
        </w:rPr>
        <w:t>10</w:t>
      </w:r>
      <w:r>
        <w:t>章的规定进行检查验收，并应确认合格后再使用。</w:t>
      </w:r>
    </w:p>
    <w:p>
      <w:pPr>
        <w:pStyle w:val="185"/>
      </w:pPr>
      <w:r>
        <w:t>当遇到6级及以上大风或雾、雨、雪天气时，应停止作业。雨、雪后上架作业应有防滑措施，并应扫除积雪。不应夜间从事悬挑式脚手架安装、拆除作业</w:t>
      </w:r>
      <w:r>
        <w:rPr>
          <w:rFonts w:hint="eastAsia"/>
        </w:rPr>
        <w:t>。</w:t>
      </w:r>
    </w:p>
    <w:p>
      <w:pPr>
        <w:pStyle w:val="185"/>
      </w:pPr>
      <w:r>
        <w:t>悬挑式脚手架架体上的施工荷载必须符合设计要求,不应超载使用。架体上的建筑垃圾及杂物应及时清理。</w:t>
      </w:r>
    </w:p>
    <w:p>
      <w:pPr>
        <w:pStyle w:val="185"/>
      </w:pPr>
      <w:r>
        <w:t>严禁扩大悬挑式脚手架的使用范围，不得将模板支架、缆风绳、混凝土和砂浆输送管道、卸料平台等固定在悬挑式脚手架上,严禁借助悬挑式脚手架起吊重物，严禁悬挂起重设备，严禁拆除或移动架体上的安全防护设施。</w:t>
      </w:r>
    </w:p>
    <w:p>
      <w:pPr>
        <w:pStyle w:val="185"/>
      </w:pPr>
      <w:r>
        <w:t>悬挑式脚手架应按JGJ 59进行检查，若发现问题和隐患，应在施工作业前及时维修加固，以达到坚固稳定，确保施工安全。</w:t>
      </w:r>
    </w:p>
    <w:p>
      <w:pPr>
        <w:pStyle w:val="185"/>
      </w:pPr>
      <w:r>
        <w:t>悬挑式脚手架在使用期间，严禁进行任何可能影响悬挑式脚手架安全的违章作业。</w:t>
      </w:r>
    </w:p>
    <w:p>
      <w:pPr>
        <w:pStyle w:val="185"/>
      </w:pPr>
      <w:r>
        <w:t>在脚手架上进行电、气焊作业时，必须有防火措施,并设专人进行监护。</w:t>
      </w:r>
    </w:p>
    <w:p>
      <w:pPr>
        <w:pStyle w:val="185"/>
      </w:pPr>
      <w:r>
        <w:t>工地临时用电线路的架设及脚手架接地、避雷措施等，应按JGJ46的有关规定执行。</w:t>
      </w:r>
    </w:p>
    <w:p>
      <w:pPr>
        <w:pStyle w:val="185"/>
      </w:pPr>
      <w:r>
        <w:t>悬挑式脚手架不得搭设在外电架空线路的安全距离内,并做好可靠的安全接地处理。</w:t>
      </w:r>
    </w:p>
    <w:p>
      <w:pPr>
        <w:pStyle w:val="185"/>
      </w:pPr>
      <w:r>
        <w:t>悬挑式脚手架沿架体外围必须用安全网全封闭,安全网宜设置在脚手架外立杆的内侧，并顺环扣逐个与架体绑扎牢固。</w:t>
      </w:r>
    </w:p>
    <w:p>
      <w:pPr>
        <w:pStyle w:val="185"/>
      </w:pPr>
      <w:r>
        <w:t>悬挑式脚手架底部与墙体之间的间隙应封堵牢固、严密，各作业层之间设置可靠的防护栅栏，预防人员、物体从中坠落。</w:t>
      </w:r>
    </w:p>
    <w:p>
      <w:pPr>
        <w:pStyle w:val="185"/>
      </w:pPr>
      <w:r>
        <w:t>结构施工时,不宜多层同时作业;装修施工时，同时作业层数不超过2层</w:t>
      </w:r>
      <w:r>
        <w:rPr>
          <w:rFonts w:hint="eastAsia"/>
        </w:rPr>
        <w:t>。</w:t>
      </w:r>
    </w:p>
    <w:p>
      <w:pPr>
        <w:pStyle w:val="185"/>
      </w:pPr>
      <w:r>
        <w:t>当发现钢丝绳安全弯被拉直时,应立即处理。</w:t>
      </w:r>
    </w:p>
    <w:p>
      <w:pPr>
        <w:pStyle w:val="79"/>
        <w:ind w:firstLine="420"/>
      </w:pPr>
    </w:p>
    <w:p>
      <w:pPr>
        <w:pStyle w:val="79"/>
        <w:ind w:firstLine="420"/>
      </w:pPr>
    </w:p>
    <w:p>
      <w:pPr>
        <w:pStyle w:val="79"/>
        <w:ind w:firstLine="420"/>
        <w:sectPr>
          <w:pgSz w:w="11906" w:h="16838"/>
          <w:pgMar w:top="1928" w:right="1134" w:bottom="1134" w:left="1134" w:header="1418" w:footer="1134" w:gutter="284"/>
          <w:pgNumType w:start="1"/>
          <w:cols w:space="425" w:num="1"/>
          <w:formProt w:val="0"/>
          <w:docGrid w:type="lines" w:linePitch="312" w:charSpace="0"/>
        </w:sectPr>
      </w:pPr>
    </w:p>
    <w:bookmarkEnd w:id="25"/>
    <w:p>
      <w:pPr>
        <w:pStyle w:val="221"/>
        <w:rPr>
          <w:vanish w:val="0"/>
        </w:rPr>
      </w:pPr>
      <w:bookmarkStart w:id="120" w:name="BookMark5"/>
    </w:p>
    <w:p>
      <w:pPr>
        <w:pStyle w:val="222"/>
        <w:rPr>
          <w:vanish w:val="0"/>
        </w:rPr>
      </w:pPr>
    </w:p>
    <w:p>
      <w:pPr>
        <w:pStyle w:val="99"/>
        <w:spacing w:after="156"/>
      </w:pPr>
      <w:r>
        <w:br w:type="textWrapping"/>
      </w:r>
      <w:bookmarkStart w:id="121" w:name="_Toc106095453"/>
      <w:r>
        <w:rPr>
          <w:rFonts w:hint="eastAsia"/>
        </w:rPr>
        <w:t>（资料性）</w:t>
      </w:r>
      <w:r>
        <w:br w:type="textWrapping"/>
      </w:r>
      <w:r>
        <w:rPr>
          <w:rFonts w:hint="eastAsia"/>
        </w:rPr>
        <w:t>悬挑式脚手架常用材料力学特征</w:t>
      </w:r>
      <w:bookmarkEnd w:id="121"/>
    </w:p>
    <w:p>
      <w:pPr>
        <w:pStyle w:val="234"/>
      </w:pPr>
      <w:r>
        <w:rPr>
          <w:rFonts w:hint="eastAsia"/>
        </w:rPr>
        <w:t>常用热轧普通工字钢的规格、理论重量及截面特性值如表A.1所示。</w:t>
      </w:r>
    </w:p>
    <w:p>
      <w:pPr>
        <w:pStyle w:val="296"/>
        <w:numPr>
          <w:ilvl w:val="1"/>
          <w:numId w:val="34"/>
        </w:numPr>
        <w:spacing w:before="156" w:after="156"/>
      </w:pPr>
      <w:r>
        <w:rPr>
          <w:rFonts w:hint="eastAsia"/>
        </w:rPr>
        <w:t>常用热轧普通工字钢的规格、理论重量</w:t>
      </w:r>
    </w:p>
    <w:tbl>
      <w:tblPr>
        <w:tblStyle w:val="46"/>
        <w:tblW w:w="111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6"/>
        <w:gridCol w:w="525"/>
        <w:gridCol w:w="487"/>
        <w:gridCol w:w="553"/>
        <w:gridCol w:w="591"/>
        <w:gridCol w:w="562"/>
        <w:gridCol w:w="572"/>
        <w:gridCol w:w="760"/>
        <w:gridCol w:w="868"/>
        <w:gridCol w:w="813"/>
        <w:gridCol w:w="825"/>
        <w:gridCol w:w="770"/>
        <w:gridCol w:w="840"/>
        <w:gridCol w:w="868"/>
        <w:gridCol w:w="798"/>
        <w:gridCol w:w="7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05" w:hRule="atLeast"/>
          <w:jc w:val="center"/>
        </w:trPr>
        <w:tc>
          <w:tcPr>
            <w:tcW w:w="536" w:type="dxa"/>
            <w:vMerge w:val="restart"/>
            <w:tcBorders>
              <w:top w:val="single" w:color="auto" w:sz="8" w:space="0"/>
            </w:tcBorders>
            <w:vAlign w:val="center"/>
          </w:tcPr>
          <w:p>
            <w:pPr>
              <w:jc w:val="center"/>
              <w:rPr>
                <w:rFonts w:ascii="宋体"/>
                <w:sz w:val="18"/>
                <w:szCs w:val="18"/>
              </w:rPr>
            </w:pPr>
            <w:r>
              <w:rPr>
                <w:rFonts w:ascii="宋体"/>
                <w:sz w:val="18"/>
                <w:szCs w:val="18"/>
              </w:rPr>
              <w:t>型号</w:t>
            </w:r>
          </w:p>
        </w:tc>
        <w:tc>
          <w:tcPr>
            <w:tcW w:w="3290" w:type="dxa"/>
            <w:gridSpan w:val="6"/>
            <w:tcBorders>
              <w:top w:val="single" w:color="auto" w:sz="8" w:space="0"/>
            </w:tcBorders>
            <w:vAlign w:val="center"/>
          </w:tcPr>
          <w:p>
            <w:pPr>
              <w:jc w:val="center"/>
              <w:rPr>
                <w:rFonts w:ascii="宋体"/>
                <w:sz w:val="18"/>
                <w:szCs w:val="18"/>
              </w:rPr>
            </w:pPr>
            <w:r>
              <w:rPr>
                <w:rFonts w:ascii="宋体"/>
                <w:sz w:val="18"/>
                <w:szCs w:val="18"/>
              </w:rPr>
              <w:t>尺寸（mm）</w:t>
            </w:r>
          </w:p>
        </w:tc>
        <w:tc>
          <w:tcPr>
            <w:tcW w:w="760" w:type="dxa"/>
            <w:vMerge w:val="restart"/>
            <w:tcBorders>
              <w:top w:val="single" w:color="auto" w:sz="8" w:space="0"/>
            </w:tcBorders>
            <w:vAlign w:val="center"/>
          </w:tcPr>
          <w:p>
            <w:pPr>
              <w:jc w:val="center"/>
              <w:rPr>
                <w:rFonts w:ascii="宋体"/>
                <w:sz w:val="18"/>
                <w:szCs w:val="18"/>
              </w:rPr>
            </w:pPr>
            <w:r>
              <w:rPr>
                <w:rFonts w:ascii="宋体"/>
                <w:sz w:val="18"/>
                <w:szCs w:val="18"/>
              </w:rPr>
              <w:t>截面</w:t>
            </w:r>
          </w:p>
          <w:p>
            <w:pPr>
              <w:jc w:val="center"/>
              <w:rPr>
                <w:rFonts w:ascii="宋体"/>
                <w:sz w:val="18"/>
                <w:szCs w:val="18"/>
              </w:rPr>
            </w:pPr>
            <w:r>
              <w:rPr>
                <w:rFonts w:ascii="宋体"/>
                <w:sz w:val="18"/>
                <w:szCs w:val="18"/>
              </w:rPr>
              <w:t>面积（</w:t>
            </w:r>
            <w:r>
              <w:rPr>
                <w:rFonts w:hint="eastAsia" w:ascii="宋体"/>
                <w:sz w:val="18"/>
                <w:szCs w:val="18"/>
              </w:rPr>
              <w:t>cm</w:t>
            </w:r>
            <w:r>
              <w:rPr>
                <w:rFonts w:hint="eastAsia" w:ascii="宋体"/>
                <w:sz w:val="18"/>
                <w:szCs w:val="18"/>
                <w:vertAlign w:val="superscript"/>
              </w:rPr>
              <w:t>2</w:t>
            </w:r>
            <w:r>
              <w:rPr>
                <w:rFonts w:hint="eastAsia" w:ascii="宋体"/>
                <w:sz w:val="18"/>
                <w:szCs w:val="18"/>
              </w:rPr>
              <w:t>）</w:t>
            </w:r>
          </w:p>
        </w:tc>
        <w:tc>
          <w:tcPr>
            <w:tcW w:w="868" w:type="dxa"/>
            <w:vMerge w:val="restart"/>
            <w:tcBorders>
              <w:top w:val="single" w:color="auto" w:sz="8" w:space="0"/>
            </w:tcBorders>
            <w:vAlign w:val="center"/>
          </w:tcPr>
          <w:p>
            <w:pPr>
              <w:jc w:val="center"/>
              <w:rPr>
                <w:rFonts w:ascii="宋体"/>
                <w:sz w:val="18"/>
                <w:szCs w:val="18"/>
              </w:rPr>
            </w:pPr>
            <w:r>
              <w:rPr>
                <w:rFonts w:ascii="宋体"/>
                <w:sz w:val="18"/>
                <w:szCs w:val="18"/>
              </w:rPr>
              <w:t>理论</w:t>
            </w:r>
          </w:p>
          <w:p>
            <w:pPr>
              <w:jc w:val="center"/>
              <w:rPr>
                <w:rFonts w:ascii="宋体"/>
                <w:sz w:val="18"/>
                <w:szCs w:val="18"/>
              </w:rPr>
            </w:pPr>
            <w:r>
              <w:rPr>
                <w:rFonts w:ascii="宋体"/>
                <w:sz w:val="18"/>
                <w:szCs w:val="18"/>
              </w:rPr>
              <w:t>质量（</w:t>
            </w:r>
            <w:r>
              <w:rPr>
                <w:rFonts w:hint="eastAsia" w:ascii="宋体"/>
                <w:sz w:val="18"/>
                <w:szCs w:val="18"/>
              </w:rPr>
              <w:t>kg/m）</w:t>
            </w:r>
          </w:p>
        </w:tc>
        <w:tc>
          <w:tcPr>
            <w:tcW w:w="5670" w:type="dxa"/>
            <w:gridSpan w:val="7"/>
            <w:tcBorders>
              <w:top w:val="single" w:color="auto" w:sz="8" w:space="0"/>
            </w:tcBorders>
            <w:vAlign w:val="center"/>
          </w:tcPr>
          <w:p>
            <w:pPr>
              <w:jc w:val="center"/>
              <w:rPr>
                <w:rFonts w:ascii="宋体"/>
                <w:sz w:val="18"/>
                <w:szCs w:val="18"/>
              </w:rPr>
            </w:pPr>
            <w:r>
              <w:rPr>
                <w:rFonts w:hint="eastAsia" w:ascii="宋体"/>
                <w:sz w:val="18"/>
                <w:szCs w:val="18"/>
              </w:rPr>
              <w:t>截面特性值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15" w:hRule="atLeast"/>
          <w:jc w:val="center"/>
        </w:trPr>
        <w:tc>
          <w:tcPr>
            <w:tcW w:w="536" w:type="dxa"/>
            <w:vMerge w:val="continue"/>
            <w:vAlign w:val="center"/>
          </w:tcPr>
          <w:p>
            <w:pPr>
              <w:jc w:val="center"/>
              <w:rPr>
                <w:rFonts w:ascii="宋体"/>
                <w:sz w:val="18"/>
                <w:szCs w:val="18"/>
              </w:rPr>
            </w:pPr>
          </w:p>
        </w:tc>
        <w:tc>
          <w:tcPr>
            <w:tcW w:w="525" w:type="dxa"/>
            <w:vMerge w:val="restart"/>
            <w:vAlign w:val="center"/>
          </w:tcPr>
          <w:p>
            <w:pPr>
              <w:jc w:val="center"/>
              <w:rPr>
                <w:rFonts w:ascii="宋体"/>
                <w:sz w:val="18"/>
                <w:szCs w:val="18"/>
              </w:rPr>
            </w:pPr>
            <w:r>
              <w:rPr>
                <w:rFonts w:hint="eastAsia" w:ascii="宋体"/>
                <w:sz w:val="18"/>
                <w:szCs w:val="18"/>
              </w:rPr>
              <w:t>h</w:t>
            </w:r>
          </w:p>
        </w:tc>
        <w:tc>
          <w:tcPr>
            <w:tcW w:w="487" w:type="dxa"/>
            <w:vMerge w:val="restart"/>
            <w:vAlign w:val="center"/>
          </w:tcPr>
          <w:p>
            <w:pPr>
              <w:jc w:val="center"/>
              <w:rPr>
                <w:rFonts w:ascii="宋体"/>
                <w:sz w:val="18"/>
                <w:szCs w:val="18"/>
              </w:rPr>
            </w:pPr>
            <w:r>
              <w:rPr>
                <w:rFonts w:ascii="宋体"/>
                <w:sz w:val="18"/>
                <w:szCs w:val="18"/>
              </w:rPr>
              <w:t>b</w:t>
            </w:r>
          </w:p>
        </w:tc>
        <w:tc>
          <w:tcPr>
            <w:tcW w:w="553" w:type="dxa"/>
            <w:vMerge w:val="restart"/>
            <w:vAlign w:val="center"/>
          </w:tcPr>
          <w:p>
            <w:pPr>
              <w:jc w:val="center"/>
              <w:rPr>
                <w:rFonts w:ascii="宋体"/>
                <w:sz w:val="18"/>
                <w:szCs w:val="18"/>
              </w:rPr>
            </w:pPr>
            <w:r>
              <w:rPr>
                <w:rFonts w:ascii="宋体"/>
                <w:sz w:val="18"/>
                <w:szCs w:val="18"/>
              </w:rPr>
              <w:t>d</w:t>
            </w:r>
          </w:p>
        </w:tc>
        <w:tc>
          <w:tcPr>
            <w:tcW w:w="591" w:type="dxa"/>
            <w:vMerge w:val="restart"/>
            <w:vAlign w:val="center"/>
          </w:tcPr>
          <w:p>
            <w:pPr>
              <w:jc w:val="center"/>
              <w:rPr>
                <w:rFonts w:ascii="宋体"/>
                <w:sz w:val="18"/>
                <w:szCs w:val="18"/>
              </w:rPr>
            </w:pPr>
            <w:r>
              <w:rPr>
                <w:rFonts w:ascii="宋体"/>
                <w:sz w:val="18"/>
                <w:szCs w:val="18"/>
              </w:rPr>
              <w:t>t</w:t>
            </w:r>
          </w:p>
        </w:tc>
        <w:tc>
          <w:tcPr>
            <w:tcW w:w="562" w:type="dxa"/>
            <w:vMerge w:val="restart"/>
            <w:vAlign w:val="center"/>
          </w:tcPr>
          <w:p>
            <w:pPr>
              <w:jc w:val="center"/>
              <w:rPr>
                <w:rFonts w:ascii="宋体"/>
                <w:sz w:val="18"/>
                <w:szCs w:val="18"/>
              </w:rPr>
            </w:pPr>
            <w:r>
              <w:rPr>
                <w:rFonts w:ascii="宋体"/>
                <w:sz w:val="18"/>
                <w:szCs w:val="18"/>
              </w:rPr>
              <w:t>r</w:t>
            </w:r>
          </w:p>
        </w:tc>
        <w:tc>
          <w:tcPr>
            <w:tcW w:w="572" w:type="dxa"/>
            <w:vMerge w:val="restart"/>
            <w:vAlign w:val="center"/>
          </w:tcPr>
          <w:p>
            <w:pPr>
              <w:jc w:val="center"/>
              <w:rPr>
                <w:rFonts w:ascii="宋体"/>
                <w:sz w:val="18"/>
                <w:szCs w:val="18"/>
                <w:vertAlign w:val="subscript"/>
              </w:rPr>
            </w:pPr>
            <w:r>
              <w:rPr>
                <w:rFonts w:ascii="宋体"/>
                <w:sz w:val="18"/>
                <w:szCs w:val="18"/>
              </w:rPr>
              <w:t>r</w:t>
            </w:r>
            <w:r>
              <w:rPr>
                <w:rFonts w:hint="eastAsia" w:ascii="宋体"/>
                <w:sz w:val="18"/>
                <w:szCs w:val="18"/>
                <w:vertAlign w:val="subscript"/>
              </w:rPr>
              <w:t xml:space="preserve"> 1</w:t>
            </w:r>
          </w:p>
        </w:tc>
        <w:tc>
          <w:tcPr>
            <w:tcW w:w="760" w:type="dxa"/>
            <w:vMerge w:val="continue"/>
            <w:vAlign w:val="center"/>
          </w:tcPr>
          <w:p>
            <w:pPr>
              <w:jc w:val="center"/>
              <w:rPr>
                <w:rFonts w:ascii="宋体"/>
                <w:sz w:val="18"/>
                <w:szCs w:val="18"/>
              </w:rPr>
            </w:pPr>
          </w:p>
        </w:tc>
        <w:tc>
          <w:tcPr>
            <w:tcW w:w="868" w:type="dxa"/>
            <w:vMerge w:val="continue"/>
            <w:vAlign w:val="center"/>
          </w:tcPr>
          <w:p>
            <w:pPr>
              <w:jc w:val="center"/>
              <w:rPr>
                <w:rFonts w:ascii="宋体"/>
                <w:sz w:val="18"/>
                <w:szCs w:val="18"/>
              </w:rPr>
            </w:pPr>
          </w:p>
        </w:tc>
        <w:tc>
          <w:tcPr>
            <w:tcW w:w="3248" w:type="dxa"/>
            <w:gridSpan w:val="4"/>
            <w:vAlign w:val="center"/>
          </w:tcPr>
          <w:p>
            <w:pPr>
              <w:jc w:val="center"/>
              <w:rPr>
                <w:rFonts w:ascii="宋体"/>
                <w:sz w:val="18"/>
                <w:szCs w:val="18"/>
              </w:rPr>
            </w:pPr>
            <w:r>
              <w:rPr>
                <w:rFonts w:hint="eastAsia" w:ascii="宋体"/>
                <w:sz w:val="18"/>
                <w:szCs w:val="18"/>
              </w:rPr>
              <w:t>X-X轴</w:t>
            </w:r>
          </w:p>
        </w:tc>
        <w:tc>
          <w:tcPr>
            <w:tcW w:w="2422" w:type="dxa"/>
            <w:gridSpan w:val="3"/>
            <w:vAlign w:val="center"/>
          </w:tcPr>
          <w:p>
            <w:pPr>
              <w:jc w:val="center"/>
              <w:rPr>
                <w:rFonts w:ascii="宋体"/>
                <w:sz w:val="18"/>
                <w:szCs w:val="18"/>
              </w:rPr>
            </w:pPr>
            <w:r>
              <w:rPr>
                <w:rFonts w:hint="eastAsia" w:ascii="宋体"/>
                <w:sz w:val="18"/>
                <w:szCs w:val="18"/>
              </w:rPr>
              <w:t>Y-Y轴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15" w:hRule="atLeast"/>
          <w:jc w:val="center"/>
        </w:trPr>
        <w:tc>
          <w:tcPr>
            <w:tcW w:w="536" w:type="dxa"/>
            <w:vMerge w:val="continue"/>
            <w:vAlign w:val="center"/>
          </w:tcPr>
          <w:p>
            <w:pPr>
              <w:jc w:val="center"/>
              <w:rPr>
                <w:rFonts w:ascii="宋体"/>
                <w:sz w:val="18"/>
                <w:szCs w:val="18"/>
              </w:rPr>
            </w:pPr>
          </w:p>
        </w:tc>
        <w:tc>
          <w:tcPr>
            <w:tcW w:w="525" w:type="dxa"/>
            <w:vMerge w:val="continue"/>
            <w:vAlign w:val="center"/>
          </w:tcPr>
          <w:p>
            <w:pPr>
              <w:jc w:val="center"/>
              <w:rPr>
                <w:rFonts w:ascii="宋体"/>
                <w:sz w:val="18"/>
                <w:szCs w:val="18"/>
              </w:rPr>
            </w:pPr>
          </w:p>
        </w:tc>
        <w:tc>
          <w:tcPr>
            <w:tcW w:w="487" w:type="dxa"/>
            <w:vMerge w:val="continue"/>
            <w:vAlign w:val="center"/>
          </w:tcPr>
          <w:p>
            <w:pPr>
              <w:jc w:val="center"/>
              <w:rPr>
                <w:rFonts w:ascii="宋体"/>
                <w:sz w:val="18"/>
                <w:szCs w:val="18"/>
              </w:rPr>
            </w:pPr>
          </w:p>
        </w:tc>
        <w:tc>
          <w:tcPr>
            <w:tcW w:w="553" w:type="dxa"/>
            <w:vMerge w:val="continue"/>
            <w:vAlign w:val="center"/>
          </w:tcPr>
          <w:p>
            <w:pPr>
              <w:jc w:val="center"/>
              <w:rPr>
                <w:rFonts w:ascii="宋体"/>
                <w:sz w:val="18"/>
                <w:szCs w:val="18"/>
              </w:rPr>
            </w:pPr>
          </w:p>
        </w:tc>
        <w:tc>
          <w:tcPr>
            <w:tcW w:w="591" w:type="dxa"/>
            <w:vMerge w:val="continue"/>
            <w:vAlign w:val="center"/>
          </w:tcPr>
          <w:p>
            <w:pPr>
              <w:jc w:val="center"/>
              <w:rPr>
                <w:rFonts w:ascii="宋体"/>
                <w:sz w:val="18"/>
                <w:szCs w:val="18"/>
              </w:rPr>
            </w:pPr>
          </w:p>
        </w:tc>
        <w:tc>
          <w:tcPr>
            <w:tcW w:w="562" w:type="dxa"/>
            <w:vMerge w:val="continue"/>
            <w:vAlign w:val="center"/>
          </w:tcPr>
          <w:p>
            <w:pPr>
              <w:jc w:val="center"/>
              <w:rPr>
                <w:rFonts w:ascii="宋体"/>
                <w:sz w:val="18"/>
                <w:szCs w:val="18"/>
              </w:rPr>
            </w:pPr>
          </w:p>
        </w:tc>
        <w:tc>
          <w:tcPr>
            <w:tcW w:w="572" w:type="dxa"/>
            <w:vMerge w:val="continue"/>
            <w:vAlign w:val="center"/>
          </w:tcPr>
          <w:p>
            <w:pPr>
              <w:jc w:val="center"/>
              <w:rPr>
                <w:rFonts w:ascii="宋体"/>
                <w:sz w:val="18"/>
                <w:szCs w:val="18"/>
              </w:rPr>
            </w:pPr>
          </w:p>
        </w:tc>
        <w:tc>
          <w:tcPr>
            <w:tcW w:w="760" w:type="dxa"/>
            <w:vMerge w:val="continue"/>
            <w:vAlign w:val="center"/>
          </w:tcPr>
          <w:p>
            <w:pPr>
              <w:jc w:val="center"/>
              <w:rPr>
                <w:rFonts w:ascii="宋体"/>
                <w:sz w:val="18"/>
                <w:szCs w:val="18"/>
              </w:rPr>
            </w:pPr>
          </w:p>
        </w:tc>
        <w:tc>
          <w:tcPr>
            <w:tcW w:w="868" w:type="dxa"/>
            <w:vMerge w:val="continue"/>
            <w:vAlign w:val="center"/>
          </w:tcPr>
          <w:p>
            <w:pPr>
              <w:jc w:val="center"/>
              <w:rPr>
                <w:rFonts w:ascii="宋体"/>
                <w:sz w:val="18"/>
                <w:szCs w:val="18"/>
              </w:rPr>
            </w:pPr>
          </w:p>
        </w:tc>
        <w:tc>
          <w:tcPr>
            <w:tcW w:w="813" w:type="dxa"/>
            <w:vAlign w:val="center"/>
          </w:tcPr>
          <w:p>
            <w:pPr>
              <w:jc w:val="center"/>
              <w:rPr>
                <w:rFonts w:ascii="宋体"/>
                <w:sz w:val="18"/>
                <w:szCs w:val="18"/>
              </w:rPr>
            </w:pPr>
            <w:r>
              <w:rPr>
                <w:rFonts w:hint="eastAsia" w:ascii="宋体"/>
                <w:sz w:val="18"/>
                <w:szCs w:val="18"/>
              </w:rPr>
              <w:t>I</w:t>
            </w:r>
            <w:r>
              <w:rPr>
                <w:rFonts w:hint="eastAsia" w:ascii="宋体"/>
                <w:sz w:val="18"/>
                <w:szCs w:val="18"/>
                <w:vertAlign w:val="subscript"/>
              </w:rPr>
              <w:t>X</w:t>
            </w:r>
            <w:r>
              <w:rPr>
                <w:rFonts w:hint="eastAsia" w:ascii="宋体"/>
                <w:sz w:val="18"/>
                <w:szCs w:val="18"/>
              </w:rPr>
              <w:t>(cm</w:t>
            </w:r>
            <w:r>
              <w:rPr>
                <w:rFonts w:hint="eastAsia" w:ascii="宋体"/>
                <w:sz w:val="18"/>
                <w:szCs w:val="18"/>
                <w:vertAlign w:val="superscript"/>
              </w:rPr>
              <w:t>4</w:t>
            </w:r>
            <w:r>
              <w:rPr>
                <w:rFonts w:hint="eastAsia" w:ascii="宋体"/>
                <w:sz w:val="18"/>
                <w:szCs w:val="18"/>
              </w:rPr>
              <w:t>)</w:t>
            </w:r>
          </w:p>
        </w:tc>
        <w:tc>
          <w:tcPr>
            <w:tcW w:w="825" w:type="dxa"/>
            <w:vAlign w:val="center"/>
          </w:tcPr>
          <w:p>
            <w:pPr>
              <w:jc w:val="center"/>
              <w:rPr>
                <w:rFonts w:ascii="宋体"/>
                <w:sz w:val="18"/>
                <w:szCs w:val="18"/>
              </w:rPr>
            </w:pPr>
            <w:r>
              <w:rPr>
                <w:rFonts w:hint="eastAsia" w:ascii="宋体"/>
                <w:sz w:val="18"/>
                <w:szCs w:val="18"/>
              </w:rPr>
              <w:t>W</w:t>
            </w:r>
            <w:r>
              <w:rPr>
                <w:rFonts w:hint="eastAsia" w:ascii="宋体"/>
                <w:sz w:val="18"/>
                <w:szCs w:val="18"/>
                <w:vertAlign w:val="subscript"/>
              </w:rPr>
              <w:t>X</w:t>
            </w:r>
            <w:r>
              <w:rPr>
                <w:rFonts w:hint="eastAsia" w:ascii="宋体"/>
                <w:sz w:val="18"/>
                <w:szCs w:val="18"/>
              </w:rPr>
              <w:t>(cm</w:t>
            </w:r>
            <w:r>
              <w:rPr>
                <w:rFonts w:hint="eastAsia" w:ascii="宋体"/>
                <w:sz w:val="18"/>
                <w:szCs w:val="18"/>
                <w:vertAlign w:val="superscript"/>
              </w:rPr>
              <w:t>3</w:t>
            </w:r>
            <w:r>
              <w:rPr>
                <w:rFonts w:hint="eastAsia" w:ascii="宋体"/>
                <w:sz w:val="18"/>
                <w:szCs w:val="18"/>
              </w:rPr>
              <w:t>)</w:t>
            </w:r>
          </w:p>
        </w:tc>
        <w:tc>
          <w:tcPr>
            <w:tcW w:w="770" w:type="dxa"/>
            <w:vAlign w:val="center"/>
          </w:tcPr>
          <w:p>
            <w:pPr>
              <w:jc w:val="center"/>
              <w:rPr>
                <w:rFonts w:ascii="宋体"/>
                <w:sz w:val="18"/>
                <w:szCs w:val="18"/>
              </w:rPr>
            </w:pPr>
            <w:r>
              <w:rPr>
                <w:rFonts w:hint="eastAsia" w:ascii="宋体"/>
                <w:sz w:val="18"/>
                <w:szCs w:val="18"/>
              </w:rPr>
              <w:t>i</w:t>
            </w:r>
            <w:r>
              <w:rPr>
                <w:rFonts w:hint="eastAsia" w:ascii="宋体"/>
                <w:sz w:val="18"/>
                <w:szCs w:val="18"/>
                <w:vertAlign w:val="subscript"/>
              </w:rPr>
              <w:t>X</w:t>
            </w:r>
            <w:r>
              <w:rPr>
                <w:rFonts w:hint="eastAsia" w:ascii="宋体"/>
                <w:sz w:val="18"/>
                <w:szCs w:val="18"/>
              </w:rPr>
              <w:t>(cm)</w:t>
            </w:r>
          </w:p>
        </w:tc>
        <w:tc>
          <w:tcPr>
            <w:tcW w:w="840" w:type="dxa"/>
            <w:vAlign w:val="center"/>
          </w:tcPr>
          <w:p>
            <w:pPr>
              <w:jc w:val="center"/>
              <w:rPr>
                <w:rFonts w:ascii="宋体"/>
                <w:sz w:val="18"/>
                <w:szCs w:val="18"/>
              </w:rPr>
            </w:pPr>
            <w:r>
              <w:rPr>
                <w:rFonts w:hint="eastAsia" w:ascii="宋体"/>
                <w:sz w:val="18"/>
                <w:szCs w:val="18"/>
              </w:rPr>
              <w:t>S</w:t>
            </w:r>
            <w:r>
              <w:rPr>
                <w:rFonts w:hint="eastAsia" w:ascii="宋体"/>
                <w:sz w:val="18"/>
                <w:szCs w:val="18"/>
                <w:vertAlign w:val="subscript"/>
              </w:rPr>
              <w:t>X</w:t>
            </w:r>
            <w:r>
              <w:rPr>
                <w:rFonts w:hint="eastAsia" w:ascii="宋体"/>
                <w:sz w:val="18"/>
                <w:szCs w:val="18"/>
              </w:rPr>
              <w:t>(cm</w:t>
            </w:r>
            <w:r>
              <w:rPr>
                <w:rFonts w:hint="eastAsia" w:ascii="宋体"/>
                <w:sz w:val="18"/>
                <w:szCs w:val="18"/>
                <w:vertAlign w:val="superscript"/>
              </w:rPr>
              <w:t>3</w:t>
            </w:r>
            <w:r>
              <w:rPr>
                <w:rFonts w:hint="eastAsia" w:ascii="宋体"/>
                <w:sz w:val="18"/>
                <w:szCs w:val="18"/>
              </w:rPr>
              <w:t>)</w:t>
            </w:r>
          </w:p>
        </w:tc>
        <w:tc>
          <w:tcPr>
            <w:tcW w:w="868" w:type="dxa"/>
            <w:vAlign w:val="center"/>
          </w:tcPr>
          <w:p>
            <w:pPr>
              <w:jc w:val="center"/>
              <w:rPr>
                <w:rFonts w:ascii="宋体"/>
                <w:sz w:val="18"/>
                <w:szCs w:val="18"/>
              </w:rPr>
            </w:pPr>
            <w:r>
              <w:rPr>
                <w:rFonts w:hint="eastAsia" w:ascii="宋体"/>
                <w:sz w:val="18"/>
                <w:szCs w:val="18"/>
              </w:rPr>
              <w:t>I</w:t>
            </w:r>
            <w:r>
              <w:rPr>
                <w:rFonts w:hint="eastAsia" w:ascii="宋体"/>
                <w:sz w:val="18"/>
                <w:szCs w:val="18"/>
                <w:vertAlign w:val="subscript"/>
              </w:rPr>
              <w:t>Y</w:t>
            </w:r>
            <w:r>
              <w:rPr>
                <w:rFonts w:hint="eastAsia" w:ascii="宋体"/>
                <w:sz w:val="18"/>
                <w:szCs w:val="18"/>
              </w:rPr>
              <w:t>(cm</w:t>
            </w:r>
            <w:r>
              <w:rPr>
                <w:rFonts w:hint="eastAsia" w:ascii="宋体"/>
                <w:sz w:val="18"/>
                <w:szCs w:val="18"/>
                <w:vertAlign w:val="superscript"/>
              </w:rPr>
              <w:t>4</w:t>
            </w:r>
            <w:r>
              <w:rPr>
                <w:rFonts w:hint="eastAsia" w:ascii="宋体"/>
                <w:sz w:val="18"/>
                <w:szCs w:val="18"/>
              </w:rPr>
              <w:t>)</w:t>
            </w:r>
          </w:p>
        </w:tc>
        <w:tc>
          <w:tcPr>
            <w:tcW w:w="798" w:type="dxa"/>
            <w:vAlign w:val="center"/>
          </w:tcPr>
          <w:p>
            <w:pPr>
              <w:jc w:val="center"/>
              <w:rPr>
                <w:rFonts w:ascii="宋体"/>
                <w:sz w:val="18"/>
                <w:szCs w:val="18"/>
              </w:rPr>
            </w:pPr>
            <w:r>
              <w:rPr>
                <w:rFonts w:hint="eastAsia" w:ascii="宋体"/>
                <w:sz w:val="18"/>
                <w:szCs w:val="18"/>
              </w:rPr>
              <w:t>W</w:t>
            </w:r>
            <w:r>
              <w:rPr>
                <w:rFonts w:hint="eastAsia" w:ascii="宋体"/>
                <w:sz w:val="18"/>
                <w:szCs w:val="18"/>
                <w:vertAlign w:val="subscript"/>
              </w:rPr>
              <w:t>Y</w:t>
            </w:r>
            <w:r>
              <w:rPr>
                <w:rFonts w:hint="eastAsia" w:ascii="宋体"/>
                <w:sz w:val="18"/>
                <w:szCs w:val="18"/>
              </w:rPr>
              <w:t>(cm</w:t>
            </w:r>
            <w:r>
              <w:rPr>
                <w:rFonts w:hint="eastAsia" w:ascii="宋体"/>
                <w:sz w:val="18"/>
                <w:szCs w:val="18"/>
                <w:vertAlign w:val="superscript"/>
              </w:rPr>
              <w:t>3</w:t>
            </w:r>
            <w:r>
              <w:rPr>
                <w:rFonts w:hint="eastAsia" w:ascii="宋体"/>
                <w:sz w:val="18"/>
                <w:szCs w:val="18"/>
              </w:rPr>
              <w:t>)</w:t>
            </w:r>
          </w:p>
        </w:tc>
        <w:tc>
          <w:tcPr>
            <w:tcW w:w="756" w:type="dxa"/>
            <w:vAlign w:val="center"/>
          </w:tcPr>
          <w:p>
            <w:pPr>
              <w:jc w:val="center"/>
              <w:rPr>
                <w:rFonts w:ascii="宋体"/>
                <w:sz w:val="18"/>
                <w:szCs w:val="18"/>
              </w:rPr>
            </w:pPr>
            <w:r>
              <w:rPr>
                <w:rFonts w:ascii="宋体"/>
                <w:sz w:val="18"/>
                <w:szCs w:val="18"/>
              </w:rPr>
              <w:t>I</w:t>
            </w:r>
            <w:r>
              <w:rPr>
                <w:rFonts w:hint="eastAsia" w:ascii="宋体"/>
                <w:sz w:val="18"/>
                <w:szCs w:val="18"/>
                <w:vertAlign w:val="subscript"/>
              </w:rPr>
              <w:t>Y</w:t>
            </w:r>
            <w:r>
              <w:rPr>
                <w:rFonts w:hint="eastAsia" w:ascii="宋体"/>
                <w:sz w:val="18"/>
                <w:szCs w:val="18"/>
              </w:rPr>
              <w:t>(cm)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Borders>
              <w:top w:val="single" w:color="auto" w:sz="8" w:space="0"/>
            </w:tcBorders>
          </w:tcPr>
          <w:p>
            <w:pPr>
              <w:rPr>
                <w:rFonts w:ascii="宋体"/>
                <w:sz w:val="18"/>
                <w:szCs w:val="18"/>
              </w:rPr>
            </w:pPr>
            <w:r>
              <w:rPr>
                <w:rFonts w:hint="eastAsia" w:ascii="宋体"/>
                <w:sz w:val="18"/>
                <w:szCs w:val="18"/>
              </w:rPr>
              <w:t>10</w:t>
            </w:r>
          </w:p>
        </w:tc>
        <w:tc>
          <w:tcPr>
            <w:tcW w:w="525" w:type="dxa"/>
            <w:tcBorders>
              <w:top w:val="single" w:color="auto" w:sz="8" w:space="0"/>
            </w:tcBorders>
          </w:tcPr>
          <w:p>
            <w:pPr>
              <w:rPr>
                <w:rFonts w:ascii="宋体"/>
                <w:sz w:val="18"/>
                <w:szCs w:val="18"/>
              </w:rPr>
            </w:pPr>
            <w:r>
              <w:rPr>
                <w:rFonts w:hint="eastAsia" w:ascii="宋体"/>
                <w:sz w:val="18"/>
                <w:szCs w:val="18"/>
              </w:rPr>
              <w:t>100</w:t>
            </w:r>
          </w:p>
        </w:tc>
        <w:tc>
          <w:tcPr>
            <w:tcW w:w="487" w:type="dxa"/>
            <w:tcBorders>
              <w:top w:val="single" w:color="auto" w:sz="8" w:space="0"/>
            </w:tcBorders>
          </w:tcPr>
          <w:p>
            <w:pPr>
              <w:rPr>
                <w:rFonts w:ascii="宋体"/>
                <w:sz w:val="18"/>
                <w:szCs w:val="18"/>
              </w:rPr>
            </w:pPr>
            <w:r>
              <w:rPr>
                <w:rFonts w:hint="eastAsia" w:ascii="宋体"/>
                <w:sz w:val="18"/>
                <w:szCs w:val="18"/>
              </w:rPr>
              <w:t>68</w:t>
            </w:r>
          </w:p>
        </w:tc>
        <w:tc>
          <w:tcPr>
            <w:tcW w:w="553" w:type="dxa"/>
            <w:tcBorders>
              <w:top w:val="single" w:color="auto" w:sz="8" w:space="0"/>
            </w:tcBorders>
          </w:tcPr>
          <w:p>
            <w:pPr>
              <w:rPr>
                <w:rFonts w:ascii="宋体"/>
                <w:sz w:val="18"/>
                <w:szCs w:val="18"/>
              </w:rPr>
            </w:pPr>
            <w:r>
              <w:rPr>
                <w:rFonts w:hint="eastAsia" w:ascii="宋体"/>
                <w:sz w:val="18"/>
                <w:szCs w:val="18"/>
              </w:rPr>
              <w:t>4.5</w:t>
            </w:r>
          </w:p>
        </w:tc>
        <w:tc>
          <w:tcPr>
            <w:tcW w:w="591" w:type="dxa"/>
            <w:tcBorders>
              <w:top w:val="single" w:color="auto" w:sz="8" w:space="0"/>
            </w:tcBorders>
          </w:tcPr>
          <w:p>
            <w:pPr>
              <w:rPr>
                <w:rFonts w:ascii="宋体"/>
                <w:sz w:val="18"/>
                <w:szCs w:val="18"/>
              </w:rPr>
            </w:pPr>
            <w:r>
              <w:rPr>
                <w:rFonts w:hint="eastAsia" w:ascii="宋体"/>
                <w:sz w:val="18"/>
                <w:szCs w:val="18"/>
              </w:rPr>
              <w:t>7.6</w:t>
            </w:r>
          </w:p>
        </w:tc>
        <w:tc>
          <w:tcPr>
            <w:tcW w:w="562" w:type="dxa"/>
            <w:tcBorders>
              <w:top w:val="single" w:color="auto" w:sz="8" w:space="0"/>
            </w:tcBorders>
          </w:tcPr>
          <w:p>
            <w:pPr>
              <w:rPr>
                <w:rFonts w:ascii="宋体"/>
                <w:sz w:val="18"/>
                <w:szCs w:val="18"/>
              </w:rPr>
            </w:pPr>
            <w:r>
              <w:rPr>
                <w:rFonts w:hint="eastAsia" w:ascii="宋体"/>
                <w:sz w:val="18"/>
                <w:szCs w:val="18"/>
              </w:rPr>
              <w:t>6.5</w:t>
            </w:r>
          </w:p>
        </w:tc>
        <w:tc>
          <w:tcPr>
            <w:tcW w:w="572" w:type="dxa"/>
            <w:tcBorders>
              <w:top w:val="single" w:color="auto" w:sz="8" w:space="0"/>
            </w:tcBorders>
          </w:tcPr>
          <w:p>
            <w:pPr>
              <w:rPr>
                <w:rFonts w:ascii="宋体"/>
                <w:sz w:val="18"/>
                <w:szCs w:val="18"/>
              </w:rPr>
            </w:pPr>
            <w:r>
              <w:rPr>
                <w:rFonts w:hint="eastAsia" w:ascii="宋体"/>
                <w:sz w:val="18"/>
                <w:szCs w:val="18"/>
              </w:rPr>
              <w:t>3.3</w:t>
            </w:r>
          </w:p>
        </w:tc>
        <w:tc>
          <w:tcPr>
            <w:tcW w:w="760" w:type="dxa"/>
            <w:tcBorders>
              <w:top w:val="single" w:color="auto" w:sz="8" w:space="0"/>
            </w:tcBorders>
          </w:tcPr>
          <w:p>
            <w:pPr>
              <w:rPr>
                <w:rFonts w:ascii="宋体"/>
                <w:sz w:val="18"/>
                <w:szCs w:val="18"/>
              </w:rPr>
            </w:pPr>
            <w:r>
              <w:rPr>
                <w:rFonts w:hint="eastAsia" w:ascii="宋体"/>
                <w:sz w:val="18"/>
                <w:szCs w:val="18"/>
              </w:rPr>
              <w:t>14.3</w:t>
            </w:r>
          </w:p>
        </w:tc>
        <w:tc>
          <w:tcPr>
            <w:tcW w:w="868" w:type="dxa"/>
            <w:tcBorders>
              <w:top w:val="single" w:color="auto" w:sz="8" w:space="0"/>
            </w:tcBorders>
          </w:tcPr>
          <w:p>
            <w:pPr>
              <w:rPr>
                <w:rFonts w:ascii="宋体"/>
                <w:sz w:val="18"/>
                <w:szCs w:val="18"/>
              </w:rPr>
            </w:pPr>
            <w:r>
              <w:rPr>
                <w:rFonts w:hint="eastAsia" w:ascii="宋体"/>
                <w:sz w:val="18"/>
                <w:szCs w:val="18"/>
              </w:rPr>
              <w:t>11.2</w:t>
            </w:r>
          </w:p>
        </w:tc>
        <w:tc>
          <w:tcPr>
            <w:tcW w:w="813" w:type="dxa"/>
            <w:tcBorders>
              <w:top w:val="single" w:color="auto" w:sz="8" w:space="0"/>
            </w:tcBorders>
          </w:tcPr>
          <w:p>
            <w:pPr>
              <w:rPr>
                <w:rFonts w:ascii="宋体"/>
                <w:sz w:val="18"/>
                <w:szCs w:val="18"/>
              </w:rPr>
            </w:pPr>
            <w:r>
              <w:rPr>
                <w:rFonts w:hint="eastAsia" w:ascii="宋体"/>
                <w:sz w:val="18"/>
                <w:szCs w:val="18"/>
              </w:rPr>
              <w:t>245</w:t>
            </w:r>
          </w:p>
        </w:tc>
        <w:tc>
          <w:tcPr>
            <w:tcW w:w="825" w:type="dxa"/>
            <w:tcBorders>
              <w:top w:val="single" w:color="auto" w:sz="8" w:space="0"/>
            </w:tcBorders>
          </w:tcPr>
          <w:p>
            <w:pPr>
              <w:rPr>
                <w:rFonts w:ascii="宋体"/>
                <w:sz w:val="18"/>
                <w:szCs w:val="18"/>
              </w:rPr>
            </w:pPr>
            <w:r>
              <w:rPr>
                <w:rFonts w:hint="eastAsia" w:ascii="宋体"/>
                <w:sz w:val="18"/>
                <w:szCs w:val="18"/>
              </w:rPr>
              <w:t>49.0</w:t>
            </w:r>
          </w:p>
        </w:tc>
        <w:tc>
          <w:tcPr>
            <w:tcW w:w="770" w:type="dxa"/>
            <w:tcBorders>
              <w:top w:val="single" w:color="auto" w:sz="8" w:space="0"/>
            </w:tcBorders>
          </w:tcPr>
          <w:p>
            <w:pPr>
              <w:rPr>
                <w:rFonts w:ascii="宋体"/>
                <w:sz w:val="18"/>
                <w:szCs w:val="18"/>
              </w:rPr>
            </w:pPr>
            <w:r>
              <w:rPr>
                <w:rFonts w:hint="eastAsia" w:ascii="宋体"/>
                <w:sz w:val="18"/>
                <w:szCs w:val="18"/>
              </w:rPr>
              <w:t>4.14</w:t>
            </w:r>
          </w:p>
        </w:tc>
        <w:tc>
          <w:tcPr>
            <w:tcW w:w="840" w:type="dxa"/>
            <w:tcBorders>
              <w:top w:val="single" w:color="auto" w:sz="8" w:space="0"/>
            </w:tcBorders>
          </w:tcPr>
          <w:p>
            <w:pPr>
              <w:rPr>
                <w:rFonts w:ascii="宋体"/>
                <w:sz w:val="18"/>
                <w:szCs w:val="18"/>
              </w:rPr>
            </w:pPr>
            <w:r>
              <w:rPr>
                <w:rFonts w:hint="eastAsia" w:ascii="宋体"/>
                <w:sz w:val="18"/>
                <w:szCs w:val="18"/>
              </w:rPr>
              <w:t>8.59</w:t>
            </w:r>
          </w:p>
        </w:tc>
        <w:tc>
          <w:tcPr>
            <w:tcW w:w="868" w:type="dxa"/>
            <w:tcBorders>
              <w:top w:val="single" w:color="auto" w:sz="8" w:space="0"/>
            </w:tcBorders>
          </w:tcPr>
          <w:p>
            <w:pPr>
              <w:rPr>
                <w:rFonts w:ascii="宋体"/>
                <w:sz w:val="18"/>
                <w:szCs w:val="18"/>
              </w:rPr>
            </w:pPr>
            <w:r>
              <w:rPr>
                <w:rFonts w:hint="eastAsia" w:ascii="宋体"/>
                <w:sz w:val="18"/>
                <w:szCs w:val="18"/>
              </w:rPr>
              <w:t>33.0</w:t>
            </w:r>
          </w:p>
        </w:tc>
        <w:tc>
          <w:tcPr>
            <w:tcW w:w="798" w:type="dxa"/>
            <w:tcBorders>
              <w:top w:val="single" w:color="auto" w:sz="8" w:space="0"/>
            </w:tcBorders>
          </w:tcPr>
          <w:p>
            <w:pPr>
              <w:rPr>
                <w:rFonts w:ascii="宋体"/>
                <w:sz w:val="18"/>
                <w:szCs w:val="18"/>
              </w:rPr>
            </w:pPr>
            <w:r>
              <w:rPr>
                <w:rFonts w:hint="eastAsia" w:ascii="宋体"/>
                <w:sz w:val="18"/>
                <w:szCs w:val="18"/>
              </w:rPr>
              <w:t>9.72</w:t>
            </w:r>
          </w:p>
        </w:tc>
        <w:tc>
          <w:tcPr>
            <w:tcW w:w="756" w:type="dxa"/>
            <w:tcBorders>
              <w:top w:val="single" w:color="auto" w:sz="8" w:space="0"/>
            </w:tcBorders>
          </w:tcPr>
          <w:p>
            <w:pPr>
              <w:rPr>
                <w:rFonts w:ascii="宋体"/>
                <w:sz w:val="18"/>
                <w:szCs w:val="18"/>
              </w:rPr>
            </w:pPr>
            <w:r>
              <w:rPr>
                <w:rFonts w:hint="eastAsia" w:ascii="宋体"/>
                <w:sz w:val="18"/>
                <w:szCs w:val="18"/>
              </w:rPr>
              <w:t>1.52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Pr>
          <w:p>
            <w:pPr>
              <w:rPr>
                <w:rFonts w:ascii="宋体"/>
                <w:sz w:val="18"/>
                <w:szCs w:val="18"/>
              </w:rPr>
            </w:pPr>
            <w:r>
              <w:rPr>
                <w:rFonts w:hint="eastAsia" w:ascii="宋体"/>
                <w:sz w:val="18"/>
                <w:szCs w:val="18"/>
              </w:rPr>
              <w:t>13</w:t>
            </w:r>
          </w:p>
        </w:tc>
        <w:tc>
          <w:tcPr>
            <w:tcW w:w="525" w:type="dxa"/>
          </w:tcPr>
          <w:p>
            <w:pPr>
              <w:rPr>
                <w:rFonts w:ascii="宋体"/>
                <w:sz w:val="18"/>
                <w:szCs w:val="18"/>
              </w:rPr>
            </w:pPr>
            <w:r>
              <w:rPr>
                <w:rFonts w:hint="eastAsia" w:ascii="宋体"/>
                <w:sz w:val="18"/>
                <w:szCs w:val="18"/>
              </w:rPr>
              <w:t>126</w:t>
            </w:r>
          </w:p>
        </w:tc>
        <w:tc>
          <w:tcPr>
            <w:tcW w:w="487" w:type="dxa"/>
          </w:tcPr>
          <w:p>
            <w:pPr>
              <w:rPr>
                <w:rFonts w:ascii="宋体"/>
                <w:sz w:val="18"/>
                <w:szCs w:val="18"/>
              </w:rPr>
            </w:pPr>
            <w:r>
              <w:rPr>
                <w:rFonts w:hint="eastAsia" w:ascii="宋体"/>
                <w:sz w:val="18"/>
                <w:szCs w:val="18"/>
              </w:rPr>
              <w:t>74</w:t>
            </w:r>
          </w:p>
        </w:tc>
        <w:tc>
          <w:tcPr>
            <w:tcW w:w="553" w:type="dxa"/>
          </w:tcPr>
          <w:p>
            <w:pPr>
              <w:rPr>
                <w:rFonts w:ascii="宋体"/>
                <w:sz w:val="18"/>
                <w:szCs w:val="18"/>
              </w:rPr>
            </w:pPr>
            <w:r>
              <w:rPr>
                <w:rFonts w:hint="eastAsia" w:ascii="宋体"/>
                <w:sz w:val="18"/>
                <w:szCs w:val="18"/>
              </w:rPr>
              <w:t>5.0</w:t>
            </w:r>
          </w:p>
        </w:tc>
        <w:tc>
          <w:tcPr>
            <w:tcW w:w="591" w:type="dxa"/>
          </w:tcPr>
          <w:p>
            <w:pPr>
              <w:rPr>
                <w:rFonts w:ascii="宋体"/>
                <w:sz w:val="18"/>
                <w:szCs w:val="18"/>
              </w:rPr>
            </w:pPr>
            <w:r>
              <w:rPr>
                <w:rFonts w:hint="eastAsia" w:ascii="宋体"/>
                <w:sz w:val="18"/>
                <w:szCs w:val="18"/>
              </w:rPr>
              <w:t>8.4</w:t>
            </w:r>
          </w:p>
        </w:tc>
        <w:tc>
          <w:tcPr>
            <w:tcW w:w="562" w:type="dxa"/>
          </w:tcPr>
          <w:p>
            <w:pPr>
              <w:rPr>
                <w:rFonts w:ascii="宋体"/>
                <w:sz w:val="18"/>
                <w:szCs w:val="18"/>
              </w:rPr>
            </w:pPr>
            <w:r>
              <w:rPr>
                <w:rFonts w:hint="eastAsia" w:ascii="宋体"/>
                <w:sz w:val="18"/>
                <w:szCs w:val="18"/>
              </w:rPr>
              <w:t>7.0</w:t>
            </w:r>
          </w:p>
        </w:tc>
        <w:tc>
          <w:tcPr>
            <w:tcW w:w="572" w:type="dxa"/>
          </w:tcPr>
          <w:p>
            <w:pPr>
              <w:rPr>
                <w:rFonts w:ascii="宋体"/>
                <w:sz w:val="18"/>
                <w:szCs w:val="18"/>
              </w:rPr>
            </w:pPr>
            <w:r>
              <w:rPr>
                <w:rFonts w:hint="eastAsia" w:ascii="宋体"/>
                <w:sz w:val="18"/>
                <w:szCs w:val="18"/>
              </w:rPr>
              <w:t>3.5</w:t>
            </w:r>
          </w:p>
        </w:tc>
        <w:tc>
          <w:tcPr>
            <w:tcW w:w="760" w:type="dxa"/>
          </w:tcPr>
          <w:p>
            <w:pPr>
              <w:rPr>
                <w:rFonts w:ascii="宋体"/>
                <w:sz w:val="18"/>
                <w:szCs w:val="18"/>
              </w:rPr>
            </w:pPr>
            <w:r>
              <w:rPr>
                <w:rFonts w:hint="eastAsia" w:ascii="宋体"/>
                <w:sz w:val="18"/>
                <w:szCs w:val="18"/>
              </w:rPr>
              <w:t>18.1</w:t>
            </w:r>
          </w:p>
        </w:tc>
        <w:tc>
          <w:tcPr>
            <w:tcW w:w="868" w:type="dxa"/>
          </w:tcPr>
          <w:p>
            <w:pPr>
              <w:rPr>
                <w:rFonts w:ascii="宋体"/>
                <w:sz w:val="18"/>
                <w:szCs w:val="18"/>
              </w:rPr>
            </w:pPr>
            <w:r>
              <w:rPr>
                <w:rFonts w:hint="eastAsia" w:ascii="宋体"/>
                <w:sz w:val="18"/>
                <w:szCs w:val="18"/>
              </w:rPr>
              <w:t>14.2</w:t>
            </w:r>
          </w:p>
        </w:tc>
        <w:tc>
          <w:tcPr>
            <w:tcW w:w="813" w:type="dxa"/>
          </w:tcPr>
          <w:p>
            <w:pPr>
              <w:rPr>
                <w:rFonts w:ascii="宋体"/>
                <w:sz w:val="18"/>
                <w:szCs w:val="18"/>
              </w:rPr>
            </w:pPr>
            <w:r>
              <w:rPr>
                <w:rFonts w:hint="eastAsia" w:ascii="宋体"/>
                <w:sz w:val="18"/>
                <w:szCs w:val="18"/>
              </w:rPr>
              <w:t>448</w:t>
            </w:r>
          </w:p>
        </w:tc>
        <w:tc>
          <w:tcPr>
            <w:tcW w:w="825" w:type="dxa"/>
          </w:tcPr>
          <w:p>
            <w:pPr>
              <w:rPr>
                <w:rFonts w:ascii="宋体"/>
                <w:sz w:val="18"/>
                <w:szCs w:val="18"/>
              </w:rPr>
            </w:pPr>
            <w:r>
              <w:rPr>
                <w:rFonts w:hint="eastAsia" w:ascii="宋体"/>
                <w:sz w:val="18"/>
                <w:szCs w:val="18"/>
              </w:rPr>
              <w:t>77.5</w:t>
            </w:r>
          </w:p>
        </w:tc>
        <w:tc>
          <w:tcPr>
            <w:tcW w:w="770" w:type="dxa"/>
          </w:tcPr>
          <w:p>
            <w:pPr>
              <w:rPr>
                <w:rFonts w:ascii="宋体"/>
                <w:sz w:val="18"/>
                <w:szCs w:val="18"/>
              </w:rPr>
            </w:pPr>
            <w:r>
              <w:rPr>
                <w:rFonts w:hint="eastAsia" w:ascii="宋体"/>
                <w:sz w:val="18"/>
                <w:szCs w:val="18"/>
              </w:rPr>
              <w:t>5.20</w:t>
            </w:r>
          </w:p>
        </w:tc>
        <w:tc>
          <w:tcPr>
            <w:tcW w:w="840" w:type="dxa"/>
          </w:tcPr>
          <w:p>
            <w:pPr>
              <w:rPr>
                <w:rFonts w:ascii="宋体"/>
                <w:sz w:val="18"/>
                <w:szCs w:val="18"/>
              </w:rPr>
            </w:pPr>
            <w:r>
              <w:rPr>
                <w:rFonts w:hint="eastAsia" w:ascii="宋体"/>
                <w:sz w:val="18"/>
                <w:szCs w:val="18"/>
              </w:rPr>
              <w:t>10.85</w:t>
            </w:r>
          </w:p>
        </w:tc>
        <w:tc>
          <w:tcPr>
            <w:tcW w:w="868" w:type="dxa"/>
          </w:tcPr>
          <w:p>
            <w:pPr>
              <w:rPr>
                <w:rFonts w:ascii="宋体"/>
                <w:sz w:val="18"/>
                <w:szCs w:val="18"/>
              </w:rPr>
            </w:pPr>
            <w:r>
              <w:rPr>
                <w:rFonts w:hint="eastAsia" w:ascii="宋体"/>
                <w:sz w:val="18"/>
                <w:szCs w:val="18"/>
              </w:rPr>
              <w:t>46.9</w:t>
            </w:r>
          </w:p>
        </w:tc>
        <w:tc>
          <w:tcPr>
            <w:tcW w:w="798" w:type="dxa"/>
          </w:tcPr>
          <w:p>
            <w:pPr>
              <w:rPr>
                <w:rFonts w:ascii="宋体"/>
                <w:sz w:val="18"/>
                <w:szCs w:val="18"/>
              </w:rPr>
            </w:pPr>
            <w:r>
              <w:rPr>
                <w:rFonts w:hint="eastAsia" w:ascii="宋体"/>
                <w:sz w:val="18"/>
                <w:szCs w:val="18"/>
              </w:rPr>
              <w:t>12.68</w:t>
            </w:r>
          </w:p>
        </w:tc>
        <w:tc>
          <w:tcPr>
            <w:tcW w:w="756" w:type="dxa"/>
          </w:tcPr>
          <w:p>
            <w:pPr>
              <w:rPr>
                <w:rFonts w:ascii="宋体"/>
                <w:sz w:val="18"/>
                <w:szCs w:val="18"/>
              </w:rPr>
            </w:pPr>
            <w:r>
              <w:rPr>
                <w:rFonts w:hint="eastAsia" w:ascii="宋体"/>
                <w:sz w:val="18"/>
                <w:szCs w:val="18"/>
              </w:rPr>
              <w:t>1.61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Pr>
          <w:p>
            <w:pPr>
              <w:rPr>
                <w:rFonts w:ascii="宋体"/>
                <w:sz w:val="18"/>
                <w:szCs w:val="18"/>
              </w:rPr>
            </w:pPr>
            <w:r>
              <w:rPr>
                <w:rFonts w:hint="eastAsia" w:ascii="宋体"/>
                <w:sz w:val="18"/>
                <w:szCs w:val="18"/>
              </w:rPr>
              <w:t>14</w:t>
            </w:r>
          </w:p>
        </w:tc>
        <w:tc>
          <w:tcPr>
            <w:tcW w:w="525" w:type="dxa"/>
          </w:tcPr>
          <w:p>
            <w:pPr>
              <w:rPr>
                <w:rFonts w:ascii="宋体"/>
                <w:sz w:val="18"/>
                <w:szCs w:val="18"/>
              </w:rPr>
            </w:pPr>
            <w:r>
              <w:rPr>
                <w:rFonts w:hint="eastAsia" w:ascii="宋体"/>
                <w:sz w:val="18"/>
                <w:szCs w:val="18"/>
              </w:rPr>
              <w:t>140</w:t>
            </w:r>
          </w:p>
        </w:tc>
        <w:tc>
          <w:tcPr>
            <w:tcW w:w="487" w:type="dxa"/>
          </w:tcPr>
          <w:p>
            <w:pPr>
              <w:rPr>
                <w:rFonts w:ascii="宋体"/>
                <w:sz w:val="18"/>
                <w:szCs w:val="18"/>
              </w:rPr>
            </w:pPr>
            <w:r>
              <w:rPr>
                <w:rFonts w:hint="eastAsia" w:ascii="宋体"/>
                <w:sz w:val="18"/>
                <w:szCs w:val="18"/>
              </w:rPr>
              <w:t>80</w:t>
            </w:r>
          </w:p>
        </w:tc>
        <w:tc>
          <w:tcPr>
            <w:tcW w:w="553" w:type="dxa"/>
          </w:tcPr>
          <w:p>
            <w:pPr>
              <w:rPr>
                <w:rFonts w:ascii="宋体"/>
                <w:sz w:val="18"/>
                <w:szCs w:val="18"/>
              </w:rPr>
            </w:pPr>
            <w:r>
              <w:rPr>
                <w:rFonts w:hint="eastAsia" w:ascii="宋体"/>
                <w:sz w:val="18"/>
                <w:szCs w:val="18"/>
              </w:rPr>
              <w:t>5.5</w:t>
            </w:r>
          </w:p>
        </w:tc>
        <w:tc>
          <w:tcPr>
            <w:tcW w:w="591" w:type="dxa"/>
          </w:tcPr>
          <w:p>
            <w:pPr>
              <w:rPr>
                <w:rFonts w:ascii="宋体"/>
                <w:sz w:val="18"/>
                <w:szCs w:val="18"/>
              </w:rPr>
            </w:pPr>
            <w:r>
              <w:rPr>
                <w:rFonts w:hint="eastAsia" w:ascii="宋体"/>
                <w:sz w:val="18"/>
                <w:szCs w:val="18"/>
              </w:rPr>
              <w:t>9.1</w:t>
            </w:r>
          </w:p>
        </w:tc>
        <w:tc>
          <w:tcPr>
            <w:tcW w:w="562" w:type="dxa"/>
          </w:tcPr>
          <w:p>
            <w:pPr>
              <w:rPr>
                <w:rFonts w:ascii="宋体"/>
                <w:sz w:val="18"/>
                <w:szCs w:val="18"/>
              </w:rPr>
            </w:pPr>
            <w:r>
              <w:rPr>
                <w:rFonts w:hint="eastAsia" w:ascii="宋体"/>
                <w:sz w:val="18"/>
                <w:szCs w:val="18"/>
              </w:rPr>
              <w:t>7.5</w:t>
            </w:r>
          </w:p>
        </w:tc>
        <w:tc>
          <w:tcPr>
            <w:tcW w:w="572" w:type="dxa"/>
          </w:tcPr>
          <w:p>
            <w:pPr>
              <w:rPr>
                <w:rFonts w:ascii="宋体"/>
                <w:sz w:val="18"/>
                <w:szCs w:val="18"/>
              </w:rPr>
            </w:pPr>
            <w:r>
              <w:rPr>
                <w:rFonts w:hint="eastAsia" w:ascii="宋体"/>
                <w:sz w:val="18"/>
                <w:szCs w:val="18"/>
              </w:rPr>
              <w:t>3.8</w:t>
            </w:r>
          </w:p>
        </w:tc>
        <w:tc>
          <w:tcPr>
            <w:tcW w:w="760" w:type="dxa"/>
          </w:tcPr>
          <w:p>
            <w:pPr>
              <w:rPr>
                <w:rFonts w:ascii="宋体"/>
                <w:sz w:val="18"/>
                <w:szCs w:val="18"/>
              </w:rPr>
            </w:pPr>
            <w:r>
              <w:rPr>
                <w:rFonts w:hint="eastAsia" w:ascii="宋体"/>
                <w:sz w:val="18"/>
                <w:szCs w:val="18"/>
              </w:rPr>
              <w:t>21.5</w:t>
            </w:r>
          </w:p>
        </w:tc>
        <w:tc>
          <w:tcPr>
            <w:tcW w:w="868" w:type="dxa"/>
          </w:tcPr>
          <w:p>
            <w:pPr>
              <w:rPr>
                <w:rFonts w:ascii="宋体"/>
                <w:sz w:val="18"/>
                <w:szCs w:val="18"/>
              </w:rPr>
            </w:pPr>
            <w:r>
              <w:rPr>
                <w:rFonts w:hint="eastAsia" w:ascii="宋体"/>
                <w:sz w:val="18"/>
                <w:szCs w:val="18"/>
              </w:rPr>
              <w:t>16.9</w:t>
            </w:r>
          </w:p>
        </w:tc>
        <w:tc>
          <w:tcPr>
            <w:tcW w:w="813" w:type="dxa"/>
          </w:tcPr>
          <w:p>
            <w:pPr>
              <w:rPr>
                <w:rFonts w:ascii="宋体"/>
                <w:sz w:val="18"/>
                <w:szCs w:val="18"/>
              </w:rPr>
            </w:pPr>
            <w:r>
              <w:rPr>
                <w:rFonts w:hint="eastAsia" w:ascii="宋体"/>
                <w:sz w:val="18"/>
                <w:szCs w:val="18"/>
              </w:rPr>
              <w:t>712</w:t>
            </w:r>
          </w:p>
        </w:tc>
        <w:tc>
          <w:tcPr>
            <w:tcW w:w="825" w:type="dxa"/>
          </w:tcPr>
          <w:p>
            <w:pPr>
              <w:rPr>
                <w:rFonts w:ascii="宋体"/>
                <w:sz w:val="18"/>
                <w:szCs w:val="18"/>
              </w:rPr>
            </w:pPr>
            <w:r>
              <w:rPr>
                <w:rFonts w:hint="eastAsia" w:ascii="宋体"/>
                <w:sz w:val="18"/>
                <w:szCs w:val="18"/>
              </w:rPr>
              <w:t>102</w:t>
            </w:r>
          </w:p>
        </w:tc>
        <w:tc>
          <w:tcPr>
            <w:tcW w:w="770" w:type="dxa"/>
          </w:tcPr>
          <w:p>
            <w:pPr>
              <w:rPr>
                <w:rFonts w:ascii="宋体"/>
                <w:sz w:val="18"/>
                <w:szCs w:val="18"/>
              </w:rPr>
            </w:pPr>
            <w:r>
              <w:rPr>
                <w:rFonts w:hint="eastAsia" w:ascii="宋体"/>
                <w:sz w:val="18"/>
                <w:szCs w:val="18"/>
              </w:rPr>
              <w:t>5.76</w:t>
            </w:r>
          </w:p>
        </w:tc>
        <w:tc>
          <w:tcPr>
            <w:tcW w:w="840" w:type="dxa"/>
          </w:tcPr>
          <w:p>
            <w:pPr>
              <w:rPr>
                <w:rFonts w:ascii="宋体"/>
                <w:sz w:val="18"/>
                <w:szCs w:val="18"/>
              </w:rPr>
            </w:pPr>
            <w:r>
              <w:rPr>
                <w:rFonts w:hint="eastAsia" w:ascii="宋体"/>
                <w:sz w:val="18"/>
                <w:szCs w:val="18"/>
              </w:rPr>
              <w:t>12.0</w:t>
            </w:r>
          </w:p>
        </w:tc>
        <w:tc>
          <w:tcPr>
            <w:tcW w:w="868" w:type="dxa"/>
          </w:tcPr>
          <w:p>
            <w:pPr>
              <w:rPr>
                <w:rFonts w:ascii="宋体"/>
                <w:sz w:val="18"/>
                <w:szCs w:val="18"/>
              </w:rPr>
            </w:pPr>
            <w:r>
              <w:rPr>
                <w:rFonts w:hint="eastAsia" w:ascii="宋体"/>
                <w:sz w:val="18"/>
                <w:szCs w:val="18"/>
              </w:rPr>
              <w:t>64.4</w:t>
            </w:r>
          </w:p>
        </w:tc>
        <w:tc>
          <w:tcPr>
            <w:tcW w:w="798" w:type="dxa"/>
          </w:tcPr>
          <w:p>
            <w:pPr>
              <w:rPr>
                <w:rFonts w:ascii="宋体"/>
                <w:sz w:val="18"/>
                <w:szCs w:val="18"/>
              </w:rPr>
            </w:pPr>
            <w:r>
              <w:rPr>
                <w:rFonts w:hint="eastAsia" w:ascii="宋体"/>
                <w:sz w:val="18"/>
                <w:szCs w:val="18"/>
              </w:rPr>
              <w:t>16.1</w:t>
            </w:r>
          </w:p>
        </w:tc>
        <w:tc>
          <w:tcPr>
            <w:tcW w:w="756" w:type="dxa"/>
          </w:tcPr>
          <w:p>
            <w:pPr>
              <w:rPr>
                <w:rFonts w:ascii="宋体"/>
                <w:sz w:val="18"/>
                <w:szCs w:val="18"/>
              </w:rPr>
            </w:pPr>
            <w:r>
              <w:rPr>
                <w:rFonts w:hint="eastAsia" w:ascii="宋体"/>
                <w:sz w:val="18"/>
                <w:szCs w:val="18"/>
              </w:rPr>
              <w:t>1.73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Pr>
          <w:p>
            <w:pPr>
              <w:rPr>
                <w:rFonts w:ascii="宋体"/>
                <w:sz w:val="18"/>
                <w:szCs w:val="18"/>
              </w:rPr>
            </w:pPr>
            <w:r>
              <w:rPr>
                <w:rFonts w:hint="eastAsia" w:ascii="宋体"/>
                <w:sz w:val="18"/>
                <w:szCs w:val="18"/>
              </w:rPr>
              <w:t>16</w:t>
            </w:r>
          </w:p>
        </w:tc>
        <w:tc>
          <w:tcPr>
            <w:tcW w:w="525" w:type="dxa"/>
          </w:tcPr>
          <w:p>
            <w:pPr>
              <w:rPr>
                <w:rFonts w:ascii="宋体"/>
                <w:sz w:val="18"/>
                <w:szCs w:val="18"/>
              </w:rPr>
            </w:pPr>
            <w:r>
              <w:rPr>
                <w:rFonts w:hint="eastAsia" w:ascii="宋体"/>
                <w:sz w:val="18"/>
                <w:szCs w:val="18"/>
              </w:rPr>
              <w:t>160</w:t>
            </w:r>
          </w:p>
        </w:tc>
        <w:tc>
          <w:tcPr>
            <w:tcW w:w="487" w:type="dxa"/>
          </w:tcPr>
          <w:p>
            <w:pPr>
              <w:rPr>
                <w:rFonts w:ascii="宋体"/>
                <w:sz w:val="18"/>
                <w:szCs w:val="18"/>
              </w:rPr>
            </w:pPr>
            <w:r>
              <w:rPr>
                <w:rFonts w:hint="eastAsia" w:ascii="宋体"/>
                <w:sz w:val="18"/>
                <w:szCs w:val="18"/>
              </w:rPr>
              <w:t>88</w:t>
            </w:r>
          </w:p>
        </w:tc>
        <w:tc>
          <w:tcPr>
            <w:tcW w:w="553" w:type="dxa"/>
          </w:tcPr>
          <w:p>
            <w:pPr>
              <w:rPr>
                <w:rFonts w:ascii="宋体"/>
                <w:sz w:val="18"/>
                <w:szCs w:val="18"/>
              </w:rPr>
            </w:pPr>
            <w:r>
              <w:rPr>
                <w:rFonts w:hint="eastAsia" w:ascii="宋体"/>
                <w:sz w:val="18"/>
                <w:szCs w:val="18"/>
              </w:rPr>
              <w:t>6.0</w:t>
            </w:r>
          </w:p>
        </w:tc>
        <w:tc>
          <w:tcPr>
            <w:tcW w:w="591" w:type="dxa"/>
          </w:tcPr>
          <w:p>
            <w:pPr>
              <w:rPr>
                <w:rFonts w:ascii="宋体"/>
                <w:sz w:val="18"/>
                <w:szCs w:val="18"/>
              </w:rPr>
            </w:pPr>
            <w:r>
              <w:rPr>
                <w:rFonts w:hint="eastAsia" w:ascii="宋体"/>
                <w:sz w:val="18"/>
                <w:szCs w:val="18"/>
              </w:rPr>
              <w:t>9.9</w:t>
            </w:r>
          </w:p>
        </w:tc>
        <w:tc>
          <w:tcPr>
            <w:tcW w:w="562" w:type="dxa"/>
          </w:tcPr>
          <w:p>
            <w:pPr>
              <w:rPr>
                <w:rFonts w:ascii="宋体"/>
                <w:sz w:val="18"/>
                <w:szCs w:val="18"/>
              </w:rPr>
            </w:pPr>
            <w:r>
              <w:rPr>
                <w:rFonts w:hint="eastAsia" w:ascii="宋体"/>
                <w:sz w:val="18"/>
                <w:szCs w:val="18"/>
              </w:rPr>
              <w:t>8.0</w:t>
            </w:r>
          </w:p>
        </w:tc>
        <w:tc>
          <w:tcPr>
            <w:tcW w:w="572" w:type="dxa"/>
          </w:tcPr>
          <w:p>
            <w:pPr>
              <w:rPr>
                <w:rFonts w:ascii="宋体"/>
                <w:sz w:val="18"/>
                <w:szCs w:val="18"/>
              </w:rPr>
            </w:pPr>
            <w:r>
              <w:rPr>
                <w:rFonts w:hint="eastAsia" w:ascii="宋体"/>
                <w:sz w:val="18"/>
                <w:szCs w:val="18"/>
              </w:rPr>
              <w:t>4.0</w:t>
            </w:r>
          </w:p>
        </w:tc>
        <w:tc>
          <w:tcPr>
            <w:tcW w:w="760" w:type="dxa"/>
          </w:tcPr>
          <w:p>
            <w:pPr>
              <w:rPr>
                <w:rFonts w:ascii="宋体"/>
                <w:sz w:val="18"/>
                <w:szCs w:val="18"/>
              </w:rPr>
            </w:pPr>
            <w:r>
              <w:rPr>
                <w:rFonts w:hint="eastAsia" w:ascii="宋体"/>
                <w:sz w:val="18"/>
                <w:szCs w:val="18"/>
              </w:rPr>
              <w:t>26.1</w:t>
            </w:r>
          </w:p>
        </w:tc>
        <w:tc>
          <w:tcPr>
            <w:tcW w:w="868" w:type="dxa"/>
          </w:tcPr>
          <w:p>
            <w:pPr>
              <w:rPr>
                <w:rFonts w:ascii="宋体"/>
                <w:sz w:val="18"/>
                <w:szCs w:val="18"/>
              </w:rPr>
            </w:pPr>
            <w:r>
              <w:rPr>
                <w:rFonts w:hint="eastAsia" w:ascii="宋体"/>
                <w:sz w:val="18"/>
                <w:szCs w:val="18"/>
              </w:rPr>
              <w:t>20.5</w:t>
            </w:r>
          </w:p>
        </w:tc>
        <w:tc>
          <w:tcPr>
            <w:tcW w:w="813" w:type="dxa"/>
          </w:tcPr>
          <w:p>
            <w:pPr>
              <w:rPr>
                <w:rFonts w:ascii="宋体"/>
                <w:sz w:val="18"/>
                <w:szCs w:val="18"/>
              </w:rPr>
            </w:pPr>
            <w:r>
              <w:rPr>
                <w:rFonts w:hint="eastAsia" w:ascii="宋体"/>
                <w:sz w:val="18"/>
                <w:szCs w:val="18"/>
              </w:rPr>
              <w:t>1130</w:t>
            </w:r>
          </w:p>
        </w:tc>
        <w:tc>
          <w:tcPr>
            <w:tcW w:w="825" w:type="dxa"/>
          </w:tcPr>
          <w:p>
            <w:pPr>
              <w:rPr>
                <w:rFonts w:ascii="宋体"/>
                <w:sz w:val="18"/>
                <w:szCs w:val="18"/>
              </w:rPr>
            </w:pPr>
            <w:r>
              <w:rPr>
                <w:rFonts w:hint="eastAsia" w:ascii="宋体"/>
                <w:sz w:val="18"/>
                <w:szCs w:val="18"/>
              </w:rPr>
              <w:t>141</w:t>
            </w:r>
          </w:p>
        </w:tc>
        <w:tc>
          <w:tcPr>
            <w:tcW w:w="770" w:type="dxa"/>
          </w:tcPr>
          <w:p>
            <w:pPr>
              <w:rPr>
                <w:rFonts w:ascii="宋体"/>
                <w:sz w:val="18"/>
                <w:szCs w:val="18"/>
              </w:rPr>
            </w:pPr>
            <w:r>
              <w:rPr>
                <w:rFonts w:hint="eastAsia" w:ascii="宋体"/>
                <w:sz w:val="18"/>
                <w:szCs w:val="18"/>
              </w:rPr>
              <w:t>6.58</w:t>
            </w:r>
          </w:p>
        </w:tc>
        <w:tc>
          <w:tcPr>
            <w:tcW w:w="840" w:type="dxa"/>
          </w:tcPr>
          <w:p>
            <w:pPr>
              <w:rPr>
                <w:rFonts w:ascii="宋体"/>
                <w:sz w:val="18"/>
                <w:szCs w:val="18"/>
              </w:rPr>
            </w:pPr>
            <w:r>
              <w:rPr>
                <w:rFonts w:hint="eastAsia" w:ascii="宋体"/>
                <w:sz w:val="18"/>
                <w:szCs w:val="18"/>
              </w:rPr>
              <w:t>13.8</w:t>
            </w:r>
          </w:p>
        </w:tc>
        <w:tc>
          <w:tcPr>
            <w:tcW w:w="868" w:type="dxa"/>
          </w:tcPr>
          <w:p>
            <w:pPr>
              <w:rPr>
                <w:rFonts w:ascii="宋体"/>
                <w:sz w:val="18"/>
                <w:szCs w:val="18"/>
              </w:rPr>
            </w:pPr>
            <w:r>
              <w:rPr>
                <w:rFonts w:hint="eastAsia" w:ascii="宋体"/>
                <w:sz w:val="18"/>
                <w:szCs w:val="18"/>
              </w:rPr>
              <w:t>93.1</w:t>
            </w:r>
          </w:p>
        </w:tc>
        <w:tc>
          <w:tcPr>
            <w:tcW w:w="798" w:type="dxa"/>
          </w:tcPr>
          <w:p>
            <w:pPr>
              <w:rPr>
                <w:rFonts w:ascii="宋体"/>
                <w:sz w:val="18"/>
                <w:szCs w:val="18"/>
              </w:rPr>
            </w:pPr>
            <w:r>
              <w:rPr>
                <w:rFonts w:hint="eastAsia" w:ascii="宋体"/>
                <w:sz w:val="18"/>
                <w:szCs w:val="18"/>
              </w:rPr>
              <w:t>21.2</w:t>
            </w:r>
          </w:p>
        </w:tc>
        <w:tc>
          <w:tcPr>
            <w:tcW w:w="756" w:type="dxa"/>
          </w:tcPr>
          <w:p>
            <w:pPr>
              <w:rPr>
                <w:rFonts w:ascii="宋体"/>
                <w:sz w:val="18"/>
                <w:szCs w:val="18"/>
              </w:rPr>
            </w:pPr>
            <w:r>
              <w:rPr>
                <w:rFonts w:hint="eastAsia" w:ascii="宋体"/>
                <w:sz w:val="18"/>
                <w:szCs w:val="18"/>
              </w:rPr>
              <w:t>1.89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Pr>
          <w:p>
            <w:pPr>
              <w:rPr>
                <w:rFonts w:ascii="宋体"/>
                <w:sz w:val="18"/>
                <w:szCs w:val="18"/>
              </w:rPr>
            </w:pPr>
            <w:r>
              <w:rPr>
                <w:rFonts w:hint="eastAsia" w:ascii="宋体"/>
                <w:sz w:val="18"/>
                <w:szCs w:val="18"/>
              </w:rPr>
              <w:t>18</w:t>
            </w:r>
          </w:p>
        </w:tc>
        <w:tc>
          <w:tcPr>
            <w:tcW w:w="525" w:type="dxa"/>
          </w:tcPr>
          <w:p>
            <w:pPr>
              <w:rPr>
                <w:rFonts w:ascii="宋体"/>
                <w:sz w:val="18"/>
                <w:szCs w:val="18"/>
              </w:rPr>
            </w:pPr>
            <w:r>
              <w:rPr>
                <w:rFonts w:hint="eastAsia" w:ascii="宋体"/>
                <w:sz w:val="18"/>
                <w:szCs w:val="18"/>
              </w:rPr>
              <w:t>180</w:t>
            </w:r>
          </w:p>
        </w:tc>
        <w:tc>
          <w:tcPr>
            <w:tcW w:w="487" w:type="dxa"/>
          </w:tcPr>
          <w:p>
            <w:pPr>
              <w:rPr>
                <w:rFonts w:ascii="宋体"/>
                <w:sz w:val="18"/>
                <w:szCs w:val="18"/>
              </w:rPr>
            </w:pPr>
            <w:r>
              <w:rPr>
                <w:rFonts w:hint="eastAsia" w:ascii="宋体"/>
                <w:sz w:val="18"/>
                <w:szCs w:val="18"/>
              </w:rPr>
              <w:t>94</w:t>
            </w:r>
          </w:p>
        </w:tc>
        <w:tc>
          <w:tcPr>
            <w:tcW w:w="553" w:type="dxa"/>
          </w:tcPr>
          <w:p>
            <w:pPr>
              <w:rPr>
                <w:rFonts w:ascii="宋体"/>
                <w:sz w:val="18"/>
                <w:szCs w:val="18"/>
              </w:rPr>
            </w:pPr>
            <w:r>
              <w:rPr>
                <w:rFonts w:hint="eastAsia" w:ascii="宋体"/>
                <w:sz w:val="18"/>
                <w:szCs w:val="18"/>
              </w:rPr>
              <w:t>6.5</w:t>
            </w:r>
          </w:p>
        </w:tc>
        <w:tc>
          <w:tcPr>
            <w:tcW w:w="591" w:type="dxa"/>
          </w:tcPr>
          <w:p>
            <w:pPr>
              <w:rPr>
                <w:rFonts w:ascii="宋体"/>
                <w:sz w:val="18"/>
                <w:szCs w:val="18"/>
              </w:rPr>
            </w:pPr>
            <w:r>
              <w:rPr>
                <w:rFonts w:hint="eastAsia" w:ascii="宋体"/>
                <w:sz w:val="18"/>
                <w:szCs w:val="18"/>
              </w:rPr>
              <w:t>10.7</w:t>
            </w:r>
          </w:p>
        </w:tc>
        <w:tc>
          <w:tcPr>
            <w:tcW w:w="562" w:type="dxa"/>
          </w:tcPr>
          <w:p>
            <w:pPr>
              <w:rPr>
                <w:rFonts w:ascii="宋体"/>
                <w:sz w:val="18"/>
                <w:szCs w:val="18"/>
              </w:rPr>
            </w:pPr>
            <w:r>
              <w:rPr>
                <w:rFonts w:hint="eastAsia" w:ascii="宋体"/>
                <w:sz w:val="18"/>
                <w:szCs w:val="18"/>
              </w:rPr>
              <w:t>8.5</w:t>
            </w:r>
          </w:p>
        </w:tc>
        <w:tc>
          <w:tcPr>
            <w:tcW w:w="572" w:type="dxa"/>
          </w:tcPr>
          <w:p>
            <w:pPr>
              <w:rPr>
                <w:rFonts w:ascii="宋体"/>
                <w:sz w:val="18"/>
                <w:szCs w:val="18"/>
              </w:rPr>
            </w:pPr>
            <w:r>
              <w:rPr>
                <w:rFonts w:hint="eastAsia" w:ascii="宋体"/>
                <w:sz w:val="18"/>
                <w:szCs w:val="18"/>
              </w:rPr>
              <w:t>4.3</w:t>
            </w:r>
          </w:p>
        </w:tc>
        <w:tc>
          <w:tcPr>
            <w:tcW w:w="760" w:type="dxa"/>
          </w:tcPr>
          <w:p>
            <w:pPr>
              <w:rPr>
                <w:rFonts w:ascii="宋体"/>
                <w:sz w:val="18"/>
                <w:szCs w:val="18"/>
              </w:rPr>
            </w:pPr>
            <w:r>
              <w:rPr>
                <w:rFonts w:hint="eastAsia" w:ascii="宋体"/>
                <w:sz w:val="18"/>
                <w:szCs w:val="18"/>
              </w:rPr>
              <w:t>30.6</w:t>
            </w:r>
          </w:p>
        </w:tc>
        <w:tc>
          <w:tcPr>
            <w:tcW w:w="868" w:type="dxa"/>
          </w:tcPr>
          <w:p>
            <w:pPr>
              <w:rPr>
                <w:rFonts w:ascii="宋体"/>
                <w:sz w:val="18"/>
                <w:szCs w:val="18"/>
              </w:rPr>
            </w:pPr>
            <w:r>
              <w:rPr>
                <w:rFonts w:hint="eastAsia" w:ascii="宋体"/>
                <w:sz w:val="18"/>
                <w:szCs w:val="18"/>
              </w:rPr>
              <w:t>24.1</w:t>
            </w:r>
          </w:p>
        </w:tc>
        <w:tc>
          <w:tcPr>
            <w:tcW w:w="813" w:type="dxa"/>
          </w:tcPr>
          <w:p>
            <w:pPr>
              <w:rPr>
                <w:rFonts w:ascii="宋体"/>
                <w:sz w:val="18"/>
                <w:szCs w:val="18"/>
              </w:rPr>
            </w:pPr>
            <w:r>
              <w:rPr>
                <w:rFonts w:hint="eastAsia" w:ascii="宋体"/>
                <w:sz w:val="18"/>
                <w:szCs w:val="18"/>
              </w:rPr>
              <w:t>1660</w:t>
            </w:r>
          </w:p>
        </w:tc>
        <w:tc>
          <w:tcPr>
            <w:tcW w:w="825" w:type="dxa"/>
          </w:tcPr>
          <w:p>
            <w:pPr>
              <w:rPr>
                <w:rFonts w:ascii="宋体"/>
                <w:sz w:val="18"/>
                <w:szCs w:val="18"/>
              </w:rPr>
            </w:pPr>
            <w:r>
              <w:rPr>
                <w:rFonts w:hint="eastAsia" w:ascii="宋体"/>
                <w:sz w:val="18"/>
                <w:szCs w:val="18"/>
              </w:rPr>
              <w:t>185</w:t>
            </w:r>
          </w:p>
        </w:tc>
        <w:tc>
          <w:tcPr>
            <w:tcW w:w="770" w:type="dxa"/>
          </w:tcPr>
          <w:p>
            <w:pPr>
              <w:rPr>
                <w:rFonts w:ascii="宋体"/>
                <w:sz w:val="18"/>
                <w:szCs w:val="18"/>
              </w:rPr>
            </w:pPr>
            <w:r>
              <w:rPr>
                <w:rFonts w:hint="eastAsia" w:ascii="宋体"/>
                <w:sz w:val="18"/>
                <w:szCs w:val="18"/>
              </w:rPr>
              <w:t>7.36</w:t>
            </w:r>
          </w:p>
        </w:tc>
        <w:tc>
          <w:tcPr>
            <w:tcW w:w="840" w:type="dxa"/>
          </w:tcPr>
          <w:p>
            <w:pPr>
              <w:rPr>
                <w:rFonts w:ascii="宋体"/>
                <w:sz w:val="18"/>
                <w:szCs w:val="18"/>
              </w:rPr>
            </w:pPr>
            <w:r>
              <w:rPr>
                <w:rFonts w:hint="eastAsia" w:ascii="宋体"/>
                <w:sz w:val="18"/>
                <w:szCs w:val="18"/>
              </w:rPr>
              <w:t>15.4</w:t>
            </w:r>
          </w:p>
        </w:tc>
        <w:tc>
          <w:tcPr>
            <w:tcW w:w="868" w:type="dxa"/>
          </w:tcPr>
          <w:p>
            <w:pPr>
              <w:rPr>
                <w:rFonts w:ascii="宋体"/>
                <w:sz w:val="18"/>
                <w:szCs w:val="18"/>
              </w:rPr>
            </w:pPr>
            <w:r>
              <w:rPr>
                <w:rFonts w:hint="eastAsia" w:ascii="宋体"/>
                <w:sz w:val="18"/>
                <w:szCs w:val="18"/>
              </w:rPr>
              <w:t>122</w:t>
            </w:r>
          </w:p>
        </w:tc>
        <w:tc>
          <w:tcPr>
            <w:tcW w:w="798" w:type="dxa"/>
          </w:tcPr>
          <w:p>
            <w:pPr>
              <w:rPr>
                <w:rFonts w:ascii="宋体"/>
                <w:sz w:val="18"/>
                <w:szCs w:val="18"/>
              </w:rPr>
            </w:pPr>
            <w:r>
              <w:rPr>
                <w:rFonts w:hint="eastAsia" w:ascii="宋体"/>
                <w:sz w:val="18"/>
                <w:szCs w:val="18"/>
              </w:rPr>
              <w:t>26.0</w:t>
            </w:r>
          </w:p>
        </w:tc>
        <w:tc>
          <w:tcPr>
            <w:tcW w:w="756" w:type="dxa"/>
          </w:tcPr>
          <w:p>
            <w:pPr>
              <w:rPr>
                <w:rFonts w:ascii="宋体"/>
                <w:sz w:val="18"/>
                <w:szCs w:val="18"/>
              </w:rPr>
            </w:pPr>
            <w:r>
              <w:rPr>
                <w:rFonts w:hint="eastAsia" w:ascii="宋体"/>
                <w:sz w:val="18"/>
                <w:szCs w:val="18"/>
              </w:rPr>
              <w:t>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Pr>
          <w:p>
            <w:pPr>
              <w:rPr>
                <w:rFonts w:ascii="宋体"/>
                <w:sz w:val="18"/>
                <w:szCs w:val="18"/>
              </w:rPr>
            </w:pPr>
            <w:r>
              <w:rPr>
                <w:rFonts w:hint="eastAsia" w:ascii="宋体"/>
                <w:sz w:val="18"/>
                <w:szCs w:val="18"/>
              </w:rPr>
              <w:t>20a</w:t>
            </w:r>
          </w:p>
        </w:tc>
        <w:tc>
          <w:tcPr>
            <w:tcW w:w="525" w:type="dxa"/>
          </w:tcPr>
          <w:p>
            <w:pPr>
              <w:rPr>
                <w:rFonts w:ascii="宋体"/>
                <w:sz w:val="18"/>
                <w:szCs w:val="18"/>
              </w:rPr>
            </w:pPr>
            <w:r>
              <w:rPr>
                <w:rFonts w:hint="eastAsia" w:ascii="宋体"/>
                <w:sz w:val="18"/>
                <w:szCs w:val="18"/>
              </w:rPr>
              <w:t>200</w:t>
            </w:r>
          </w:p>
        </w:tc>
        <w:tc>
          <w:tcPr>
            <w:tcW w:w="487" w:type="dxa"/>
          </w:tcPr>
          <w:p>
            <w:pPr>
              <w:rPr>
                <w:rFonts w:ascii="宋体"/>
                <w:sz w:val="18"/>
                <w:szCs w:val="18"/>
              </w:rPr>
            </w:pPr>
            <w:r>
              <w:rPr>
                <w:rFonts w:hint="eastAsia" w:ascii="宋体"/>
                <w:sz w:val="18"/>
                <w:szCs w:val="18"/>
              </w:rPr>
              <w:t>100</w:t>
            </w:r>
          </w:p>
        </w:tc>
        <w:tc>
          <w:tcPr>
            <w:tcW w:w="553" w:type="dxa"/>
          </w:tcPr>
          <w:p>
            <w:pPr>
              <w:rPr>
                <w:rFonts w:ascii="宋体"/>
                <w:sz w:val="18"/>
                <w:szCs w:val="18"/>
              </w:rPr>
            </w:pPr>
            <w:r>
              <w:rPr>
                <w:rFonts w:hint="eastAsia" w:ascii="宋体"/>
                <w:sz w:val="18"/>
                <w:szCs w:val="18"/>
              </w:rPr>
              <w:t>7.0</w:t>
            </w:r>
          </w:p>
        </w:tc>
        <w:tc>
          <w:tcPr>
            <w:tcW w:w="591" w:type="dxa"/>
          </w:tcPr>
          <w:p>
            <w:pPr>
              <w:rPr>
                <w:rFonts w:ascii="宋体"/>
                <w:sz w:val="18"/>
                <w:szCs w:val="18"/>
              </w:rPr>
            </w:pPr>
            <w:r>
              <w:rPr>
                <w:rFonts w:hint="eastAsia" w:ascii="宋体"/>
                <w:sz w:val="18"/>
                <w:szCs w:val="18"/>
              </w:rPr>
              <w:t>11.4</w:t>
            </w:r>
          </w:p>
        </w:tc>
        <w:tc>
          <w:tcPr>
            <w:tcW w:w="562" w:type="dxa"/>
          </w:tcPr>
          <w:p>
            <w:pPr>
              <w:rPr>
                <w:rFonts w:ascii="宋体"/>
                <w:sz w:val="18"/>
                <w:szCs w:val="18"/>
              </w:rPr>
            </w:pPr>
            <w:r>
              <w:rPr>
                <w:rFonts w:hint="eastAsia" w:ascii="宋体"/>
                <w:sz w:val="18"/>
                <w:szCs w:val="18"/>
              </w:rPr>
              <w:t>9.0</w:t>
            </w:r>
          </w:p>
        </w:tc>
        <w:tc>
          <w:tcPr>
            <w:tcW w:w="572" w:type="dxa"/>
          </w:tcPr>
          <w:p>
            <w:pPr>
              <w:rPr>
                <w:rFonts w:ascii="宋体"/>
                <w:sz w:val="18"/>
                <w:szCs w:val="18"/>
              </w:rPr>
            </w:pPr>
            <w:r>
              <w:rPr>
                <w:rFonts w:hint="eastAsia" w:ascii="宋体"/>
                <w:sz w:val="18"/>
                <w:szCs w:val="18"/>
              </w:rPr>
              <w:t>4.5</w:t>
            </w:r>
          </w:p>
        </w:tc>
        <w:tc>
          <w:tcPr>
            <w:tcW w:w="760" w:type="dxa"/>
          </w:tcPr>
          <w:p>
            <w:pPr>
              <w:rPr>
                <w:rFonts w:ascii="宋体"/>
                <w:sz w:val="18"/>
                <w:szCs w:val="18"/>
              </w:rPr>
            </w:pPr>
            <w:r>
              <w:rPr>
                <w:rFonts w:hint="eastAsia" w:ascii="宋体"/>
                <w:sz w:val="18"/>
                <w:szCs w:val="18"/>
              </w:rPr>
              <w:t>35.5</w:t>
            </w:r>
          </w:p>
        </w:tc>
        <w:tc>
          <w:tcPr>
            <w:tcW w:w="868" w:type="dxa"/>
          </w:tcPr>
          <w:p>
            <w:pPr>
              <w:rPr>
                <w:rFonts w:ascii="宋体"/>
                <w:sz w:val="18"/>
                <w:szCs w:val="18"/>
              </w:rPr>
            </w:pPr>
            <w:r>
              <w:rPr>
                <w:rFonts w:hint="eastAsia" w:ascii="宋体"/>
                <w:sz w:val="18"/>
                <w:szCs w:val="18"/>
              </w:rPr>
              <w:t>27.9</w:t>
            </w:r>
          </w:p>
        </w:tc>
        <w:tc>
          <w:tcPr>
            <w:tcW w:w="813" w:type="dxa"/>
          </w:tcPr>
          <w:p>
            <w:pPr>
              <w:rPr>
                <w:rFonts w:ascii="宋体"/>
                <w:sz w:val="18"/>
                <w:szCs w:val="18"/>
              </w:rPr>
            </w:pPr>
            <w:r>
              <w:rPr>
                <w:rFonts w:hint="eastAsia" w:ascii="宋体"/>
                <w:sz w:val="18"/>
                <w:szCs w:val="18"/>
              </w:rPr>
              <w:t>2370</w:t>
            </w:r>
          </w:p>
        </w:tc>
        <w:tc>
          <w:tcPr>
            <w:tcW w:w="825" w:type="dxa"/>
          </w:tcPr>
          <w:p>
            <w:pPr>
              <w:rPr>
                <w:rFonts w:ascii="宋体"/>
                <w:sz w:val="18"/>
                <w:szCs w:val="18"/>
              </w:rPr>
            </w:pPr>
            <w:r>
              <w:rPr>
                <w:rFonts w:hint="eastAsia" w:ascii="宋体"/>
                <w:sz w:val="18"/>
                <w:szCs w:val="18"/>
              </w:rPr>
              <w:t>237</w:t>
            </w:r>
          </w:p>
        </w:tc>
        <w:tc>
          <w:tcPr>
            <w:tcW w:w="770" w:type="dxa"/>
          </w:tcPr>
          <w:p>
            <w:pPr>
              <w:rPr>
                <w:rFonts w:ascii="宋体"/>
                <w:sz w:val="18"/>
                <w:szCs w:val="18"/>
              </w:rPr>
            </w:pPr>
            <w:r>
              <w:rPr>
                <w:rFonts w:hint="eastAsia" w:ascii="宋体"/>
                <w:sz w:val="18"/>
                <w:szCs w:val="18"/>
              </w:rPr>
              <w:t>8.15</w:t>
            </w:r>
          </w:p>
        </w:tc>
        <w:tc>
          <w:tcPr>
            <w:tcW w:w="840" w:type="dxa"/>
          </w:tcPr>
          <w:p>
            <w:pPr>
              <w:rPr>
                <w:rFonts w:ascii="宋体"/>
                <w:sz w:val="18"/>
                <w:szCs w:val="18"/>
              </w:rPr>
            </w:pPr>
            <w:r>
              <w:rPr>
                <w:rFonts w:hint="eastAsia" w:ascii="宋体"/>
                <w:sz w:val="18"/>
                <w:szCs w:val="18"/>
              </w:rPr>
              <w:t>17.2</w:t>
            </w:r>
          </w:p>
        </w:tc>
        <w:tc>
          <w:tcPr>
            <w:tcW w:w="868" w:type="dxa"/>
          </w:tcPr>
          <w:p>
            <w:pPr>
              <w:rPr>
                <w:rFonts w:ascii="宋体"/>
                <w:sz w:val="18"/>
                <w:szCs w:val="18"/>
              </w:rPr>
            </w:pPr>
            <w:r>
              <w:rPr>
                <w:rFonts w:hint="eastAsia" w:ascii="宋体"/>
                <w:sz w:val="18"/>
                <w:szCs w:val="18"/>
              </w:rPr>
              <w:t>158</w:t>
            </w:r>
          </w:p>
        </w:tc>
        <w:tc>
          <w:tcPr>
            <w:tcW w:w="798" w:type="dxa"/>
          </w:tcPr>
          <w:p>
            <w:pPr>
              <w:rPr>
                <w:rFonts w:ascii="宋体"/>
                <w:sz w:val="18"/>
                <w:szCs w:val="18"/>
              </w:rPr>
            </w:pPr>
            <w:r>
              <w:rPr>
                <w:rFonts w:hint="eastAsia" w:ascii="宋体"/>
                <w:sz w:val="18"/>
                <w:szCs w:val="18"/>
              </w:rPr>
              <w:t>31.5</w:t>
            </w:r>
          </w:p>
        </w:tc>
        <w:tc>
          <w:tcPr>
            <w:tcW w:w="756" w:type="dxa"/>
          </w:tcPr>
          <w:p>
            <w:pPr>
              <w:rPr>
                <w:rFonts w:ascii="宋体"/>
                <w:sz w:val="18"/>
                <w:szCs w:val="18"/>
              </w:rPr>
            </w:pPr>
            <w:r>
              <w:rPr>
                <w:rFonts w:hint="eastAsia" w:ascii="宋体"/>
                <w:sz w:val="18"/>
                <w:szCs w:val="18"/>
              </w:rPr>
              <w:t>2.12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Pr>
          <w:p>
            <w:pPr>
              <w:rPr>
                <w:rFonts w:ascii="宋体"/>
                <w:sz w:val="18"/>
                <w:szCs w:val="18"/>
              </w:rPr>
            </w:pPr>
            <w:r>
              <w:rPr>
                <w:rFonts w:hint="eastAsia" w:ascii="宋体"/>
                <w:sz w:val="18"/>
                <w:szCs w:val="18"/>
              </w:rPr>
              <w:t>20b</w:t>
            </w:r>
          </w:p>
        </w:tc>
        <w:tc>
          <w:tcPr>
            <w:tcW w:w="525" w:type="dxa"/>
          </w:tcPr>
          <w:p>
            <w:pPr>
              <w:rPr>
                <w:rFonts w:ascii="宋体"/>
                <w:sz w:val="18"/>
                <w:szCs w:val="18"/>
              </w:rPr>
            </w:pPr>
            <w:r>
              <w:rPr>
                <w:rFonts w:hint="eastAsia" w:ascii="宋体"/>
                <w:sz w:val="18"/>
                <w:szCs w:val="18"/>
              </w:rPr>
              <w:t>200</w:t>
            </w:r>
          </w:p>
        </w:tc>
        <w:tc>
          <w:tcPr>
            <w:tcW w:w="487" w:type="dxa"/>
          </w:tcPr>
          <w:p>
            <w:pPr>
              <w:rPr>
                <w:rFonts w:ascii="宋体"/>
                <w:sz w:val="18"/>
                <w:szCs w:val="18"/>
              </w:rPr>
            </w:pPr>
            <w:r>
              <w:rPr>
                <w:rFonts w:hint="eastAsia" w:ascii="宋体"/>
                <w:sz w:val="18"/>
                <w:szCs w:val="18"/>
              </w:rPr>
              <w:t>102</w:t>
            </w:r>
          </w:p>
        </w:tc>
        <w:tc>
          <w:tcPr>
            <w:tcW w:w="553" w:type="dxa"/>
          </w:tcPr>
          <w:p>
            <w:pPr>
              <w:rPr>
                <w:rFonts w:ascii="宋体"/>
                <w:sz w:val="18"/>
                <w:szCs w:val="18"/>
              </w:rPr>
            </w:pPr>
            <w:r>
              <w:rPr>
                <w:rFonts w:hint="eastAsia" w:ascii="宋体"/>
                <w:sz w:val="18"/>
                <w:szCs w:val="18"/>
              </w:rPr>
              <w:t>9.0</w:t>
            </w:r>
          </w:p>
        </w:tc>
        <w:tc>
          <w:tcPr>
            <w:tcW w:w="591" w:type="dxa"/>
          </w:tcPr>
          <w:p>
            <w:pPr>
              <w:rPr>
                <w:rFonts w:ascii="宋体"/>
                <w:sz w:val="18"/>
                <w:szCs w:val="18"/>
              </w:rPr>
            </w:pPr>
            <w:r>
              <w:rPr>
                <w:rFonts w:hint="eastAsia" w:ascii="宋体"/>
                <w:sz w:val="18"/>
                <w:szCs w:val="18"/>
              </w:rPr>
              <w:t>11.4</w:t>
            </w:r>
          </w:p>
        </w:tc>
        <w:tc>
          <w:tcPr>
            <w:tcW w:w="562" w:type="dxa"/>
          </w:tcPr>
          <w:p>
            <w:pPr>
              <w:rPr>
                <w:rFonts w:ascii="宋体"/>
                <w:sz w:val="18"/>
                <w:szCs w:val="18"/>
              </w:rPr>
            </w:pPr>
            <w:r>
              <w:rPr>
                <w:rFonts w:hint="eastAsia" w:ascii="宋体"/>
                <w:sz w:val="18"/>
                <w:szCs w:val="18"/>
              </w:rPr>
              <w:t>9.0</w:t>
            </w:r>
          </w:p>
        </w:tc>
        <w:tc>
          <w:tcPr>
            <w:tcW w:w="572" w:type="dxa"/>
          </w:tcPr>
          <w:p>
            <w:pPr>
              <w:rPr>
                <w:rFonts w:ascii="宋体"/>
                <w:sz w:val="18"/>
                <w:szCs w:val="18"/>
              </w:rPr>
            </w:pPr>
            <w:r>
              <w:rPr>
                <w:rFonts w:hint="eastAsia" w:ascii="宋体"/>
                <w:sz w:val="18"/>
                <w:szCs w:val="18"/>
              </w:rPr>
              <w:t>4.5</w:t>
            </w:r>
          </w:p>
        </w:tc>
        <w:tc>
          <w:tcPr>
            <w:tcW w:w="760" w:type="dxa"/>
          </w:tcPr>
          <w:p>
            <w:pPr>
              <w:rPr>
                <w:rFonts w:ascii="宋体"/>
                <w:sz w:val="18"/>
                <w:szCs w:val="18"/>
              </w:rPr>
            </w:pPr>
            <w:r>
              <w:rPr>
                <w:rFonts w:hint="eastAsia" w:ascii="宋体"/>
                <w:sz w:val="18"/>
                <w:szCs w:val="18"/>
              </w:rPr>
              <w:t>39.5</w:t>
            </w:r>
          </w:p>
        </w:tc>
        <w:tc>
          <w:tcPr>
            <w:tcW w:w="868" w:type="dxa"/>
          </w:tcPr>
          <w:p>
            <w:pPr>
              <w:rPr>
                <w:rFonts w:ascii="宋体"/>
                <w:sz w:val="18"/>
                <w:szCs w:val="18"/>
              </w:rPr>
            </w:pPr>
            <w:r>
              <w:rPr>
                <w:rFonts w:hint="eastAsia" w:ascii="宋体"/>
                <w:sz w:val="18"/>
                <w:szCs w:val="18"/>
              </w:rPr>
              <w:t>31.1</w:t>
            </w:r>
          </w:p>
        </w:tc>
        <w:tc>
          <w:tcPr>
            <w:tcW w:w="813" w:type="dxa"/>
          </w:tcPr>
          <w:p>
            <w:pPr>
              <w:rPr>
                <w:rFonts w:ascii="宋体"/>
                <w:sz w:val="18"/>
                <w:szCs w:val="18"/>
              </w:rPr>
            </w:pPr>
            <w:r>
              <w:rPr>
                <w:rFonts w:hint="eastAsia" w:ascii="宋体"/>
                <w:sz w:val="18"/>
                <w:szCs w:val="18"/>
              </w:rPr>
              <w:t>2500</w:t>
            </w:r>
          </w:p>
        </w:tc>
        <w:tc>
          <w:tcPr>
            <w:tcW w:w="825" w:type="dxa"/>
          </w:tcPr>
          <w:p>
            <w:pPr>
              <w:rPr>
                <w:rFonts w:ascii="宋体"/>
                <w:sz w:val="18"/>
                <w:szCs w:val="18"/>
              </w:rPr>
            </w:pPr>
            <w:r>
              <w:rPr>
                <w:rFonts w:hint="eastAsia" w:ascii="宋体"/>
                <w:sz w:val="18"/>
                <w:szCs w:val="18"/>
              </w:rPr>
              <w:t>250</w:t>
            </w:r>
          </w:p>
        </w:tc>
        <w:tc>
          <w:tcPr>
            <w:tcW w:w="770" w:type="dxa"/>
          </w:tcPr>
          <w:p>
            <w:pPr>
              <w:rPr>
                <w:rFonts w:ascii="宋体"/>
                <w:sz w:val="18"/>
                <w:szCs w:val="18"/>
              </w:rPr>
            </w:pPr>
            <w:r>
              <w:rPr>
                <w:rFonts w:hint="eastAsia" w:ascii="宋体"/>
                <w:sz w:val="18"/>
                <w:szCs w:val="18"/>
              </w:rPr>
              <w:t>7.96</w:t>
            </w:r>
          </w:p>
        </w:tc>
        <w:tc>
          <w:tcPr>
            <w:tcW w:w="840" w:type="dxa"/>
          </w:tcPr>
          <w:p>
            <w:pPr>
              <w:rPr>
                <w:rFonts w:ascii="宋体"/>
                <w:sz w:val="18"/>
                <w:szCs w:val="18"/>
              </w:rPr>
            </w:pPr>
            <w:r>
              <w:rPr>
                <w:rFonts w:hint="eastAsia" w:ascii="宋体"/>
                <w:sz w:val="18"/>
                <w:szCs w:val="18"/>
              </w:rPr>
              <w:t>16.9</w:t>
            </w:r>
          </w:p>
        </w:tc>
        <w:tc>
          <w:tcPr>
            <w:tcW w:w="868" w:type="dxa"/>
          </w:tcPr>
          <w:p>
            <w:pPr>
              <w:rPr>
                <w:rFonts w:ascii="宋体"/>
                <w:sz w:val="18"/>
                <w:szCs w:val="18"/>
              </w:rPr>
            </w:pPr>
            <w:r>
              <w:rPr>
                <w:rFonts w:hint="eastAsia" w:ascii="宋体"/>
                <w:sz w:val="18"/>
                <w:szCs w:val="18"/>
              </w:rPr>
              <w:t>169</w:t>
            </w:r>
          </w:p>
        </w:tc>
        <w:tc>
          <w:tcPr>
            <w:tcW w:w="798" w:type="dxa"/>
          </w:tcPr>
          <w:p>
            <w:pPr>
              <w:rPr>
                <w:rFonts w:ascii="宋体"/>
                <w:sz w:val="18"/>
                <w:szCs w:val="18"/>
              </w:rPr>
            </w:pPr>
            <w:r>
              <w:rPr>
                <w:rFonts w:hint="eastAsia" w:ascii="宋体"/>
                <w:sz w:val="18"/>
                <w:szCs w:val="18"/>
              </w:rPr>
              <w:t>33.1</w:t>
            </w:r>
          </w:p>
        </w:tc>
        <w:tc>
          <w:tcPr>
            <w:tcW w:w="756" w:type="dxa"/>
          </w:tcPr>
          <w:p>
            <w:pPr>
              <w:rPr>
                <w:rFonts w:ascii="宋体"/>
                <w:sz w:val="18"/>
                <w:szCs w:val="18"/>
              </w:rPr>
            </w:pPr>
            <w:r>
              <w:rPr>
                <w:rFonts w:hint="eastAsia" w:ascii="宋体"/>
                <w:sz w:val="18"/>
                <w:szCs w:val="18"/>
              </w:rPr>
              <w:t>2.06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Borders>
              <w:bottom w:val="single" w:color="auto" w:sz="4" w:space="0"/>
            </w:tcBorders>
          </w:tcPr>
          <w:p>
            <w:pPr>
              <w:rPr>
                <w:rFonts w:ascii="宋体"/>
                <w:sz w:val="18"/>
                <w:szCs w:val="18"/>
              </w:rPr>
            </w:pPr>
            <w:r>
              <w:rPr>
                <w:rFonts w:hint="eastAsia" w:ascii="宋体"/>
                <w:sz w:val="18"/>
                <w:szCs w:val="18"/>
              </w:rPr>
              <w:t>22a</w:t>
            </w:r>
          </w:p>
        </w:tc>
        <w:tc>
          <w:tcPr>
            <w:tcW w:w="525" w:type="dxa"/>
            <w:tcBorders>
              <w:bottom w:val="single" w:color="auto" w:sz="4" w:space="0"/>
            </w:tcBorders>
          </w:tcPr>
          <w:p>
            <w:pPr>
              <w:rPr>
                <w:rFonts w:ascii="宋体"/>
                <w:sz w:val="18"/>
                <w:szCs w:val="18"/>
              </w:rPr>
            </w:pPr>
            <w:r>
              <w:rPr>
                <w:rFonts w:hint="eastAsia" w:ascii="宋体"/>
                <w:sz w:val="18"/>
                <w:szCs w:val="18"/>
              </w:rPr>
              <w:t>220</w:t>
            </w:r>
          </w:p>
        </w:tc>
        <w:tc>
          <w:tcPr>
            <w:tcW w:w="487" w:type="dxa"/>
            <w:tcBorders>
              <w:bottom w:val="single" w:color="auto" w:sz="4" w:space="0"/>
            </w:tcBorders>
          </w:tcPr>
          <w:p>
            <w:pPr>
              <w:rPr>
                <w:rFonts w:ascii="宋体"/>
                <w:sz w:val="18"/>
                <w:szCs w:val="18"/>
              </w:rPr>
            </w:pPr>
            <w:r>
              <w:rPr>
                <w:rFonts w:hint="eastAsia" w:ascii="宋体"/>
                <w:sz w:val="18"/>
                <w:szCs w:val="18"/>
              </w:rPr>
              <w:t>110</w:t>
            </w:r>
          </w:p>
        </w:tc>
        <w:tc>
          <w:tcPr>
            <w:tcW w:w="553" w:type="dxa"/>
            <w:tcBorders>
              <w:bottom w:val="single" w:color="auto" w:sz="4" w:space="0"/>
            </w:tcBorders>
          </w:tcPr>
          <w:p>
            <w:pPr>
              <w:rPr>
                <w:rFonts w:ascii="宋体"/>
                <w:sz w:val="18"/>
                <w:szCs w:val="18"/>
              </w:rPr>
            </w:pPr>
            <w:r>
              <w:rPr>
                <w:rFonts w:hint="eastAsia" w:ascii="宋体"/>
                <w:sz w:val="18"/>
                <w:szCs w:val="18"/>
              </w:rPr>
              <w:t>7.5</w:t>
            </w:r>
          </w:p>
        </w:tc>
        <w:tc>
          <w:tcPr>
            <w:tcW w:w="591" w:type="dxa"/>
            <w:tcBorders>
              <w:bottom w:val="single" w:color="auto" w:sz="4" w:space="0"/>
            </w:tcBorders>
          </w:tcPr>
          <w:p>
            <w:pPr>
              <w:rPr>
                <w:rFonts w:ascii="宋体"/>
                <w:sz w:val="18"/>
                <w:szCs w:val="18"/>
              </w:rPr>
            </w:pPr>
            <w:r>
              <w:rPr>
                <w:rFonts w:hint="eastAsia" w:ascii="宋体"/>
                <w:sz w:val="18"/>
                <w:szCs w:val="18"/>
              </w:rPr>
              <w:t>12.3</w:t>
            </w:r>
          </w:p>
        </w:tc>
        <w:tc>
          <w:tcPr>
            <w:tcW w:w="562" w:type="dxa"/>
            <w:tcBorders>
              <w:bottom w:val="single" w:color="auto" w:sz="4" w:space="0"/>
            </w:tcBorders>
          </w:tcPr>
          <w:p>
            <w:pPr>
              <w:rPr>
                <w:rFonts w:ascii="宋体"/>
                <w:sz w:val="18"/>
                <w:szCs w:val="18"/>
              </w:rPr>
            </w:pPr>
            <w:r>
              <w:rPr>
                <w:rFonts w:hint="eastAsia" w:ascii="宋体"/>
                <w:sz w:val="18"/>
                <w:szCs w:val="18"/>
              </w:rPr>
              <w:t>9.5</w:t>
            </w:r>
          </w:p>
        </w:tc>
        <w:tc>
          <w:tcPr>
            <w:tcW w:w="572" w:type="dxa"/>
            <w:tcBorders>
              <w:bottom w:val="single" w:color="auto" w:sz="4" w:space="0"/>
            </w:tcBorders>
          </w:tcPr>
          <w:p>
            <w:pPr>
              <w:rPr>
                <w:rFonts w:ascii="宋体"/>
                <w:sz w:val="18"/>
                <w:szCs w:val="18"/>
              </w:rPr>
            </w:pPr>
            <w:r>
              <w:rPr>
                <w:rFonts w:hint="eastAsia" w:ascii="宋体"/>
                <w:sz w:val="18"/>
                <w:szCs w:val="18"/>
              </w:rPr>
              <w:t>4.8</w:t>
            </w:r>
          </w:p>
        </w:tc>
        <w:tc>
          <w:tcPr>
            <w:tcW w:w="760" w:type="dxa"/>
            <w:tcBorders>
              <w:bottom w:val="single" w:color="auto" w:sz="4" w:space="0"/>
            </w:tcBorders>
          </w:tcPr>
          <w:p>
            <w:pPr>
              <w:rPr>
                <w:rFonts w:ascii="宋体"/>
                <w:sz w:val="18"/>
                <w:szCs w:val="18"/>
              </w:rPr>
            </w:pPr>
            <w:r>
              <w:rPr>
                <w:rFonts w:hint="eastAsia" w:ascii="宋体"/>
                <w:sz w:val="18"/>
                <w:szCs w:val="18"/>
              </w:rPr>
              <w:t>42.0</w:t>
            </w:r>
          </w:p>
        </w:tc>
        <w:tc>
          <w:tcPr>
            <w:tcW w:w="868" w:type="dxa"/>
            <w:tcBorders>
              <w:bottom w:val="single" w:color="auto" w:sz="4" w:space="0"/>
            </w:tcBorders>
          </w:tcPr>
          <w:p>
            <w:pPr>
              <w:rPr>
                <w:rFonts w:ascii="宋体"/>
                <w:sz w:val="18"/>
                <w:szCs w:val="18"/>
              </w:rPr>
            </w:pPr>
            <w:r>
              <w:rPr>
                <w:rFonts w:hint="eastAsia" w:ascii="宋体"/>
                <w:sz w:val="18"/>
                <w:szCs w:val="18"/>
              </w:rPr>
              <w:t>33.1</w:t>
            </w:r>
          </w:p>
        </w:tc>
        <w:tc>
          <w:tcPr>
            <w:tcW w:w="813" w:type="dxa"/>
            <w:tcBorders>
              <w:bottom w:val="single" w:color="auto" w:sz="4" w:space="0"/>
            </w:tcBorders>
          </w:tcPr>
          <w:p>
            <w:pPr>
              <w:rPr>
                <w:rFonts w:ascii="宋体"/>
                <w:sz w:val="18"/>
                <w:szCs w:val="18"/>
              </w:rPr>
            </w:pPr>
            <w:r>
              <w:rPr>
                <w:rFonts w:hint="eastAsia" w:ascii="宋体"/>
                <w:sz w:val="18"/>
                <w:szCs w:val="18"/>
              </w:rPr>
              <w:t>3400</w:t>
            </w:r>
          </w:p>
        </w:tc>
        <w:tc>
          <w:tcPr>
            <w:tcW w:w="825" w:type="dxa"/>
            <w:tcBorders>
              <w:bottom w:val="single" w:color="auto" w:sz="4" w:space="0"/>
            </w:tcBorders>
          </w:tcPr>
          <w:p>
            <w:pPr>
              <w:rPr>
                <w:rFonts w:ascii="宋体"/>
                <w:sz w:val="18"/>
                <w:szCs w:val="18"/>
              </w:rPr>
            </w:pPr>
            <w:r>
              <w:rPr>
                <w:rFonts w:hint="eastAsia" w:ascii="宋体"/>
                <w:sz w:val="18"/>
                <w:szCs w:val="18"/>
              </w:rPr>
              <w:t>309</w:t>
            </w:r>
          </w:p>
        </w:tc>
        <w:tc>
          <w:tcPr>
            <w:tcW w:w="770" w:type="dxa"/>
            <w:tcBorders>
              <w:bottom w:val="single" w:color="auto" w:sz="4" w:space="0"/>
            </w:tcBorders>
          </w:tcPr>
          <w:p>
            <w:pPr>
              <w:rPr>
                <w:rFonts w:ascii="宋体"/>
                <w:sz w:val="18"/>
                <w:szCs w:val="18"/>
              </w:rPr>
            </w:pPr>
            <w:r>
              <w:rPr>
                <w:rFonts w:hint="eastAsia" w:ascii="宋体"/>
                <w:sz w:val="18"/>
                <w:szCs w:val="18"/>
              </w:rPr>
              <w:t>8.99</w:t>
            </w:r>
          </w:p>
        </w:tc>
        <w:tc>
          <w:tcPr>
            <w:tcW w:w="840" w:type="dxa"/>
            <w:tcBorders>
              <w:bottom w:val="single" w:color="auto" w:sz="4" w:space="0"/>
            </w:tcBorders>
          </w:tcPr>
          <w:p>
            <w:pPr>
              <w:rPr>
                <w:rFonts w:ascii="宋体"/>
                <w:sz w:val="18"/>
                <w:szCs w:val="18"/>
              </w:rPr>
            </w:pPr>
            <w:r>
              <w:rPr>
                <w:rFonts w:hint="eastAsia" w:ascii="宋体"/>
                <w:sz w:val="18"/>
                <w:szCs w:val="18"/>
              </w:rPr>
              <w:t>18.9</w:t>
            </w:r>
          </w:p>
        </w:tc>
        <w:tc>
          <w:tcPr>
            <w:tcW w:w="868" w:type="dxa"/>
            <w:tcBorders>
              <w:bottom w:val="single" w:color="auto" w:sz="4" w:space="0"/>
            </w:tcBorders>
          </w:tcPr>
          <w:p>
            <w:pPr>
              <w:rPr>
                <w:rFonts w:ascii="宋体"/>
                <w:sz w:val="18"/>
                <w:szCs w:val="18"/>
              </w:rPr>
            </w:pPr>
            <w:r>
              <w:rPr>
                <w:rFonts w:hint="eastAsia" w:ascii="宋体"/>
                <w:sz w:val="18"/>
                <w:szCs w:val="18"/>
              </w:rPr>
              <w:t>225</w:t>
            </w:r>
          </w:p>
        </w:tc>
        <w:tc>
          <w:tcPr>
            <w:tcW w:w="798" w:type="dxa"/>
            <w:tcBorders>
              <w:bottom w:val="single" w:color="auto" w:sz="4" w:space="0"/>
            </w:tcBorders>
          </w:tcPr>
          <w:p>
            <w:pPr>
              <w:rPr>
                <w:rFonts w:ascii="宋体"/>
                <w:sz w:val="18"/>
                <w:szCs w:val="18"/>
              </w:rPr>
            </w:pPr>
            <w:r>
              <w:rPr>
                <w:rFonts w:hint="eastAsia" w:ascii="宋体"/>
                <w:sz w:val="18"/>
                <w:szCs w:val="18"/>
              </w:rPr>
              <w:t>40.9</w:t>
            </w:r>
          </w:p>
        </w:tc>
        <w:tc>
          <w:tcPr>
            <w:tcW w:w="756" w:type="dxa"/>
            <w:tcBorders>
              <w:bottom w:val="single" w:color="auto" w:sz="4" w:space="0"/>
            </w:tcBorders>
          </w:tcPr>
          <w:p>
            <w:pPr>
              <w:rPr>
                <w:rFonts w:ascii="宋体"/>
                <w:sz w:val="18"/>
                <w:szCs w:val="18"/>
              </w:rPr>
            </w:pPr>
            <w:r>
              <w:rPr>
                <w:rFonts w:hint="eastAsia" w:ascii="宋体"/>
                <w:sz w:val="18"/>
                <w:szCs w:val="18"/>
              </w:rPr>
              <w:t>2.31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536" w:type="dxa"/>
            <w:tcBorders>
              <w:top w:val="single" w:color="auto" w:sz="4" w:space="0"/>
              <w:bottom w:val="single" w:color="auto" w:sz="8" w:space="0"/>
            </w:tcBorders>
          </w:tcPr>
          <w:p>
            <w:pPr>
              <w:rPr>
                <w:rFonts w:ascii="宋体"/>
                <w:sz w:val="18"/>
                <w:szCs w:val="18"/>
              </w:rPr>
            </w:pPr>
            <w:r>
              <w:rPr>
                <w:rFonts w:hint="eastAsia" w:ascii="宋体"/>
                <w:sz w:val="18"/>
                <w:szCs w:val="18"/>
              </w:rPr>
              <w:t>22b</w:t>
            </w:r>
          </w:p>
        </w:tc>
        <w:tc>
          <w:tcPr>
            <w:tcW w:w="525" w:type="dxa"/>
            <w:tcBorders>
              <w:top w:val="single" w:color="auto" w:sz="4" w:space="0"/>
              <w:bottom w:val="single" w:color="auto" w:sz="8" w:space="0"/>
            </w:tcBorders>
          </w:tcPr>
          <w:p>
            <w:pPr>
              <w:rPr>
                <w:rFonts w:ascii="宋体"/>
                <w:sz w:val="18"/>
                <w:szCs w:val="18"/>
              </w:rPr>
            </w:pPr>
            <w:r>
              <w:rPr>
                <w:rFonts w:hint="eastAsia" w:ascii="宋体"/>
                <w:sz w:val="18"/>
                <w:szCs w:val="18"/>
              </w:rPr>
              <w:t>220</w:t>
            </w:r>
          </w:p>
        </w:tc>
        <w:tc>
          <w:tcPr>
            <w:tcW w:w="487" w:type="dxa"/>
            <w:tcBorders>
              <w:top w:val="single" w:color="auto" w:sz="4" w:space="0"/>
              <w:bottom w:val="single" w:color="auto" w:sz="8" w:space="0"/>
            </w:tcBorders>
          </w:tcPr>
          <w:p>
            <w:pPr>
              <w:rPr>
                <w:rFonts w:ascii="宋体"/>
                <w:sz w:val="18"/>
                <w:szCs w:val="18"/>
              </w:rPr>
            </w:pPr>
            <w:r>
              <w:rPr>
                <w:rFonts w:hint="eastAsia" w:ascii="宋体"/>
                <w:sz w:val="18"/>
                <w:szCs w:val="18"/>
              </w:rPr>
              <w:t>112</w:t>
            </w:r>
          </w:p>
        </w:tc>
        <w:tc>
          <w:tcPr>
            <w:tcW w:w="553" w:type="dxa"/>
            <w:tcBorders>
              <w:top w:val="single" w:color="auto" w:sz="4" w:space="0"/>
              <w:bottom w:val="single" w:color="auto" w:sz="8" w:space="0"/>
            </w:tcBorders>
          </w:tcPr>
          <w:p>
            <w:pPr>
              <w:rPr>
                <w:rFonts w:ascii="宋体"/>
                <w:sz w:val="18"/>
                <w:szCs w:val="18"/>
              </w:rPr>
            </w:pPr>
            <w:r>
              <w:rPr>
                <w:rFonts w:hint="eastAsia" w:ascii="宋体"/>
                <w:sz w:val="18"/>
                <w:szCs w:val="18"/>
              </w:rPr>
              <w:t>9.5</w:t>
            </w:r>
          </w:p>
        </w:tc>
        <w:tc>
          <w:tcPr>
            <w:tcW w:w="591" w:type="dxa"/>
            <w:tcBorders>
              <w:top w:val="single" w:color="auto" w:sz="4" w:space="0"/>
              <w:bottom w:val="single" w:color="auto" w:sz="8" w:space="0"/>
            </w:tcBorders>
          </w:tcPr>
          <w:p>
            <w:pPr>
              <w:rPr>
                <w:rFonts w:ascii="宋体"/>
                <w:sz w:val="18"/>
                <w:szCs w:val="18"/>
              </w:rPr>
            </w:pPr>
            <w:r>
              <w:rPr>
                <w:rFonts w:hint="eastAsia" w:ascii="宋体"/>
                <w:sz w:val="18"/>
                <w:szCs w:val="18"/>
              </w:rPr>
              <w:t>12.3</w:t>
            </w:r>
          </w:p>
        </w:tc>
        <w:tc>
          <w:tcPr>
            <w:tcW w:w="562" w:type="dxa"/>
            <w:tcBorders>
              <w:top w:val="single" w:color="auto" w:sz="4" w:space="0"/>
              <w:bottom w:val="single" w:color="auto" w:sz="8" w:space="0"/>
            </w:tcBorders>
          </w:tcPr>
          <w:p>
            <w:pPr>
              <w:rPr>
                <w:rFonts w:ascii="宋体"/>
                <w:sz w:val="18"/>
                <w:szCs w:val="18"/>
              </w:rPr>
            </w:pPr>
            <w:r>
              <w:rPr>
                <w:rFonts w:hint="eastAsia" w:ascii="宋体"/>
                <w:sz w:val="18"/>
                <w:szCs w:val="18"/>
              </w:rPr>
              <w:t>9.5</w:t>
            </w:r>
          </w:p>
        </w:tc>
        <w:tc>
          <w:tcPr>
            <w:tcW w:w="572" w:type="dxa"/>
            <w:tcBorders>
              <w:top w:val="single" w:color="auto" w:sz="4" w:space="0"/>
              <w:bottom w:val="single" w:color="auto" w:sz="8" w:space="0"/>
            </w:tcBorders>
          </w:tcPr>
          <w:p>
            <w:pPr>
              <w:rPr>
                <w:rFonts w:ascii="宋体"/>
                <w:sz w:val="18"/>
                <w:szCs w:val="18"/>
              </w:rPr>
            </w:pPr>
            <w:r>
              <w:rPr>
                <w:rFonts w:hint="eastAsia" w:ascii="宋体"/>
                <w:sz w:val="18"/>
                <w:szCs w:val="18"/>
              </w:rPr>
              <w:t>4.8</w:t>
            </w:r>
          </w:p>
        </w:tc>
        <w:tc>
          <w:tcPr>
            <w:tcW w:w="760" w:type="dxa"/>
            <w:tcBorders>
              <w:top w:val="single" w:color="auto" w:sz="4" w:space="0"/>
              <w:bottom w:val="single" w:color="auto" w:sz="8" w:space="0"/>
            </w:tcBorders>
          </w:tcPr>
          <w:p>
            <w:pPr>
              <w:rPr>
                <w:rFonts w:ascii="宋体"/>
                <w:sz w:val="18"/>
                <w:szCs w:val="18"/>
              </w:rPr>
            </w:pPr>
            <w:r>
              <w:rPr>
                <w:rFonts w:hint="eastAsia" w:ascii="宋体"/>
                <w:sz w:val="18"/>
                <w:szCs w:val="18"/>
              </w:rPr>
              <w:t>46.4</w:t>
            </w:r>
          </w:p>
        </w:tc>
        <w:tc>
          <w:tcPr>
            <w:tcW w:w="868" w:type="dxa"/>
            <w:tcBorders>
              <w:top w:val="single" w:color="auto" w:sz="4" w:space="0"/>
              <w:bottom w:val="single" w:color="auto" w:sz="8" w:space="0"/>
            </w:tcBorders>
          </w:tcPr>
          <w:p>
            <w:pPr>
              <w:rPr>
                <w:rFonts w:ascii="宋体"/>
                <w:sz w:val="18"/>
                <w:szCs w:val="18"/>
              </w:rPr>
            </w:pPr>
            <w:r>
              <w:rPr>
                <w:rFonts w:hint="eastAsia" w:ascii="宋体"/>
                <w:sz w:val="18"/>
                <w:szCs w:val="18"/>
              </w:rPr>
              <w:t>36.4</w:t>
            </w:r>
          </w:p>
        </w:tc>
        <w:tc>
          <w:tcPr>
            <w:tcW w:w="813" w:type="dxa"/>
            <w:tcBorders>
              <w:top w:val="single" w:color="auto" w:sz="4" w:space="0"/>
              <w:bottom w:val="single" w:color="auto" w:sz="8" w:space="0"/>
            </w:tcBorders>
          </w:tcPr>
          <w:p>
            <w:pPr>
              <w:rPr>
                <w:rFonts w:ascii="宋体"/>
                <w:sz w:val="18"/>
                <w:szCs w:val="18"/>
              </w:rPr>
            </w:pPr>
            <w:r>
              <w:rPr>
                <w:rFonts w:hint="eastAsia" w:ascii="宋体"/>
                <w:sz w:val="18"/>
                <w:szCs w:val="18"/>
              </w:rPr>
              <w:t>3570</w:t>
            </w:r>
          </w:p>
        </w:tc>
        <w:tc>
          <w:tcPr>
            <w:tcW w:w="825" w:type="dxa"/>
            <w:tcBorders>
              <w:top w:val="single" w:color="auto" w:sz="4" w:space="0"/>
              <w:bottom w:val="single" w:color="auto" w:sz="8" w:space="0"/>
            </w:tcBorders>
          </w:tcPr>
          <w:p>
            <w:pPr>
              <w:rPr>
                <w:rFonts w:ascii="宋体"/>
                <w:sz w:val="18"/>
                <w:szCs w:val="18"/>
              </w:rPr>
            </w:pPr>
            <w:r>
              <w:rPr>
                <w:rFonts w:hint="eastAsia" w:ascii="宋体"/>
                <w:sz w:val="18"/>
                <w:szCs w:val="18"/>
              </w:rPr>
              <w:t>325</w:t>
            </w:r>
          </w:p>
        </w:tc>
        <w:tc>
          <w:tcPr>
            <w:tcW w:w="770" w:type="dxa"/>
            <w:tcBorders>
              <w:top w:val="single" w:color="auto" w:sz="4" w:space="0"/>
              <w:bottom w:val="single" w:color="auto" w:sz="8" w:space="0"/>
            </w:tcBorders>
          </w:tcPr>
          <w:p>
            <w:pPr>
              <w:rPr>
                <w:rFonts w:ascii="宋体"/>
                <w:sz w:val="18"/>
                <w:szCs w:val="18"/>
              </w:rPr>
            </w:pPr>
            <w:r>
              <w:rPr>
                <w:rFonts w:hint="eastAsia" w:ascii="宋体"/>
                <w:sz w:val="18"/>
                <w:szCs w:val="18"/>
              </w:rPr>
              <w:t>8.78</w:t>
            </w:r>
          </w:p>
        </w:tc>
        <w:tc>
          <w:tcPr>
            <w:tcW w:w="840" w:type="dxa"/>
            <w:tcBorders>
              <w:top w:val="single" w:color="auto" w:sz="4" w:space="0"/>
              <w:bottom w:val="single" w:color="auto" w:sz="8" w:space="0"/>
            </w:tcBorders>
          </w:tcPr>
          <w:p>
            <w:pPr>
              <w:rPr>
                <w:rFonts w:ascii="宋体"/>
                <w:sz w:val="18"/>
                <w:szCs w:val="18"/>
              </w:rPr>
            </w:pPr>
            <w:r>
              <w:rPr>
                <w:rFonts w:hint="eastAsia" w:ascii="宋体"/>
                <w:sz w:val="18"/>
                <w:szCs w:val="18"/>
              </w:rPr>
              <w:t>18.7</w:t>
            </w:r>
          </w:p>
        </w:tc>
        <w:tc>
          <w:tcPr>
            <w:tcW w:w="868" w:type="dxa"/>
            <w:tcBorders>
              <w:top w:val="single" w:color="auto" w:sz="4" w:space="0"/>
              <w:bottom w:val="single" w:color="auto" w:sz="8" w:space="0"/>
            </w:tcBorders>
          </w:tcPr>
          <w:p>
            <w:pPr>
              <w:rPr>
                <w:rFonts w:ascii="宋体"/>
                <w:sz w:val="18"/>
                <w:szCs w:val="18"/>
              </w:rPr>
            </w:pPr>
            <w:r>
              <w:rPr>
                <w:rFonts w:hint="eastAsia" w:ascii="宋体"/>
                <w:sz w:val="18"/>
                <w:szCs w:val="18"/>
              </w:rPr>
              <w:t>239</w:t>
            </w:r>
          </w:p>
        </w:tc>
        <w:tc>
          <w:tcPr>
            <w:tcW w:w="798" w:type="dxa"/>
            <w:tcBorders>
              <w:top w:val="single" w:color="auto" w:sz="4" w:space="0"/>
              <w:bottom w:val="single" w:color="auto" w:sz="8" w:space="0"/>
            </w:tcBorders>
          </w:tcPr>
          <w:p>
            <w:pPr>
              <w:rPr>
                <w:rFonts w:ascii="宋体"/>
                <w:sz w:val="18"/>
                <w:szCs w:val="18"/>
              </w:rPr>
            </w:pPr>
            <w:r>
              <w:rPr>
                <w:rFonts w:hint="eastAsia" w:ascii="宋体"/>
                <w:sz w:val="18"/>
                <w:szCs w:val="18"/>
              </w:rPr>
              <w:t>42.7</w:t>
            </w:r>
          </w:p>
        </w:tc>
        <w:tc>
          <w:tcPr>
            <w:tcW w:w="756" w:type="dxa"/>
            <w:tcBorders>
              <w:top w:val="single" w:color="auto" w:sz="4" w:space="0"/>
              <w:bottom w:val="single" w:color="auto" w:sz="8" w:space="0"/>
            </w:tcBorders>
          </w:tcPr>
          <w:p>
            <w:pPr>
              <w:rPr>
                <w:rFonts w:ascii="宋体"/>
                <w:sz w:val="18"/>
                <w:szCs w:val="18"/>
              </w:rPr>
            </w:pPr>
            <w:r>
              <w:rPr>
                <w:rFonts w:hint="eastAsia" w:ascii="宋体"/>
                <w:sz w:val="18"/>
                <w:szCs w:val="18"/>
              </w:rPr>
              <w:t>2.27</w:t>
            </w:r>
          </w:p>
        </w:tc>
      </w:tr>
    </w:tbl>
    <w:p>
      <w:pPr>
        <w:pStyle w:val="234"/>
        <w:numPr>
          <w:ilvl w:val="0"/>
          <w:numId w:val="0"/>
        </w:numPr>
        <w:rPr>
          <w:rFonts w:ascii="Times New Roman"/>
          <w:spacing w:val="14"/>
        </w:rPr>
      </w:pPr>
    </w:p>
    <w:p>
      <w:pPr>
        <w:pStyle w:val="234"/>
        <w:rPr>
          <w:rFonts w:ascii="Times New Roman"/>
          <w:spacing w:val="14"/>
        </w:rPr>
      </w:pPr>
      <w:r>
        <w:rPr>
          <w:rFonts w:hint="eastAsia"/>
        </w:rPr>
        <w:t>常用普通钢管的规格、理论重量及截面特性值如</w:t>
      </w:r>
      <w:r>
        <w:rPr>
          <w:rFonts w:hint="eastAsia" w:ascii="Times New Roman"/>
          <w:spacing w:val="14"/>
        </w:rPr>
        <w:t>表A.2所示。</w:t>
      </w:r>
    </w:p>
    <w:p>
      <w:pPr>
        <w:pStyle w:val="296"/>
        <w:numPr>
          <w:ilvl w:val="1"/>
          <w:numId w:val="34"/>
        </w:numPr>
        <w:spacing w:before="156" w:after="156"/>
      </w:pPr>
      <w:r>
        <w:rPr>
          <w:rFonts w:hint="eastAsia"/>
        </w:rPr>
        <w:t>钢管截面特性</w:t>
      </w:r>
    </w:p>
    <w:tbl>
      <w:tblPr>
        <w:tblStyle w:val="4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66"/>
        <w:gridCol w:w="1367"/>
        <w:gridCol w:w="1367"/>
        <w:gridCol w:w="1367"/>
        <w:gridCol w:w="1367"/>
        <w:gridCol w:w="1368"/>
        <w:gridCol w:w="13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71" w:hRule="atLeast"/>
          <w:jc w:val="center"/>
        </w:trPr>
        <w:tc>
          <w:tcPr>
            <w:tcW w:w="1366" w:type="dxa"/>
            <w:vAlign w:val="center"/>
          </w:tcPr>
          <w:p>
            <w:pPr>
              <w:pStyle w:val="253"/>
              <w:ind w:firstLine="0" w:firstLineChars="0"/>
              <w:jc w:val="center"/>
              <w:rPr>
                <w:sz w:val="18"/>
                <w:szCs w:val="18"/>
              </w:rPr>
            </w:pPr>
            <w:r>
              <w:rPr>
                <w:rFonts w:hint="eastAsia"/>
                <w:sz w:val="18"/>
                <w:szCs w:val="18"/>
              </w:rPr>
              <w:t>外径</w:t>
            </w:r>
          </w:p>
          <w:p>
            <w:pPr>
              <w:pStyle w:val="253"/>
              <w:ind w:firstLine="0" w:firstLineChars="0"/>
              <w:jc w:val="center"/>
              <w:rPr>
                <w:sz w:val="18"/>
                <w:szCs w:val="18"/>
              </w:rPr>
            </w:pPr>
            <w:r>
              <w:rPr>
                <w:rFonts w:hint="eastAsia"/>
                <w:sz w:val="18"/>
                <w:szCs w:val="18"/>
              </w:rPr>
              <w:t>φ、d</w:t>
            </w:r>
          </w:p>
        </w:tc>
        <w:tc>
          <w:tcPr>
            <w:tcW w:w="1367" w:type="dxa"/>
            <w:vAlign w:val="center"/>
          </w:tcPr>
          <w:p>
            <w:pPr>
              <w:pStyle w:val="253"/>
              <w:ind w:firstLine="0" w:firstLineChars="0"/>
              <w:jc w:val="center"/>
              <w:rPr>
                <w:sz w:val="18"/>
                <w:szCs w:val="18"/>
              </w:rPr>
            </w:pPr>
            <w:r>
              <w:rPr>
                <w:rFonts w:hint="eastAsia"/>
                <w:sz w:val="18"/>
                <w:szCs w:val="18"/>
              </w:rPr>
              <w:t>壁厚</w:t>
            </w:r>
          </w:p>
          <w:p>
            <w:pPr>
              <w:pStyle w:val="253"/>
              <w:ind w:firstLine="0" w:firstLineChars="0"/>
              <w:jc w:val="center"/>
              <w:rPr>
                <w:sz w:val="18"/>
                <w:szCs w:val="18"/>
              </w:rPr>
            </w:pPr>
            <w:r>
              <w:rPr>
                <w:rFonts w:hint="eastAsia"/>
                <w:sz w:val="18"/>
                <w:szCs w:val="18"/>
              </w:rPr>
              <w:t>t</w:t>
            </w:r>
          </w:p>
        </w:tc>
        <w:tc>
          <w:tcPr>
            <w:tcW w:w="1367" w:type="dxa"/>
            <w:vAlign w:val="center"/>
          </w:tcPr>
          <w:p>
            <w:pPr>
              <w:pStyle w:val="253"/>
              <w:ind w:firstLine="0" w:firstLineChars="0"/>
              <w:jc w:val="center"/>
              <w:rPr>
                <w:sz w:val="18"/>
                <w:szCs w:val="18"/>
              </w:rPr>
            </w:pPr>
            <w:r>
              <w:rPr>
                <w:rFonts w:hint="eastAsia"/>
                <w:sz w:val="18"/>
                <w:szCs w:val="18"/>
              </w:rPr>
              <w:t>截面积A</w:t>
            </w:r>
          </w:p>
          <w:p>
            <w:pPr>
              <w:pStyle w:val="253"/>
              <w:ind w:firstLine="0" w:firstLineChars="0"/>
              <w:jc w:val="center"/>
              <w:rPr>
                <w:sz w:val="18"/>
                <w:szCs w:val="18"/>
              </w:rPr>
            </w:pPr>
            <w:r>
              <w:rPr>
                <w:sz w:val="18"/>
                <w:szCs w:val="18"/>
              </w:rPr>
              <w:t>（</w:t>
            </w:r>
            <w:r>
              <w:rPr>
                <w:rFonts w:hint="eastAsia"/>
                <w:sz w:val="18"/>
                <w:szCs w:val="18"/>
              </w:rPr>
              <w:t>cm</w:t>
            </w:r>
            <w:r>
              <w:rPr>
                <w:rFonts w:hint="eastAsia"/>
                <w:sz w:val="18"/>
                <w:szCs w:val="18"/>
                <w:vertAlign w:val="superscript"/>
              </w:rPr>
              <w:t>2</w:t>
            </w:r>
            <w:r>
              <w:rPr>
                <w:rFonts w:hint="eastAsia"/>
                <w:sz w:val="18"/>
                <w:szCs w:val="18"/>
              </w:rPr>
              <w:t>）</w:t>
            </w:r>
          </w:p>
        </w:tc>
        <w:tc>
          <w:tcPr>
            <w:tcW w:w="1367" w:type="dxa"/>
            <w:vAlign w:val="center"/>
          </w:tcPr>
          <w:p>
            <w:pPr>
              <w:pStyle w:val="253"/>
              <w:ind w:firstLine="0" w:firstLineChars="0"/>
              <w:jc w:val="center"/>
              <w:rPr>
                <w:sz w:val="18"/>
                <w:szCs w:val="18"/>
              </w:rPr>
            </w:pPr>
            <w:r>
              <w:rPr>
                <w:rFonts w:hint="eastAsia"/>
                <w:sz w:val="18"/>
                <w:szCs w:val="18"/>
              </w:rPr>
              <w:t>惯性矩I</w:t>
            </w:r>
          </w:p>
          <w:p>
            <w:pPr>
              <w:pStyle w:val="253"/>
              <w:ind w:firstLine="0" w:firstLineChars="0"/>
              <w:jc w:val="center"/>
              <w:rPr>
                <w:sz w:val="18"/>
                <w:szCs w:val="18"/>
              </w:rPr>
            </w:pPr>
            <w:r>
              <w:rPr>
                <w:rFonts w:hint="eastAsia"/>
                <w:sz w:val="18"/>
                <w:szCs w:val="18"/>
              </w:rPr>
              <w:t>(cm</w:t>
            </w:r>
            <w:r>
              <w:rPr>
                <w:rFonts w:hint="eastAsia"/>
                <w:sz w:val="18"/>
                <w:szCs w:val="18"/>
                <w:vertAlign w:val="superscript"/>
              </w:rPr>
              <w:t>4</w:t>
            </w:r>
            <w:r>
              <w:rPr>
                <w:rFonts w:hint="eastAsia"/>
                <w:sz w:val="18"/>
                <w:szCs w:val="18"/>
              </w:rPr>
              <w:t>)</w:t>
            </w:r>
          </w:p>
        </w:tc>
        <w:tc>
          <w:tcPr>
            <w:tcW w:w="1367" w:type="dxa"/>
            <w:vAlign w:val="center"/>
          </w:tcPr>
          <w:p>
            <w:pPr>
              <w:pStyle w:val="253"/>
              <w:ind w:firstLine="0" w:firstLineChars="0"/>
              <w:jc w:val="center"/>
              <w:rPr>
                <w:sz w:val="18"/>
                <w:szCs w:val="18"/>
              </w:rPr>
            </w:pPr>
            <w:r>
              <w:rPr>
                <w:rFonts w:hint="eastAsia"/>
                <w:sz w:val="18"/>
                <w:szCs w:val="18"/>
              </w:rPr>
              <w:t>截面模量W</w:t>
            </w:r>
          </w:p>
          <w:p>
            <w:pPr>
              <w:pStyle w:val="253"/>
              <w:ind w:firstLine="0" w:firstLineChars="0"/>
              <w:jc w:val="center"/>
              <w:rPr>
                <w:sz w:val="18"/>
                <w:szCs w:val="18"/>
              </w:rPr>
            </w:pPr>
            <w:r>
              <w:rPr>
                <w:rFonts w:hint="eastAsia"/>
                <w:sz w:val="18"/>
                <w:szCs w:val="18"/>
              </w:rPr>
              <w:t>(cm</w:t>
            </w:r>
            <w:r>
              <w:rPr>
                <w:rFonts w:hint="eastAsia"/>
                <w:sz w:val="18"/>
                <w:szCs w:val="18"/>
                <w:vertAlign w:val="superscript"/>
              </w:rPr>
              <w:t>3</w:t>
            </w:r>
            <w:r>
              <w:rPr>
                <w:rFonts w:hint="eastAsia"/>
                <w:sz w:val="18"/>
                <w:szCs w:val="18"/>
              </w:rPr>
              <w:t>)</w:t>
            </w:r>
          </w:p>
        </w:tc>
        <w:tc>
          <w:tcPr>
            <w:tcW w:w="1368" w:type="dxa"/>
            <w:vAlign w:val="center"/>
          </w:tcPr>
          <w:p>
            <w:pPr>
              <w:pStyle w:val="253"/>
              <w:ind w:firstLine="0" w:firstLineChars="0"/>
              <w:jc w:val="center"/>
              <w:rPr>
                <w:sz w:val="18"/>
                <w:szCs w:val="18"/>
              </w:rPr>
            </w:pPr>
            <w:r>
              <w:rPr>
                <w:rFonts w:hint="eastAsia"/>
                <w:sz w:val="18"/>
                <w:szCs w:val="18"/>
              </w:rPr>
              <w:t>回转半径i</w:t>
            </w:r>
          </w:p>
          <w:p>
            <w:pPr>
              <w:pStyle w:val="253"/>
              <w:ind w:firstLine="0" w:firstLineChars="0"/>
              <w:jc w:val="center"/>
              <w:rPr>
                <w:sz w:val="18"/>
                <w:szCs w:val="18"/>
              </w:rPr>
            </w:pPr>
            <w:r>
              <w:rPr>
                <w:rFonts w:hint="eastAsia"/>
                <w:sz w:val="18"/>
                <w:szCs w:val="18"/>
              </w:rPr>
              <w:t>(cm)</w:t>
            </w:r>
          </w:p>
        </w:tc>
        <w:tc>
          <w:tcPr>
            <w:tcW w:w="1368" w:type="dxa"/>
            <w:vAlign w:val="center"/>
          </w:tcPr>
          <w:p>
            <w:pPr>
              <w:pStyle w:val="253"/>
              <w:ind w:firstLine="0" w:firstLineChars="0"/>
              <w:jc w:val="center"/>
              <w:rPr>
                <w:sz w:val="18"/>
                <w:szCs w:val="18"/>
              </w:rPr>
            </w:pPr>
            <w:r>
              <w:rPr>
                <w:rFonts w:hint="eastAsia"/>
                <w:sz w:val="18"/>
                <w:szCs w:val="18"/>
              </w:rPr>
              <w:t>每米长质量</w:t>
            </w:r>
          </w:p>
          <w:p>
            <w:pPr>
              <w:pStyle w:val="253"/>
              <w:ind w:firstLine="0" w:firstLineChars="0"/>
              <w:jc w:val="center"/>
              <w:rPr>
                <w:sz w:val="18"/>
                <w:szCs w:val="18"/>
              </w:rPr>
            </w:pPr>
            <w:r>
              <w:rPr>
                <w:sz w:val="18"/>
                <w:szCs w:val="18"/>
              </w:rPr>
              <w:t>（</w:t>
            </w:r>
            <w:r>
              <w:rPr>
                <w:rFonts w:hint="eastAsia"/>
                <w:sz w:val="18"/>
                <w:szCs w:val="18"/>
              </w:rPr>
              <w:t>kg/m）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366" w:type="dxa"/>
            <w:vAlign w:val="center"/>
          </w:tcPr>
          <w:p>
            <w:pPr>
              <w:pStyle w:val="253"/>
              <w:ind w:firstLine="0" w:firstLineChars="0"/>
              <w:jc w:val="center"/>
              <w:rPr>
                <w:sz w:val="18"/>
                <w:szCs w:val="18"/>
              </w:rPr>
            </w:pPr>
            <w:r>
              <w:rPr>
                <w:rFonts w:hint="eastAsia"/>
                <w:sz w:val="18"/>
                <w:szCs w:val="18"/>
              </w:rPr>
              <w:t>51</w:t>
            </w:r>
          </w:p>
        </w:tc>
        <w:tc>
          <w:tcPr>
            <w:tcW w:w="1367" w:type="dxa"/>
            <w:vAlign w:val="center"/>
          </w:tcPr>
          <w:p>
            <w:pPr>
              <w:pStyle w:val="253"/>
              <w:ind w:firstLine="0" w:firstLineChars="0"/>
              <w:jc w:val="center"/>
              <w:rPr>
                <w:sz w:val="18"/>
                <w:szCs w:val="18"/>
              </w:rPr>
            </w:pPr>
            <w:r>
              <w:rPr>
                <w:rFonts w:hint="eastAsia"/>
                <w:sz w:val="18"/>
                <w:szCs w:val="18"/>
              </w:rPr>
              <w:t>3.0</w:t>
            </w:r>
          </w:p>
        </w:tc>
        <w:tc>
          <w:tcPr>
            <w:tcW w:w="1367" w:type="dxa"/>
            <w:vAlign w:val="center"/>
          </w:tcPr>
          <w:p>
            <w:pPr>
              <w:pStyle w:val="253"/>
              <w:ind w:firstLine="0" w:firstLineChars="0"/>
              <w:jc w:val="center"/>
              <w:rPr>
                <w:sz w:val="18"/>
                <w:szCs w:val="18"/>
              </w:rPr>
            </w:pPr>
            <w:r>
              <w:rPr>
                <w:rFonts w:hint="eastAsia"/>
                <w:sz w:val="18"/>
                <w:szCs w:val="18"/>
              </w:rPr>
              <w:t>4.52</w:t>
            </w:r>
          </w:p>
        </w:tc>
        <w:tc>
          <w:tcPr>
            <w:tcW w:w="1367" w:type="dxa"/>
            <w:vAlign w:val="center"/>
          </w:tcPr>
          <w:p>
            <w:pPr>
              <w:pStyle w:val="253"/>
              <w:ind w:firstLine="0" w:firstLineChars="0"/>
              <w:jc w:val="center"/>
              <w:rPr>
                <w:sz w:val="18"/>
                <w:szCs w:val="18"/>
              </w:rPr>
            </w:pPr>
            <w:r>
              <w:rPr>
                <w:rFonts w:hint="eastAsia"/>
                <w:sz w:val="18"/>
                <w:szCs w:val="18"/>
              </w:rPr>
              <w:t>13.08</w:t>
            </w:r>
          </w:p>
        </w:tc>
        <w:tc>
          <w:tcPr>
            <w:tcW w:w="1367" w:type="dxa"/>
            <w:vAlign w:val="center"/>
          </w:tcPr>
          <w:p>
            <w:pPr>
              <w:pStyle w:val="253"/>
              <w:ind w:firstLine="0" w:firstLineChars="0"/>
              <w:jc w:val="center"/>
              <w:rPr>
                <w:sz w:val="18"/>
                <w:szCs w:val="18"/>
              </w:rPr>
            </w:pPr>
            <w:r>
              <w:rPr>
                <w:rFonts w:hint="eastAsia"/>
                <w:sz w:val="18"/>
                <w:szCs w:val="18"/>
              </w:rPr>
              <w:t>5.13</w:t>
            </w:r>
          </w:p>
        </w:tc>
        <w:tc>
          <w:tcPr>
            <w:tcW w:w="1368" w:type="dxa"/>
            <w:vAlign w:val="center"/>
          </w:tcPr>
          <w:p>
            <w:pPr>
              <w:pStyle w:val="253"/>
              <w:ind w:firstLine="0" w:firstLineChars="0"/>
              <w:jc w:val="center"/>
              <w:rPr>
                <w:sz w:val="18"/>
                <w:szCs w:val="18"/>
              </w:rPr>
            </w:pPr>
            <w:r>
              <w:rPr>
                <w:rFonts w:hint="eastAsia"/>
                <w:sz w:val="18"/>
                <w:szCs w:val="18"/>
              </w:rPr>
              <w:t>1.70</w:t>
            </w:r>
          </w:p>
        </w:tc>
        <w:tc>
          <w:tcPr>
            <w:tcW w:w="1368" w:type="dxa"/>
            <w:vAlign w:val="center"/>
          </w:tcPr>
          <w:p>
            <w:pPr>
              <w:pStyle w:val="253"/>
              <w:ind w:firstLine="0" w:firstLineChars="0"/>
              <w:jc w:val="center"/>
              <w:rPr>
                <w:sz w:val="18"/>
                <w:szCs w:val="18"/>
              </w:rPr>
            </w:pPr>
            <w:r>
              <w:rPr>
                <w:rFonts w:hint="eastAsia"/>
                <w:sz w:val="18"/>
                <w:szCs w:val="18"/>
              </w:rPr>
              <w:t>3.55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366" w:type="dxa"/>
            <w:vAlign w:val="center"/>
          </w:tcPr>
          <w:p>
            <w:pPr>
              <w:pStyle w:val="253"/>
              <w:ind w:firstLine="0" w:firstLineChars="0"/>
              <w:jc w:val="center"/>
              <w:rPr>
                <w:sz w:val="18"/>
                <w:szCs w:val="18"/>
              </w:rPr>
            </w:pPr>
            <w:r>
              <w:rPr>
                <w:rFonts w:hint="eastAsia"/>
                <w:sz w:val="18"/>
                <w:szCs w:val="18"/>
              </w:rPr>
              <w:t>48</w:t>
            </w:r>
          </w:p>
        </w:tc>
        <w:tc>
          <w:tcPr>
            <w:tcW w:w="1367" w:type="dxa"/>
            <w:vAlign w:val="center"/>
          </w:tcPr>
          <w:p>
            <w:pPr>
              <w:pStyle w:val="253"/>
              <w:ind w:firstLine="0" w:firstLineChars="0"/>
              <w:jc w:val="center"/>
              <w:rPr>
                <w:sz w:val="18"/>
                <w:szCs w:val="18"/>
              </w:rPr>
            </w:pPr>
            <w:r>
              <w:rPr>
                <w:rFonts w:hint="eastAsia"/>
                <w:sz w:val="18"/>
                <w:szCs w:val="18"/>
              </w:rPr>
              <w:t>3.5</w:t>
            </w:r>
          </w:p>
        </w:tc>
        <w:tc>
          <w:tcPr>
            <w:tcW w:w="1367" w:type="dxa"/>
            <w:vAlign w:val="center"/>
          </w:tcPr>
          <w:p>
            <w:pPr>
              <w:pStyle w:val="253"/>
              <w:ind w:firstLine="0" w:firstLineChars="0"/>
              <w:jc w:val="center"/>
              <w:rPr>
                <w:sz w:val="18"/>
                <w:szCs w:val="18"/>
              </w:rPr>
            </w:pPr>
            <w:r>
              <w:rPr>
                <w:rFonts w:hint="eastAsia"/>
                <w:sz w:val="18"/>
                <w:szCs w:val="18"/>
              </w:rPr>
              <w:t>4.89</w:t>
            </w:r>
          </w:p>
        </w:tc>
        <w:tc>
          <w:tcPr>
            <w:tcW w:w="1367" w:type="dxa"/>
            <w:vAlign w:val="center"/>
          </w:tcPr>
          <w:p>
            <w:pPr>
              <w:pStyle w:val="253"/>
              <w:ind w:firstLine="0" w:firstLineChars="0"/>
              <w:jc w:val="center"/>
              <w:rPr>
                <w:sz w:val="18"/>
                <w:szCs w:val="18"/>
              </w:rPr>
            </w:pPr>
            <w:r>
              <w:rPr>
                <w:rFonts w:hint="eastAsia"/>
                <w:sz w:val="18"/>
                <w:szCs w:val="18"/>
              </w:rPr>
              <w:t>12.19</w:t>
            </w:r>
          </w:p>
        </w:tc>
        <w:tc>
          <w:tcPr>
            <w:tcW w:w="1367" w:type="dxa"/>
            <w:vAlign w:val="center"/>
          </w:tcPr>
          <w:p>
            <w:pPr>
              <w:pStyle w:val="253"/>
              <w:ind w:firstLine="0" w:firstLineChars="0"/>
              <w:jc w:val="center"/>
              <w:rPr>
                <w:sz w:val="18"/>
                <w:szCs w:val="18"/>
              </w:rPr>
            </w:pPr>
            <w:r>
              <w:rPr>
                <w:rFonts w:hint="eastAsia"/>
                <w:sz w:val="18"/>
                <w:szCs w:val="18"/>
              </w:rPr>
              <w:t>5.08</w:t>
            </w:r>
          </w:p>
        </w:tc>
        <w:tc>
          <w:tcPr>
            <w:tcW w:w="1368" w:type="dxa"/>
            <w:vAlign w:val="center"/>
          </w:tcPr>
          <w:p>
            <w:pPr>
              <w:pStyle w:val="253"/>
              <w:ind w:firstLine="0" w:firstLineChars="0"/>
              <w:jc w:val="center"/>
              <w:rPr>
                <w:sz w:val="18"/>
                <w:szCs w:val="18"/>
              </w:rPr>
            </w:pPr>
            <w:r>
              <w:rPr>
                <w:rFonts w:hint="eastAsia"/>
                <w:sz w:val="18"/>
                <w:szCs w:val="18"/>
              </w:rPr>
              <w:t>1.58</w:t>
            </w:r>
          </w:p>
        </w:tc>
        <w:tc>
          <w:tcPr>
            <w:tcW w:w="1368" w:type="dxa"/>
            <w:vAlign w:val="center"/>
          </w:tcPr>
          <w:p>
            <w:pPr>
              <w:pStyle w:val="253"/>
              <w:ind w:firstLine="0" w:firstLineChars="0"/>
              <w:jc w:val="center"/>
              <w:rPr>
                <w:sz w:val="18"/>
                <w:szCs w:val="18"/>
              </w:rPr>
            </w:pPr>
            <w:r>
              <w:rPr>
                <w:rFonts w:hint="eastAsia"/>
                <w:sz w:val="18"/>
                <w:szCs w:val="18"/>
              </w:rPr>
              <w:t>3.84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366" w:type="dxa"/>
            <w:vAlign w:val="center"/>
          </w:tcPr>
          <w:p>
            <w:pPr>
              <w:pStyle w:val="253"/>
              <w:ind w:firstLine="0" w:firstLineChars="0"/>
              <w:jc w:val="center"/>
              <w:rPr>
                <w:sz w:val="18"/>
                <w:szCs w:val="18"/>
              </w:rPr>
            </w:pPr>
            <w:r>
              <w:rPr>
                <w:rFonts w:hint="eastAsia"/>
                <w:sz w:val="18"/>
                <w:szCs w:val="18"/>
              </w:rPr>
              <w:t>48</w:t>
            </w:r>
          </w:p>
        </w:tc>
        <w:tc>
          <w:tcPr>
            <w:tcW w:w="1367" w:type="dxa"/>
            <w:vAlign w:val="center"/>
          </w:tcPr>
          <w:p>
            <w:pPr>
              <w:pStyle w:val="253"/>
              <w:ind w:firstLine="0" w:firstLineChars="0"/>
              <w:jc w:val="center"/>
              <w:rPr>
                <w:sz w:val="18"/>
                <w:szCs w:val="18"/>
              </w:rPr>
            </w:pPr>
            <w:r>
              <w:rPr>
                <w:rFonts w:hint="eastAsia"/>
                <w:sz w:val="18"/>
                <w:szCs w:val="18"/>
              </w:rPr>
              <w:t>3.2</w:t>
            </w:r>
          </w:p>
        </w:tc>
        <w:tc>
          <w:tcPr>
            <w:tcW w:w="1367" w:type="dxa"/>
            <w:vAlign w:val="center"/>
          </w:tcPr>
          <w:p>
            <w:pPr>
              <w:pStyle w:val="253"/>
              <w:ind w:firstLine="0" w:firstLineChars="0"/>
              <w:jc w:val="center"/>
              <w:rPr>
                <w:sz w:val="18"/>
                <w:szCs w:val="18"/>
              </w:rPr>
            </w:pPr>
            <w:r>
              <w:rPr>
                <w:rFonts w:hint="eastAsia"/>
                <w:sz w:val="18"/>
                <w:szCs w:val="18"/>
              </w:rPr>
              <w:t>4.50</w:t>
            </w:r>
          </w:p>
        </w:tc>
        <w:tc>
          <w:tcPr>
            <w:tcW w:w="1367" w:type="dxa"/>
            <w:vAlign w:val="center"/>
          </w:tcPr>
          <w:p>
            <w:pPr>
              <w:pStyle w:val="253"/>
              <w:ind w:firstLine="0" w:firstLineChars="0"/>
              <w:jc w:val="center"/>
              <w:rPr>
                <w:sz w:val="18"/>
                <w:szCs w:val="18"/>
              </w:rPr>
            </w:pPr>
            <w:r>
              <w:rPr>
                <w:rFonts w:hint="eastAsia"/>
                <w:sz w:val="18"/>
                <w:szCs w:val="18"/>
              </w:rPr>
              <w:t>11.35</w:t>
            </w:r>
          </w:p>
        </w:tc>
        <w:tc>
          <w:tcPr>
            <w:tcW w:w="1367" w:type="dxa"/>
            <w:vAlign w:val="center"/>
          </w:tcPr>
          <w:p>
            <w:pPr>
              <w:pStyle w:val="253"/>
              <w:ind w:firstLine="0" w:firstLineChars="0"/>
              <w:jc w:val="center"/>
              <w:rPr>
                <w:sz w:val="18"/>
                <w:szCs w:val="18"/>
              </w:rPr>
            </w:pPr>
            <w:r>
              <w:rPr>
                <w:rFonts w:hint="eastAsia"/>
                <w:sz w:val="18"/>
                <w:szCs w:val="18"/>
              </w:rPr>
              <w:t>4.73</w:t>
            </w:r>
          </w:p>
        </w:tc>
        <w:tc>
          <w:tcPr>
            <w:tcW w:w="1368" w:type="dxa"/>
            <w:vAlign w:val="center"/>
          </w:tcPr>
          <w:p>
            <w:pPr>
              <w:pStyle w:val="253"/>
              <w:ind w:firstLine="0" w:firstLineChars="0"/>
              <w:jc w:val="center"/>
              <w:rPr>
                <w:sz w:val="18"/>
                <w:szCs w:val="18"/>
              </w:rPr>
            </w:pPr>
            <w:r>
              <w:rPr>
                <w:rFonts w:hint="eastAsia"/>
                <w:sz w:val="18"/>
                <w:szCs w:val="18"/>
              </w:rPr>
              <w:t>1.59</w:t>
            </w:r>
          </w:p>
        </w:tc>
        <w:tc>
          <w:tcPr>
            <w:tcW w:w="1368" w:type="dxa"/>
            <w:vAlign w:val="center"/>
          </w:tcPr>
          <w:p>
            <w:pPr>
              <w:pStyle w:val="253"/>
              <w:ind w:firstLine="0" w:firstLineChars="0"/>
              <w:jc w:val="center"/>
              <w:rPr>
                <w:sz w:val="18"/>
                <w:szCs w:val="18"/>
              </w:rPr>
            </w:pPr>
            <w:r>
              <w:rPr>
                <w:rFonts w:hint="eastAsia"/>
                <w:sz w:val="18"/>
                <w:szCs w:val="18"/>
              </w:rPr>
              <w:t>3.53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366" w:type="dxa"/>
            <w:vAlign w:val="center"/>
          </w:tcPr>
          <w:p>
            <w:pPr>
              <w:pStyle w:val="253"/>
              <w:ind w:firstLine="0" w:firstLineChars="0"/>
              <w:jc w:val="center"/>
              <w:rPr>
                <w:sz w:val="18"/>
                <w:szCs w:val="18"/>
              </w:rPr>
            </w:pPr>
            <w:r>
              <w:rPr>
                <w:rFonts w:hint="eastAsia"/>
                <w:sz w:val="18"/>
                <w:szCs w:val="18"/>
              </w:rPr>
              <w:t>48</w:t>
            </w:r>
          </w:p>
        </w:tc>
        <w:tc>
          <w:tcPr>
            <w:tcW w:w="1367" w:type="dxa"/>
            <w:vAlign w:val="center"/>
          </w:tcPr>
          <w:p>
            <w:pPr>
              <w:pStyle w:val="253"/>
              <w:ind w:firstLine="0" w:firstLineChars="0"/>
              <w:jc w:val="center"/>
              <w:rPr>
                <w:sz w:val="18"/>
                <w:szCs w:val="18"/>
              </w:rPr>
            </w:pPr>
            <w:r>
              <w:rPr>
                <w:rFonts w:hint="eastAsia"/>
                <w:sz w:val="18"/>
                <w:szCs w:val="18"/>
              </w:rPr>
              <w:t>3.0</w:t>
            </w:r>
          </w:p>
        </w:tc>
        <w:tc>
          <w:tcPr>
            <w:tcW w:w="1367" w:type="dxa"/>
            <w:vAlign w:val="center"/>
          </w:tcPr>
          <w:p>
            <w:pPr>
              <w:pStyle w:val="253"/>
              <w:ind w:firstLine="0" w:firstLineChars="0"/>
              <w:jc w:val="center"/>
              <w:rPr>
                <w:sz w:val="18"/>
                <w:szCs w:val="18"/>
              </w:rPr>
            </w:pPr>
            <w:r>
              <w:rPr>
                <w:rFonts w:hint="eastAsia"/>
                <w:sz w:val="18"/>
                <w:szCs w:val="18"/>
              </w:rPr>
              <w:t>4.24</w:t>
            </w:r>
          </w:p>
        </w:tc>
        <w:tc>
          <w:tcPr>
            <w:tcW w:w="1367" w:type="dxa"/>
            <w:vAlign w:val="center"/>
          </w:tcPr>
          <w:p>
            <w:pPr>
              <w:pStyle w:val="253"/>
              <w:ind w:firstLine="0" w:firstLineChars="0"/>
              <w:jc w:val="center"/>
              <w:rPr>
                <w:sz w:val="18"/>
                <w:szCs w:val="18"/>
              </w:rPr>
            </w:pPr>
            <w:r>
              <w:rPr>
                <w:rFonts w:hint="eastAsia"/>
                <w:sz w:val="18"/>
                <w:szCs w:val="18"/>
              </w:rPr>
              <w:t>10.78</w:t>
            </w:r>
          </w:p>
        </w:tc>
        <w:tc>
          <w:tcPr>
            <w:tcW w:w="1367" w:type="dxa"/>
            <w:vAlign w:val="center"/>
          </w:tcPr>
          <w:p>
            <w:pPr>
              <w:pStyle w:val="253"/>
              <w:ind w:firstLine="0" w:firstLineChars="0"/>
              <w:jc w:val="center"/>
              <w:rPr>
                <w:sz w:val="18"/>
                <w:szCs w:val="18"/>
              </w:rPr>
            </w:pPr>
            <w:r>
              <w:rPr>
                <w:rFonts w:hint="eastAsia"/>
                <w:sz w:val="18"/>
                <w:szCs w:val="18"/>
              </w:rPr>
              <w:t>4.49</w:t>
            </w:r>
          </w:p>
        </w:tc>
        <w:tc>
          <w:tcPr>
            <w:tcW w:w="1368" w:type="dxa"/>
            <w:vAlign w:val="center"/>
          </w:tcPr>
          <w:p>
            <w:pPr>
              <w:pStyle w:val="253"/>
              <w:ind w:firstLine="0" w:firstLineChars="0"/>
              <w:jc w:val="center"/>
              <w:rPr>
                <w:sz w:val="18"/>
                <w:szCs w:val="18"/>
              </w:rPr>
            </w:pPr>
            <w:r>
              <w:rPr>
                <w:rFonts w:hint="eastAsia"/>
                <w:sz w:val="18"/>
                <w:szCs w:val="18"/>
              </w:rPr>
              <w:t>1.59</w:t>
            </w:r>
          </w:p>
        </w:tc>
        <w:tc>
          <w:tcPr>
            <w:tcW w:w="1368" w:type="dxa"/>
            <w:vAlign w:val="center"/>
          </w:tcPr>
          <w:p>
            <w:pPr>
              <w:pStyle w:val="253"/>
              <w:ind w:firstLine="0" w:firstLineChars="0"/>
              <w:jc w:val="center"/>
              <w:rPr>
                <w:sz w:val="18"/>
                <w:szCs w:val="18"/>
              </w:rPr>
            </w:pPr>
            <w:r>
              <w:rPr>
                <w:rFonts w:hint="eastAsia"/>
                <w:sz w:val="18"/>
                <w:szCs w:val="18"/>
              </w:rPr>
              <w:t>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366" w:type="dxa"/>
            <w:vAlign w:val="center"/>
          </w:tcPr>
          <w:p>
            <w:pPr>
              <w:pStyle w:val="253"/>
              <w:ind w:firstLine="0" w:firstLineChars="0"/>
              <w:jc w:val="center"/>
              <w:rPr>
                <w:sz w:val="18"/>
                <w:szCs w:val="18"/>
              </w:rPr>
            </w:pPr>
            <w:r>
              <w:rPr>
                <w:rFonts w:hint="eastAsia"/>
                <w:sz w:val="18"/>
                <w:szCs w:val="18"/>
              </w:rPr>
              <w:t>48</w:t>
            </w:r>
          </w:p>
        </w:tc>
        <w:tc>
          <w:tcPr>
            <w:tcW w:w="1367" w:type="dxa"/>
            <w:vAlign w:val="center"/>
          </w:tcPr>
          <w:p>
            <w:pPr>
              <w:pStyle w:val="253"/>
              <w:ind w:firstLine="0" w:firstLineChars="0"/>
              <w:jc w:val="center"/>
              <w:rPr>
                <w:sz w:val="18"/>
                <w:szCs w:val="18"/>
              </w:rPr>
            </w:pPr>
            <w:r>
              <w:rPr>
                <w:rFonts w:hint="eastAsia"/>
                <w:sz w:val="18"/>
                <w:szCs w:val="18"/>
              </w:rPr>
              <w:t>2.8</w:t>
            </w:r>
          </w:p>
        </w:tc>
        <w:tc>
          <w:tcPr>
            <w:tcW w:w="1367" w:type="dxa"/>
            <w:vAlign w:val="center"/>
          </w:tcPr>
          <w:p>
            <w:pPr>
              <w:pStyle w:val="253"/>
              <w:ind w:firstLine="0" w:firstLineChars="0"/>
              <w:jc w:val="center"/>
              <w:rPr>
                <w:sz w:val="18"/>
                <w:szCs w:val="18"/>
              </w:rPr>
            </w:pPr>
            <w:r>
              <w:rPr>
                <w:rFonts w:hint="eastAsia"/>
                <w:sz w:val="18"/>
                <w:szCs w:val="18"/>
              </w:rPr>
              <w:t>3.97</w:t>
            </w:r>
          </w:p>
        </w:tc>
        <w:tc>
          <w:tcPr>
            <w:tcW w:w="1367" w:type="dxa"/>
            <w:vAlign w:val="center"/>
          </w:tcPr>
          <w:p>
            <w:pPr>
              <w:pStyle w:val="253"/>
              <w:ind w:firstLine="0" w:firstLineChars="0"/>
              <w:jc w:val="center"/>
              <w:rPr>
                <w:sz w:val="18"/>
                <w:szCs w:val="18"/>
              </w:rPr>
            </w:pPr>
            <w:r>
              <w:rPr>
                <w:rFonts w:hint="eastAsia"/>
                <w:sz w:val="18"/>
                <w:szCs w:val="18"/>
              </w:rPr>
              <w:t>10.19</w:t>
            </w:r>
          </w:p>
        </w:tc>
        <w:tc>
          <w:tcPr>
            <w:tcW w:w="1367" w:type="dxa"/>
            <w:vAlign w:val="center"/>
          </w:tcPr>
          <w:p>
            <w:pPr>
              <w:pStyle w:val="253"/>
              <w:ind w:firstLine="0" w:firstLineChars="0"/>
              <w:jc w:val="center"/>
              <w:rPr>
                <w:sz w:val="18"/>
                <w:szCs w:val="18"/>
              </w:rPr>
            </w:pPr>
            <w:r>
              <w:rPr>
                <w:rFonts w:hint="eastAsia"/>
                <w:sz w:val="18"/>
                <w:szCs w:val="18"/>
              </w:rPr>
              <w:t>4.24</w:t>
            </w:r>
          </w:p>
        </w:tc>
        <w:tc>
          <w:tcPr>
            <w:tcW w:w="1368" w:type="dxa"/>
            <w:vAlign w:val="center"/>
          </w:tcPr>
          <w:p>
            <w:pPr>
              <w:pStyle w:val="253"/>
              <w:ind w:firstLine="0" w:firstLineChars="0"/>
              <w:jc w:val="center"/>
              <w:rPr>
                <w:sz w:val="18"/>
                <w:szCs w:val="18"/>
              </w:rPr>
            </w:pPr>
            <w:r>
              <w:rPr>
                <w:rFonts w:hint="eastAsia"/>
                <w:sz w:val="18"/>
                <w:szCs w:val="18"/>
              </w:rPr>
              <w:t>1.60</w:t>
            </w:r>
          </w:p>
        </w:tc>
        <w:tc>
          <w:tcPr>
            <w:tcW w:w="1368" w:type="dxa"/>
            <w:vAlign w:val="center"/>
          </w:tcPr>
          <w:p>
            <w:pPr>
              <w:pStyle w:val="253"/>
              <w:ind w:firstLine="0" w:firstLineChars="0"/>
              <w:jc w:val="center"/>
              <w:rPr>
                <w:sz w:val="18"/>
                <w:szCs w:val="18"/>
              </w:rPr>
            </w:pPr>
            <w:r>
              <w:rPr>
                <w:rFonts w:hint="eastAsia"/>
                <w:sz w:val="18"/>
                <w:szCs w:val="18"/>
              </w:rPr>
              <w:t>3.12</w:t>
            </w:r>
          </w:p>
        </w:tc>
      </w:tr>
    </w:tbl>
    <w:p>
      <w:pPr>
        <w:pStyle w:val="234"/>
        <w:numPr>
          <w:ilvl w:val="0"/>
          <w:numId w:val="0"/>
        </w:numPr>
        <w:rPr>
          <w:rFonts w:ascii="Times New Roman"/>
          <w:spacing w:val="14"/>
        </w:rPr>
      </w:pPr>
    </w:p>
    <w:p>
      <w:pPr>
        <w:pStyle w:val="234"/>
        <w:rPr>
          <w:rFonts w:ascii="Times New Roman"/>
          <w:spacing w:val="14"/>
        </w:rPr>
      </w:pPr>
      <w:r>
        <w:rPr>
          <w:rFonts w:hint="eastAsia"/>
        </w:rPr>
        <w:t>常用φ48</w:t>
      </w:r>
      <w:r>
        <w:rPr>
          <w:rFonts w:hint="eastAsia" w:hAnsi="黑体"/>
        </w:rPr>
        <w:t>×</w:t>
      </w:r>
      <w:r>
        <w:rPr>
          <w:rFonts w:hint="eastAsia"/>
        </w:rPr>
        <w:t>3.5钢管脚手架的结构自重标准值g</w:t>
      </w:r>
      <w:r>
        <w:rPr>
          <w:rFonts w:hint="eastAsia"/>
          <w:vertAlign w:val="subscript"/>
        </w:rPr>
        <w:t>k</w:t>
      </w:r>
      <w:r>
        <w:rPr>
          <w:rFonts w:hint="eastAsia" w:ascii="Times New Roman"/>
          <w:spacing w:val="14"/>
        </w:rPr>
        <w:t>如表A.3所示。</w:t>
      </w:r>
    </w:p>
    <w:p>
      <w:pPr>
        <w:pStyle w:val="296"/>
        <w:numPr>
          <w:ilvl w:val="1"/>
          <w:numId w:val="34"/>
        </w:numPr>
        <w:spacing w:before="156" w:after="156"/>
      </w:pPr>
      <w:r>
        <w:rPr>
          <w:rFonts w:hint="eastAsia"/>
        </w:rPr>
        <w:t>φ48</w:t>
      </w:r>
      <w:r>
        <w:rPr>
          <w:rFonts w:hint="eastAsia" w:hAnsi="黑体"/>
        </w:rPr>
        <w:t>×</w:t>
      </w:r>
      <w:r>
        <w:rPr>
          <w:rFonts w:hint="eastAsia"/>
        </w:rPr>
        <w:t>3.5钢管脚手架每米立杆承受的结构自重标准值g</w:t>
      </w:r>
      <w:r>
        <w:rPr>
          <w:rFonts w:hint="eastAsia"/>
          <w:vertAlign w:val="subscript"/>
        </w:rPr>
        <w:t>k</w:t>
      </w:r>
      <w:r>
        <w:rPr>
          <w:rFonts w:hint="eastAsia"/>
        </w:rPr>
        <w:t>（KN/m）</w:t>
      </w:r>
    </w:p>
    <w:tbl>
      <w:tblPr>
        <w:tblStyle w:val="4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32"/>
        <w:gridCol w:w="1320"/>
        <w:gridCol w:w="1338"/>
        <w:gridCol w:w="1338"/>
        <w:gridCol w:w="1338"/>
        <w:gridCol w:w="1339"/>
        <w:gridCol w:w="13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Merge w:val="restart"/>
            <w:vAlign w:val="center"/>
          </w:tcPr>
          <w:p>
            <w:pPr>
              <w:pStyle w:val="253"/>
              <w:ind w:firstLine="0" w:firstLineChars="0"/>
              <w:jc w:val="center"/>
              <w:rPr>
                <w:sz w:val="18"/>
                <w:szCs w:val="18"/>
              </w:rPr>
            </w:pPr>
            <w:r>
              <w:rPr>
                <w:rFonts w:hint="eastAsia"/>
                <w:sz w:val="18"/>
                <w:szCs w:val="18"/>
              </w:rPr>
              <w:t>步距（m）</w:t>
            </w:r>
          </w:p>
        </w:tc>
        <w:tc>
          <w:tcPr>
            <w:tcW w:w="1320" w:type="dxa"/>
            <w:vMerge w:val="restart"/>
            <w:vAlign w:val="center"/>
          </w:tcPr>
          <w:p>
            <w:pPr>
              <w:pStyle w:val="253"/>
              <w:ind w:firstLine="0" w:firstLineChars="0"/>
              <w:jc w:val="center"/>
              <w:rPr>
                <w:sz w:val="18"/>
                <w:szCs w:val="18"/>
              </w:rPr>
            </w:pPr>
            <w:r>
              <w:rPr>
                <w:rFonts w:hint="eastAsia"/>
                <w:sz w:val="18"/>
                <w:szCs w:val="18"/>
              </w:rPr>
              <w:t>脚手架类型</w:t>
            </w:r>
          </w:p>
        </w:tc>
        <w:tc>
          <w:tcPr>
            <w:tcW w:w="6692" w:type="dxa"/>
            <w:gridSpan w:val="5"/>
            <w:vAlign w:val="center"/>
          </w:tcPr>
          <w:p>
            <w:pPr>
              <w:pStyle w:val="253"/>
              <w:ind w:firstLine="0" w:firstLineChars="0"/>
              <w:jc w:val="center"/>
              <w:rPr>
                <w:sz w:val="18"/>
                <w:szCs w:val="18"/>
              </w:rPr>
            </w:pPr>
            <w:r>
              <w:rPr>
                <w:rFonts w:hint="eastAsia"/>
                <w:sz w:val="18"/>
                <w:szCs w:val="18"/>
              </w:rPr>
              <w:t>纵距（m）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Merge w:val="continue"/>
            <w:vAlign w:val="center"/>
          </w:tcPr>
          <w:p>
            <w:pPr>
              <w:pStyle w:val="253"/>
              <w:ind w:firstLine="0" w:firstLineChars="0"/>
              <w:jc w:val="center"/>
              <w:rPr>
                <w:sz w:val="18"/>
                <w:szCs w:val="18"/>
              </w:rPr>
            </w:pPr>
          </w:p>
        </w:tc>
        <w:tc>
          <w:tcPr>
            <w:tcW w:w="1320" w:type="dxa"/>
            <w:vMerge w:val="continue"/>
            <w:vAlign w:val="center"/>
          </w:tcPr>
          <w:p>
            <w:pPr>
              <w:pStyle w:val="253"/>
              <w:ind w:firstLine="0" w:firstLineChars="0"/>
              <w:jc w:val="center"/>
              <w:rPr>
                <w:sz w:val="18"/>
                <w:szCs w:val="18"/>
              </w:rPr>
            </w:pPr>
          </w:p>
        </w:tc>
        <w:tc>
          <w:tcPr>
            <w:tcW w:w="1338" w:type="dxa"/>
            <w:vAlign w:val="center"/>
          </w:tcPr>
          <w:p>
            <w:pPr>
              <w:pStyle w:val="253"/>
              <w:ind w:firstLine="0" w:firstLineChars="0"/>
              <w:jc w:val="center"/>
              <w:rPr>
                <w:sz w:val="18"/>
                <w:szCs w:val="18"/>
              </w:rPr>
            </w:pPr>
            <w:r>
              <w:rPr>
                <w:rFonts w:hint="eastAsia"/>
                <w:sz w:val="18"/>
                <w:szCs w:val="18"/>
              </w:rPr>
              <w:t>1.2</w:t>
            </w:r>
          </w:p>
        </w:tc>
        <w:tc>
          <w:tcPr>
            <w:tcW w:w="1338" w:type="dxa"/>
            <w:vAlign w:val="center"/>
          </w:tcPr>
          <w:p>
            <w:pPr>
              <w:pStyle w:val="253"/>
              <w:ind w:firstLine="0" w:firstLineChars="0"/>
              <w:jc w:val="center"/>
              <w:rPr>
                <w:sz w:val="18"/>
                <w:szCs w:val="18"/>
              </w:rPr>
            </w:pPr>
            <w:r>
              <w:rPr>
                <w:rFonts w:hint="eastAsia"/>
                <w:sz w:val="18"/>
                <w:szCs w:val="18"/>
              </w:rPr>
              <w:t>1.5</w:t>
            </w:r>
          </w:p>
        </w:tc>
        <w:tc>
          <w:tcPr>
            <w:tcW w:w="1338" w:type="dxa"/>
            <w:vAlign w:val="center"/>
          </w:tcPr>
          <w:p>
            <w:pPr>
              <w:pStyle w:val="253"/>
              <w:ind w:firstLine="0" w:firstLineChars="0"/>
              <w:jc w:val="center"/>
              <w:rPr>
                <w:sz w:val="18"/>
                <w:szCs w:val="18"/>
              </w:rPr>
            </w:pPr>
            <w:r>
              <w:rPr>
                <w:rFonts w:hint="eastAsia"/>
                <w:sz w:val="18"/>
                <w:szCs w:val="18"/>
              </w:rPr>
              <w:t>1.8</w:t>
            </w:r>
          </w:p>
        </w:tc>
        <w:tc>
          <w:tcPr>
            <w:tcW w:w="1339" w:type="dxa"/>
            <w:vAlign w:val="center"/>
          </w:tcPr>
          <w:p>
            <w:pPr>
              <w:pStyle w:val="253"/>
              <w:ind w:firstLine="0" w:firstLineChars="0"/>
              <w:jc w:val="center"/>
              <w:rPr>
                <w:sz w:val="18"/>
                <w:szCs w:val="18"/>
              </w:rPr>
            </w:pPr>
            <w:r>
              <w:rPr>
                <w:rFonts w:hint="eastAsia"/>
                <w:sz w:val="18"/>
                <w:szCs w:val="18"/>
              </w:rPr>
              <w:t>2.0</w:t>
            </w:r>
          </w:p>
        </w:tc>
        <w:tc>
          <w:tcPr>
            <w:tcW w:w="1339" w:type="dxa"/>
            <w:vAlign w:val="center"/>
          </w:tcPr>
          <w:p>
            <w:pPr>
              <w:pStyle w:val="253"/>
              <w:ind w:firstLine="0" w:firstLineChars="0"/>
              <w:jc w:val="center"/>
              <w:rPr>
                <w:sz w:val="18"/>
                <w:szCs w:val="18"/>
              </w:rPr>
            </w:pPr>
            <w:r>
              <w:rPr>
                <w:rFonts w:hint="eastAsia"/>
                <w:sz w:val="18"/>
                <w:szCs w:val="18"/>
              </w:rPr>
              <w:t>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Align w:val="center"/>
          </w:tcPr>
          <w:p>
            <w:pPr>
              <w:pStyle w:val="253"/>
              <w:ind w:firstLine="0" w:firstLineChars="0"/>
              <w:jc w:val="center"/>
              <w:rPr>
                <w:sz w:val="18"/>
                <w:szCs w:val="18"/>
              </w:rPr>
            </w:pPr>
            <w:r>
              <w:rPr>
                <w:rFonts w:hint="eastAsia"/>
                <w:sz w:val="18"/>
                <w:szCs w:val="18"/>
              </w:rPr>
              <w:t>1.20</w:t>
            </w:r>
          </w:p>
        </w:tc>
        <w:tc>
          <w:tcPr>
            <w:tcW w:w="1320" w:type="dxa"/>
            <w:vMerge w:val="restart"/>
            <w:vAlign w:val="center"/>
          </w:tcPr>
          <w:p>
            <w:pPr>
              <w:pStyle w:val="253"/>
              <w:ind w:firstLine="0" w:firstLineChars="0"/>
              <w:jc w:val="center"/>
              <w:rPr>
                <w:sz w:val="18"/>
                <w:szCs w:val="18"/>
              </w:rPr>
            </w:pPr>
            <w:r>
              <w:rPr>
                <w:rFonts w:hint="eastAsia"/>
                <w:sz w:val="18"/>
                <w:szCs w:val="18"/>
              </w:rPr>
              <w:t>双排</w:t>
            </w:r>
          </w:p>
        </w:tc>
        <w:tc>
          <w:tcPr>
            <w:tcW w:w="1338" w:type="dxa"/>
            <w:vAlign w:val="center"/>
          </w:tcPr>
          <w:p>
            <w:pPr>
              <w:pStyle w:val="253"/>
              <w:ind w:firstLine="0" w:firstLineChars="0"/>
              <w:jc w:val="center"/>
              <w:rPr>
                <w:sz w:val="18"/>
                <w:szCs w:val="18"/>
              </w:rPr>
            </w:pPr>
            <w:r>
              <w:rPr>
                <w:rFonts w:hint="eastAsia"/>
                <w:sz w:val="18"/>
                <w:szCs w:val="18"/>
              </w:rPr>
              <w:t>0.1489</w:t>
            </w:r>
          </w:p>
        </w:tc>
        <w:tc>
          <w:tcPr>
            <w:tcW w:w="1338" w:type="dxa"/>
            <w:vAlign w:val="center"/>
          </w:tcPr>
          <w:p>
            <w:pPr>
              <w:pStyle w:val="253"/>
              <w:ind w:firstLine="0" w:firstLineChars="0"/>
              <w:jc w:val="center"/>
              <w:rPr>
                <w:sz w:val="18"/>
                <w:szCs w:val="18"/>
              </w:rPr>
            </w:pPr>
            <w:r>
              <w:rPr>
                <w:rFonts w:hint="eastAsia"/>
                <w:sz w:val="18"/>
                <w:szCs w:val="18"/>
              </w:rPr>
              <w:t>0.1611</w:t>
            </w:r>
          </w:p>
        </w:tc>
        <w:tc>
          <w:tcPr>
            <w:tcW w:w="1338" w:type="dxa"/>
            <w:vAlign w:val="center"/>
          </w:tcPr>
          <w:p>
            <w:pPr>
              <w:pStyle w:val="253"/>
              <w:ind w:firstLine="0" w:firstLineChars="0"/>
              <w:jc w:val="center"/>
              <w:rPr>
                <w:sz w:val="18"/>
                <w:szCs w:val="18"/>
              </w:rPr>
            </w:pPr>
            <w:r>
              <w:rPr>
                <w:rFonts w:hint="eastAsia"/>
                <w:sz w:val="18"/>
                <w:szCs w:val="18"/>
              </w:rPr>
              <w:t>0.1734</w:t>
            </w:r>
          </w:p>
        </w:tc>
        <w:tc>
          <w:tcPr>
            <w:tcW w:w="1339" w:type="dxa"/>
            <w:vAlign w:val="center"/>
          </w:tcPr>
          <w:p>
            <w:pPr>
              <w:pStyle w:val="253"/>
              <w:ind w:firstLine="0" w:firstLineChars="0"/>
              <w:jc w:val="center"/>
              <w:rPr>
                <w:sz w:val="18"/>
                <w:szCs w:val="18"/>
              </w:rPr>
            </w:pPr>
            <w:r>
              <w:rPr>
                <w:rFonts w:hint="eastAsia"/>
                <w:sz w:val="18"/>
                <w:szCs w:val="18"/>
              </w:rPr>
              <w:t>0.1815</w:t>
            </w:r>
          </w:p>
        </w:tc>
        <w:tc>
          <w:tcPr>
            <w:tcW w:w="1339" w:type="dxa"/>
            <w:vAlign w:val="center"/>
          </w:tcPr>
          <w:p>
            <w:pPr>
              <w:pStyle w:val="253"/>
              <w:ind w:firstLine="0" w:firstLineChars="0"/>
              <w:jc w:val="center"/>
              <w:rPr>
                <w:sz w:val="18"/>
                <w:szCs w:val="18"/>
              </w:rPr>
            </w:pPr>
            <w:r>
              <w:rPr>
                <w:rFonts w:hint="eastAsia"/>
                <w:sz w:val="18"/>
                <w:szCs w:val="18"/>
              </w:rPr>
              <w:t>0.1856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Align w:val="center"/>
          </w:tcPr>
          <w:p>
            <w:pPr>
              <w:pStyle w:val="253"/>
              <w:ind w:firstLine="0" w:firstLineChars="0"/>
              <w:jc w:val="center"/>
              <w:rPr>
                <w:sz w:val="18"/>
                <w:szCs w:val="18"/>
              </w:rPr>
            </w:pPr>
            <w:r>
              <w:rPr>
                <w:rFonts w:hint="eastAsia"/>
                <w:sz w:val="18"/>
                <w:szCs w:val="18"/>
              </w:rPr>
              <w:t>1.35</w:t>
            </w:r>
          </w:p>
        </w:tc>
        <w:tc>
          <w:tcPr>
            <w:tcW w:w="1320" w:type="dxa"/>
            <w:vMerge w:val="continue"/>
            <w:vAlign w:val="center"/>
          </w:tcPr>
          <w:p>
            <w:pPr>
              <w:pStyle w:val="253"/>
              <w:ind w:firstLine="0" w:firstLineChars="0"/>
              <w:jc w:val="center"/>
              <w:rPr>
                <w:sz w:val="18"/>
                <w:szCs w:val="18"/>
              </w:rPr>
            </w:pPr>
          </w:p>
        </w:tc>
        <w:tc>
          <w:tcPr>
            <w:tcW w:w="1338" w:type="dxa"/>
            <w:vAlign w:val="center"/>
          </w:tcPr>
          <w:p>
            <w:pPr>
              <w:pStyle w:val="253"/>
              <w:ind w:firstLine="0" w:firstLineChars="0"/>
              <w:jc w:val="center"/>
              <w:rPr>
                <w:sz w:val="18"/>
                <w:szCs w:val="18"/>
              </w:rPr>
            </w:pPr>
            <w:r>
              <w:rPr>
                <w:rFonts w:hint="eastAsia"/>
                <w:sz w:val="18"/>
                <w:szCs w:val="18"/>
              </w:rPr>
              <w:t>0.1379</w:t>
            </w:r>
          </w:p>
        </w:tc>
        <w:tc>
          <w:tcPr>
            <w:tcW w:w="1338" w:type="dxa"/>
            <w:vAlign w:val="center"/>
          </w:tcPr>
          <w:p>
            <w:pPr>
              <w:pStyle w:val="253"/>
              <w:ind w:firstLine="0" w:firstLineChars="0"/>
              <w:jc w:val="center"/>
              <w:rPr>
                <w:sz w:val="18"/>
                <w:szCs w:val="18"/>
              </w:rPr>
            </w:pPr>
            <w:r>
              <w:rPr>
                <w:rFonts w:hint="eastAsia"/>
                <w:sz w:val="18"/>
                <w:szCs w:val="18"/>
              </w:rPr>
              <w:t>0.1491</w:t>
            </w:r>
          </w:p>
        </w:tc>
        <w:tc>
          <w:tcPr>
            <w:tcW w:w="1338" w:type="dxa"/>
            <w:vAlign w:val="center"/>
          </w:tcPr>
          <w:p>
            <w:pPr>
              <w:pStyle w:val="253"/>
              <w:ind w:firstLine="0" w:firstLineChars="0"/>
              <w:jc w:val="center"/>
              <w:rPr>
                <w:sz w:val="18"/>
                <w:szCs w:val="18"/>
              </w:rPr>
            </w:pPr>
            <w:r>
              <w:rPr>
                <w:rFonts w:hint="eastAsia"/>
                <w:sz w:val="18"/>
                <w:szCs w:val="18"/>
              </w:rPr>
              <w:t>0.1601</w:t>
            </w:r>
          </w:p>
        </w:tc>
        <w:tc>
          <w:tcPr>
            <w:tcW w:w="1339" w:type="dxa"/>
            <w:vAlign w:val="center"/>
          </w:tcPr>
          <w:p>
            <w:pPr>
              <w:pStyle w:val="253"/>
              <w:ind w:firstLine="0" w:firstLineChars="0"/>
              <w:jc w:val="center"/>
              <w:rPr>
                <w:sz w:val="18"/>
                <w:szCs w:val="18"/>
              </w:rPr>
            </w:pPr>
            <w:r>
              <w:rPr>
                <w:rFonts w:hint="eastAsia"/>
                <w:sz w:val="18"/>
                <w:szCs w:val="18"/>
              </w:rPr>
              <w:t>0.1674</w:t>
            </w:r>
          </w:p>
        </w:tc>
        <w:tc>
          <w:tcPr>
            <w:tcW w:w="1339" w:type="dxa"/>
            <w:vAlign w:val="center"/>
          </w:tcPr>
          <w:p>
            <w:pPr>
              <w:pStyle w:val="253"/>
              <w:ind w:firstLine="0" w:firstLineChars="0"/>
              <w:jc w:val="center"/>
              <w:rPr>
                <w:sz w:val="18"/>
                <w:szCs w:val="18"/>
              </w:rPr>
            </w:pPr>
            <w:r>
              <w:rPr>
                <w:rFonts w:hint="eastAsia"/>
                <w:sz w:val="18"/>
                <w:szCs w:val="18"/>
              </w:rPr>
              <w:t>0.1711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Align w:val="center"/>
          </w:tcPr>
          <w:p>
            <w:pPr>
              <w:pStyle w:val="253"/>
              <w:ind w:firstLine="0" w:firstLineChars="0"/>
              <w:jc w:val="center"/>
              <w:rPr>
                <w:sz w:val="18"/>
                <w:szCs w:val="18"/>
              </w:rPr>
            </w:pPr>
            <w:r>
              <w:rPr>
                <w:rFonts w:hint="eastAsia"/>
                <w:sz w:val="18"/>
                <w:szCs w:val="18"/>
              </w:rPr>
              <w:t>1.50</w:t>
            </w:r>
          </w:p>
        </w:tc>
        <w:tc>
          <w:tcPr>
            <w:tcW w:w="1320" w:type="dxa"/>
            <w:vMerge w:val="continue"/>
            <w:vAlign w:val="center"/>
          </w:tcPr>
          <w:p>
            <w:pPr>
              <w:pStyle w:val="253"/>
              <w:ind w:firstLine="0" w:firstLineChars="0"/>
              <w:jc w:val="center"/>
              <w:rPr>
                <w:sz w:val="18"/>
                <w:szCs w:val="18"/>
              </w:rPr>
            </w:pPr>
          </w:p>
        </w:tc>
        <w:tc>
          <w:tcPr>
            <w:tcW w:w="1338" w:type="dxa"/>
            <w:vAlign w:val="center"/>
          </w:tcPr>
          <w:p>
            <w:pPr>
              <w:pStyle w:val="253"/>
              <w:ind w:firstLine="0" w:firstLineChars="0"/>
              <w:jc w:val="center"/>
              <w:rPr>
                <w:sz w:val="18"/>
                <w:szCs w:val="18"/>
              </w:rPr>
            </w:pPr>
            <w:r>
              <w:rPr>
                <w:rFonts w:hint="eastAsia"/>
                <w:sz w:val="18"/>
                <w:szCs w:val="18"/>
              </w:rPr>
              <w:t>0.1291</w:t>
            </w:r>
          </w:p>
        </w:tc>
        <w:tc>
          <w:tcPr>
            <w:tcW w:w="1338" w:type="dxa"/>
            <w:vAlign w:val="center"/>
          </w:tcPr>
          <w:p>
            <w:pPr>
              <w:pStyle w:val="253"/>
              <w:ind w:firstLine="0" w:firstLineChars="0"/>
              <w:jc w:val="center"/>
              <w:rPr>
                <w:sz w:val="18"/>
                <w:szCs w:val="18"/>
              </w:rPr>
            </w:pPr>
            <w:r>
              <w:rPr>
                <w:rFonts w:hint="eastAsia"/>
                <w:sz w:val="18"/>
                <w:szCs w:val="18"/>
              </w:rPr>
              <w:t>0.1394</w:t>
            </w:r>
          </w:p>
        </w:tc>
        <w:tc>
          <w:tcPr>
            <w:tcW w:w="1338" w:type="dxa"/>
            <w:vAlign w:val="center"/>
          </w:tcPr>
          <w:p>
            <w:pPr>
              <w:pStyle w:val="253"/>
              <w:ind w:firstLine="0" w:firstLineChars="0"/>
              <w:jc w:val="center"/>
              <w:rPr>
                <w:sz w:val="18"/>
                <w:szCs w:val="18"/>
              </w:rPr>
            </w:pPr>
            <w:r>
              <w:rPr>
                <w:rFonts w:hint="eastAsia"/>
                <w:sz w:val="18"/>
                <w:szCs w:val="18"/>
              </w:rPr>
              <w:t>0.1495</w:t>
            </w:r>
          </w:p>
        </w:tc>
        <w:tc>
          <w:tcPr>
            <w:tcW w:w="1339" w:type="dxa"/>
            <w:vAlign w:val="center"/>
          </w:tcPr>
          <w:p>
            <w:pPr>
              <w:pStyle w:val="253"/>
              <w:ind w:firstLine="0" w:firstLineChars="0"/>
              <w:jc w:val="center"/>
              <w:rPr>
                <w:sz w:val="18"/>
                <w:szCs w:val="18"/>
              </w:rPr>
            </w:pPr>
            <w:r>
              <w:rPr>
                <w:rFonts w:hint="eastAsia"/>
                <w:sz w:val="18"/>
                <w:szCs w:val="18"/>
              </w:rPr>
              <w:t>0.1562</w:t>
            </w:r>
          </w:p>
        </w:tc>
        <w:tc>
          <w:tcPr>
            <w:tcW w:w="1339" w:type="dxa"/>
            <w:vAlign w:val="center"/>
          </w:tcPr>
          <w:p>
            <w:pPr>
              <w:pStyle w:val="253"/>
              <w:ind w:firstLine="0" w:firstLineChars="0"/>
              <w:jc w:val="center"/>
              <w:rPr>
                <w:sz w:val="18"/>
                <w:szCs w:val="18"/>
              </w:rPr>
            </w:pPr>
            <w:r>
              <w:rPr>
                <w:rFonts w:hint="eastAsia"/>
                <w:sz w:val="18"/>
                <w:szCs w:val="18"/>
              </w:rPr>
              <w:t>0.1596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Align w:val="center"/>
          </w:tcPr>
          <w:p>
            <w:pPr>
              <w:pStyle w:val="253"/>
              <w:ind w:firstLine="0" w:firstLineChars="0"/>
              <w:jc w:val="center"/>
              <w:rPr>
                <w:sz w:val="18"/>
                <w:szCs w:val="18"/>
              </w:rPr>
            </w:pPr>
            <w:r>
              <w:rPr>
                <w:rFonts w:hint="eastAsia"/>
                <w:sz w:val="18"/>
                <w:szCs w:val="18"/>
              </w:rPr>
              <w:t>1.80</w:t>
            </w:r>
          </w:p>
        </w:tc>
        <w:tc>
          <w:tcPr>
            <w:tcW w:w="1320" w:type="dxa"/>
            <w:vMerge w:val="continue"/>
            <w:vAlign w:val="center"/>
          </w:tcPr>
          <w:p>
            <w:pPr>
              <w:pStyle w:val="253"/>
              <w:ind w:firstLine="0" w:firstLineChars="0"/>
              <w:jc w:val="center"/>
              <w:rPr>
                <w:sz w:val="18"/>
                <w:szCs w:val="18"/>
              </w:rPr>
            </w:pPr>
          </w:p>
        </w:tc>
        <w:tc>
          <w:tcPr>
            <w:tcW w:w="1338" w:type="dxa"/>
            <w:vAlign w:val="center"/>
          </w:tcPr>
          <w:p>
            <w:pPr>
              <w:pStyle w:val="253"/>
              <w:ind w:firstLine="0" w:firstLineChars="0"/>
              <w:jc w:val="center"/>
              <w:rPr>
                <w:sz w:val="18"/>
                <w:szCs w:val="18"/>
              </w:rPr>
            </w:pPr>
            <w:r>
              <w:rPr>
                <w:rFonts w:hint="eastAsia"/>
                <w:sz w:val="18"/>
                <w:szCs w:val="18"/>
              </w:rPr>
              <w:t>0.1161</w:t>
            </w:r>
          </w:p>
        </w:tc>
        <w:tc>
          <w:tcPr>
            <w:tcW w:w="1338" w:type="dxa"/>
            <w:vAlign w:val="center"/>
          </w:tcPr>
          <w:p>
            <w:pPr>
              <w:pStyle w:val="253"/>
              <w:ind w:firstLine="0" w:firstLineChars="0"/>
              <w:jc w:val="center"/>
              <w:rPr>
                <w:sz w:val="18"/>
                <w:szCs w:val="18"/>
              </w:rPr>
            </w:pPr>
            <w:r>
              <w:rPr>
                <w:rFonts w:hint="eastAsia"/>
                <w:sz w:val="18"/>
                <w:szCs w:val="18"/>
              </w:rPr>
              <w:t>0.1248</w:t>
            </w:r>
          </w:p>
        </w:tc>
        <w:tc>
          <w:tcPr>
            <w:tcW w:w="1338" w:type="dxa"/>
            <w:vAlign w:val="center"/>
          </w:tcPr>
          <w:p>
            <w:pPr>
              <w:pStyle w:val="253"/>
              <w:ind w:firstLine="0" w:firstLineChars="0"/>
              <w:jc w:val="center"/>
              <w:rPr>
                <w:sz w:val="18"/>
                <w:szCs w:val="18"/>
              </w:rPr>
            </w:pPr>
            <w:r>
              <w:rPr>
                <w:rFonts w:hint="eastAsia"/>
                <w:sz w:val="18"/>
                <w:szCs w:val="18"/>
              </w:rPr>
              <w:t>0.1337</w:t>
            </w:r>
          </w:p>
        </w:tc>
        <w:tc>
          <w:tcPr>
            <w:tcW w:w="1339" w:type="dxa"/>
            <w:vAlign w:val="center"/>
          </w:tcPr>
          <w:p>
            <w:pPr>
              <w:pStyle w:val="253"/>
              <w:ind w:firstLine="0" w:firstLineChars="0"/>
              <w:jc w:val="center"/>
              <w:rPr>
                <w:sz w:val="18"/>
                <w:szCs w:val="18"/>
              </w:rPr>
            </w:pPr>
            <w:r>
              <w:rPr>
                <w:rFonts w:hint="eastAsia"/>
                <w:sz w:val="18"/>
                <w:szCs w:val="18"/>
              </w:rPr>
              <w:t>0.1395</w:t>
            </w:r>
          </w:p>
        </w:tc>
        <w:tc>
          <w:tcPr>
            <w:tcW w:w="1339" w:type="dxa"/>
            <w:vAlign w:val="center"/>
          </w:tcPr>
          <w:p>
            <w:pPr>
              <w:pStyle w:val="253"/>
              <w:ind w:firstLine="0" w:firstLineChars="0"/>
              <w:jc w:val="center"/>
              <w:rPr>
                <w:sz w:val="18"/>
                <w:szCs w:val="18"/>
              </w:rPr>
            </w:pPr>
            <w:r>
              <w:rPr>
                <w:rFonts w:hint="eastAsia"/>
                <w:sz w:val="18"/>
                <w:szCs w:val="18"/>
              </w:rPr>
              <w:t>0.1424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332" w:type="dxa"/>
            <w:vAlign w:val="center"/>
          </w:tcPr>
          <w:p>
            <w:pPr>
              <w:pStyle w:val="253"/>
              <w:ind w:firstLine="0" w:firstLineChars="0"/>
              <w:jc w:val="center"/>
              <w:rPr>
                <w:sz w:val="18"/>
                <w:szCs w:val="18"/>
              </w:rPr>
            </w:pPr>
            <w:r>
              <w:rPr>
                <w:rFonts w:hint="eastAsia"/>
                <w:sz w:val="18"/>
                <w:szCs w:val="18"/>
              </w:rPr>
              <w:t>2.00</w:t>
            </w:r>
          </w:p>
        </w:tc>
        <w:tc>
          <w:tcPr>
            <w:tcW w:w="1320" w:type="dxa"/>
            <w:vMerge w:val="continue"/>
            <w:vAlign w:val="center"/>
          </w:tcPr>
          <w:p>
            <w:pPr>
              <w:pStyle w:val="253"/>
              <w:ind w:firstLine="0" w:firstLineChars="0"/>
              <w:jc w:val="center"/>
              <w:rPr>
                <w:sz w:val="18"/>
                <w:szCs w:val="18"/>
              </w:rPr>
            </w:pPr>
          </w:p>
        </w:tc>
        <w:tc>
          <w:tcPr>
            <w:tcW w:w="1338" w:type="dxa"/>
            <w:vAlign w:val="center"/>
          </w:tcPr>
          <w:p>
            <w:pPr>
              <w:pStyle w:val="253"/>
              <w:ind w:firstLine="0" w:firstLineChars="0"/>
              <w:jc w:val="center"/>
              <w:rPr>
                <w:sz w:val="18"/>
                <w:szCs w:val="18"/>
              </w:rPr>
            </w:pPr>
            <w:r>
              <w:rPr>
                <w:rFonts w:hint="eastAsia"/>
                <w:sz w:val="18"/>
                <w:szCs w:val="18"/>
              </w:rPr>
              <w:t>0.1094</w:t>
            </w:r>
          </w:p>
        </w:tc>
        <w:tc>
          <w:tcPr>
            <w:tcW w:w="1338" w:type="dxa"/>
            <w:vAlign w:val="center"/>
          </w:tcPr>
          <w:p>
            <w:pPr>
              <w:pStyle w:val="253"/>
              <w:ind w:firstLine="0" w:firstLineChars="0"/>
              <w:jc w:val="center"/>
              <w:rPr>
                <w:sz w:val="18"/>
                <w:szCs w:val="18"/>
              </w:rPr>
            </w:pPr>
            <w:r>
              <w:rPr>
                <w:rFonts w:hint="eastAsia"/>
                <w:sz w:val="18"/>
                <w:szCs w:val="18"/>
              </w:rPr>
              <w:t>0.1176</w:t>
            </w:r>
          </w:p>
        </w:tc>
        <w:tc>
          <w:tcPr>
            <w:tcW w:w="1338" w:type="dxa"/>
            <w:vAlign w:val="center"/>
          </w:tcPr>
          <w:p>
            <w:pPr>
              <w:pStyle w:val="253"/>
              <w:ind w:firstLine="0" w:firstLineChars="0"/>
              <w:jc w:val="center"/>
              <w:rPr>
                <w:sz w:val="18"/>
                <w:szCs w:val="18"/>
              </w:rPr>
            </w:pPr>
            <w:r>
              <w:rPr>
                <w:rFonts w:hint="eastAsia"/>
                <w:sz w:val="18"/>
                <w:szCs w:val="18"/>
              </w:rPr>
              <w:t>0.1259</w:t>
            </w:r>
          </w:p>
        </w:tc>
        <w:tc>
          <w:tcPr>
            <w:tcW w:w="1339" w:type="dxa"/>
            <w:vAlign w:val="center"/>
          </w:tcPr>
          <w:p>
            <w:pPr>
              <w:pStyle w:val="253"/>
              <w:ind w:firstLine="0" w:firstLineChars="0"/>
              <w:jc w:val="center"/>
              <w:rPr>
                <w:sz w:val="18"/>
                <w:szCs w:val="18"/>
              </w:rPr>
            </w:pPr>
            <w:r>
              <w:rPr>
                <w:rFonts w:hint="eastAsia"/>
                <w:sz w:val="18"/>
                <w:szCs w:val="18"/>
              </w:rPr>
              <w:t>0.1312</w:t>
            </w:r>
          </w:p>
        </w:tc>
        <w:tc>
          <w:tcPr>
            <w:tcW w:w="1339" w:type="dxa"/>
            <w:vAlign w:val="center"/>
          </w:tcPr>
          <w:p>
            <w:pPr>
              <w:pStyle w:val="253"/>
              <w:ind w:firstLine="0" w:firstLineChars="0"/>
              <w:jc w:val="center"/>
              <w:rPr>
                <w:sz w:val="18"/>
                <w:szCs w:val="18"/>
              </w:rPr>
            </w:pPr>
            <w:r>
              <w:rPr>
                <w:rFonts w:hint="eastAsia"/>
                <w:sz w:val="18"/>
                <w:szCs w:val="18"/>
              </w:rPr>
              <w:t>0.1338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344" w:type="dxa"/>
            <w:gridSpan w:val="7"/>
            <w:vAlign w:val="center"/>
          </w:tcPr>
          <w:p>
            <w:pPr>
              <w:pStyle w:val="203"/>
              <w:numPr>
                <w:ilvl w:val="0"/>
                <w:numId w:val="35"/>
              </w:numPr>
            </w:pPr>
            <w:r>
              <w:rPr>
                <w:rFonts w:hint="eastAsia"/>
              </w:rPr>
              <w:t>双排脚手架每米立杆承受的结构自重标准值是指内、外立杆的平均值；</w:t>
            </w:r>
          </w:p>
          <w:p>
            <w:pPr>
              <w:pStyle w:val="203"/>
            </w:pPr>
            <w:r>
              <w:rPr>
                <w:rFonts w:hint="eastAsia"/>
              </w:rPr>
              <w:t>当采用φ51</w:t>
            </w:r>
            <w:r>
              <w:rPr>
                <w:rFonts w:hint="eastAsia" w:hAnsi="黑体"/>
              </w:rPr>
              <w:t>×</w:t>
            </w:r>
            <w:r>
              <w:rPr>
                <w:rFonts w:hint="eastAsia"/>
              </w:rPr>
              <w:t>3钢管时，每米立杆承受的结构自重标准值可按表中数值乘以0.96采用。</w:t>
            </w:r>
          </w:p>
        </w:tc>
      </w:tr>
    </w:tbl>
    <w:p>
      <w:pPr>
        <w:pStyle w:val="234"/>
        <w:numPr>
          <w:ilvl w:val="0"/>
          <w:numId w:val="0"/>
        </w:numPr>
      </w:pPr>
    </w:p>
    <w:p>
      <w:pPr>
        <w:pStyle w:val="234"/>
        <w:rPr>
          <w:rFonts w:ascii="Times New Roman"/>
          <w:spacing w:val="14"/>
        </w:rPr>
      </w:pPr>
      <w:r>
        <w:rPr>
          <w:rFonts w:hint="eastAsia"/>
        </w:rPr>
        <w:t>敞开式钢管脚手架的挡风系数</w:t>
      </w:r>
      <w:r>
        <w:rPr>
          <w:rFonts w:hint="eastAsia" w:hAnsi="宋体"/>
          <w:i/>
          <w:iCs/>
        </w:rPr>
        <w:t>φ</w:t>
      </w:r>
      <w:r>
        <w:rPr>
          <w:rFonts w:hint="eastAsia" w:ascii="Times New Roman"/>
          <w:spacing w:val="14"/>
          <w:vertAlign w:val="subscript"/>
        </w:rPr>
        <w:t>1</w:t>
      </w:r>
      <w:r>
        <w:rPr>
          <w:rFonts w:hint="eastAsia" w:ascii="Times New Roman"/>
          <w:spacing w:val="14"/>
        </w:rPr>
        <w:t>如表A.4所示。</w:t>
      </w:r>
    </w:p>
    <w:p>
      <w:pPr>
        <w:pStyle w:val="296"/>
        <w:numPr>
          <w:ilvl w:val="1"/>
          <w:numId w:val="34"/>
        </w:numPr>
        <w:spacing w:before="156" w:after="156"/>
      </w:pPr>
      <w:r>
        <w:rPr>
          <w:rFonts w:hint="eastAsia"/>
        </w:rPr>
        <w:t>敞开式钢管脚手架的挡风系数</w:t>
      </w:r>
      <w:r>
        <w:rPr>
          <w:rFonts w:hint="eastAsia" w:hAnsi="宋体"/>
          <w:i/>
          <w:iCs/>
        </w:rPr>
        <w:t>φ</w:t>
      </w:r>
      <w:r>
        <w:rPr>
          <w:rFonts w:hint="eastAsia" w:ascii="Times New Roman"/>
          <w:spacing w:val="14"/>
          <w:vertAlign w:val="subscript"/>
        </w:rPr>
        <w:t>1</w:t>
      </w:r>
      <w:r>
        <w:rPr>
          <w:rFonts w:hint="eastAsia"/>
        </w:rPr>
        <w:t>表</w:t>
      </w:r>
    </w:p>
    <w:tbl>
      <w:tblPr>
        <w:tblStyle w:val="4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313"/>
        <w:gridCol w:w="1333"/>
        <w:gridCol w:w="1190"/>
        <w:gridCol w:w="11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79" w:hRule="atLeast"/>
          <w:jc w:val="center"/>
        </w:trPr>
        <w:tc>
          <w:tcPr>
            <w:tcW w:w="1664" w:type="dxa"/>
            <w:vMerge w:val="restart"/>
            <w:tcBorders>
              <w:top w:val="single" w:color="auto" w:sz="8" w:space="0"/>
            </w:tcBorders>
            <w:vAlign w:val="center"/>
          </w:tcPr>
          <w:p>
            <w:pPr>
              <w:pStyle w:val="253"/>
              <w:ind w:firstLine="0" w:firstLineChars="0"/>
              <w:jc w:val="center"/>
              <w:rPr>
                <w:sz w:val="18"/>
                <w:szCs w:val="18"/>
              </w:rPr>
            </w:pPr>
            <w:r>
              <w:rPr>
                <w:sz w:val="18"/>
                <w:szCs w:val="18"/>
              </w:rPr>
              <w:t>步距</w:t>
            </w:r>
            <w:r>
              <w:rPr>
                <w:rFonts w:hint="eastAsia"/>
                <w:sz w:val="18"/>
                <w:szCs w:val="18"/>
              </w:rPr>
              <w:t>h（m）</w:t>
            </w:r>
          </w:p>
        </w:tc>
        <w:tc>
          <w:tcPr>
            <w:tcW w:w="4998" w:type="dxa"/>
            <w:gridSpan w:val="4"/>
            <w:tcBorders>
              <w:top w:val="single" w:color="auto" w:sz="8" w:space="0"/>
            </w:tcBorders>
            <w:vAlign w:val="center"/>
          </w:tcPr>
          <w:p>
            <w:pPr>
              <w:pStyle w:val="253"/>
              <w:ind w:firstLine="0" w:firstLineChars="0"/>
              <w:jc w:val="center"/>
              <w:rPr>
                <w:sz w:val="18"/>
                <w:szCs w:val="18"/>
              </w:rPr>
            </w:pPr>
            <w:r>
              <w:rPr>
                <w:rFonts w:hint="eastAsia"/>
                <w:sz w:val="18"/>
                <w:szCs w:val="18"/>
              </w:rPr>
              <w:t>纵距lb（m）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79" w:hRule="atLeast"/>
          <w:jc w:val="center"/>
        </w:trPr>
        <w:tc>
          <w:tcPr>
            <w:tcW w:w="1664" w:type="dxa"/>
            <w:vMerge w:val="continue"/>
            <w:vAlign w:val="center"/>
          </w:tcPr>
          <w:p>
            <w:pPr>
              <w:pStyle w:val="253"/>
              <w:ind w:firstLine="0" w:firstLineChars="0"/>
              <w:jc w:val="center"/>
              <w:rPr>
                <w:sz w:val="18"/>
                <w:szCs w:val="18"/>
              </w:rPr>
            </w:pPr>
          </w:p>
        </w:tc>
        <w:tc>
          <w:tcPr>
            <w:tcW w:w="1313" w:type="dxa"/>
            <w:tcBorders>
              <w:top w:val="single" w:color="auto" w:sz="8" w:space="0"/>
            </w:tcBorders>
            <w:vAlign w:val="center"/>
          </w:tcPr>
          <w:p>
            <w:pPr>
              <w:pStyle w:val="253"/>
              <w:ind w:firstLine="0" w:firstLineChars="0"/>
              <w:jc w:val="center"/>
              <w:rPr>
                <w:sz w:val="18"/>
                <w:szCs w:val="18"/>
              </w:rPr>
            </w:pPr>
            <w:r>
              <w:rPr>
                <w:rFonts w:hint="eastAsia"/>
                <w:sz w:val="18"/>
                <w:szCs w:val="18"/>
              </w:rPr>
              <w:t>1.2</w:t>
            </w:r>
          </w:p>
        </w:tc>
        <w:tc>
          <w:tcPr>
            <w:tcW w:w="1333" w:type="dxa"/>
            <w:tcBorders>
              <w:top w:val="single" w:color="auto" w:sz="8" w:space="0"/>
            </w:tcBorders>
            <w:vAlign w:val="center"/>
          </w:tcPr>
          <w:p>
            <w:pPr>
              <w:pStyle w:val="253"/>
              <w:ind w:firstLine="0" w:firstLineChars="0"/>
              <w:jc w:val="center"/>
              <w:rPr>
                <w:sz w:val="18"/>
                <w:szCs w:val="18"/>
              </w:rPr>
            </w:pPr>
            <w:r>
              <w:rPr>
                <w:rFonts w:hint="eastAsia"/>
                <w:sz w:val="18"/>
                <w:szCs w:val="18"/>
              </w:rPr>
              <w:t>1.5</w:t>
            </w:r>
          </w:p>
        </w:tc>
        <w:tc>
          <w:tcPr>
            <w:tcW w:w="1190" w:type="dxa"/>
            <w:tcBorders>
              <w:top w:val="single" w:color="auto" w:sz="8" w:space="0"/>
            </w:tcBorders>
            <w:vAlign w:val="center"/>
          </w:tcPr>
          <w:p>
            <w:pPr>
              <w:pStyle w:val="253"/>
              <w:ind w:firstLine="0" w:firstLineChars="0"/>
              <w:jc w:val="center"/>
              <w:rPr>
                <w:sz w:val="18"/>
                <w:szCs w:val="18"/>
              </w:rPr>
            </w:pPr>
            <w:r>
              <w:rPr>
                <w:rFonts w:hint="eastAsia"/>
                <w:sz w:val="18"/>
                <w:szCs w:val="18"/>
              </w:rPr>
              <w:t>1.8</w:t>
            </w:r>
          </w:p>
        </w:tc>
        <w:tc>
          <w:tcPr>
            <w:tcW w:w="1162" w:type="dxa"/>
            <w:tcBorders>
              <w:top w:val="single" w:color="auto" w:sz="8" w:space="0"/>
            </w:tcBorders>
            <w:vAlign w:val="center"/>
          </w:tcPr>
          <w:p>
            <w:pPr>
              <w:pStyle w:val="253"/>
              <w:ind w:firstLine="0" w:firstLineChars="0"/>
              <w:jc w:val="center"/>
              <w:rPr>
                <w:sz w:val="18"/>
                <w:szCs w:val="18"/>
              </w:rPr>
            </w:pPr>
            <w:r>
              <w:rPr>
                <w:rFonts w:hint="eastAsia"/>
                <w:sz w:val="18"/>
                <w:szCs w:val="1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664" w:type="dxa"/>
            <w:tcBorders>
              <w:top w:val="single" w:color="auto" w:sz="8" w:space="0"/>
            </w:tcBorders>
          </w:tcPr>
          <w:p>
            <w:pPr>
              <w:pStyle w:val="253"/>
              <w:ind w:firstLine="0" w:firstLineChars="0"/>
              <w:jc w:val="center"/>
              <w:rPr>
                <w:sz w:val="18"/>
                <w:szCs w:val="18"/>
              </w:rPr>
            </w:pPr>
            <w:r>
              <w:rPr>
                <w:rFonts w:hint="eastAsia"/>
                <w:sz w:val="18"/>
                <w:szCs w:val="18"/>
              </w:rPr>
              <w:t>1.5</w:t>
            </w:r>
          </w:p>
        </w:tc>
        <w:tc>
          <w:tcPr>
            <w:tcW w:w="1313" w:type="dxa"/>
            <w:tcBorders>
              <w:top w:val="single" w:color="auto" w:sz="8" w:space="0"/>
            </w:tcBorders>
          </w:tcPr>
          <w:p>
            <w:pPr>
              <w:pStyle w:val="253"/>
              <w:ind w:firstLine="0" w:firstLineChars="0"/>
              <w:jc w:val="center"/>
              <w:rPr>
                <w:sz w:val="18"/>
                <w:szCs w:val="18"/>
              </w:rPr>
            </w:pPr>
            <w:r>
              <w:rPr>
                <w:rFonts w:hint="eastAsia"/>
                <w:sz w:val="18"/>
                <w:szCs w:val="18"/>
              </w:rPr>
              <w:t>0.182</w:t>
            </w:r>
          </w:p>
        </w:tc>
        <w:tc>
          <w:tcPr>
            <w:tcW w:w="1333" w:type="dxa"/>
            <w:tcBorders>
              <w:top w:val="single" w:color="auto" w:sz="8" w:space="0"/>
            </w:tcBorders>
          </w:tcPr>
          <w:p>
            <w:pPr>
              <w:pStyle w:val="253"/>
              <w:ind w:firstLine="0" w:firstLineChars="0"/>
              <w:jc w:val="center"/>
              <w:rPr>
                <w:sz w:val="18"/>
                <w:szCs w:val="18"/>
              </w:rPr>
            </w:pPr>
            <w:r>
              <w:rPr>
                <w:rFonts w:hint="eastAsia"/>
                <w:sz w:val="18"/>
                <w:szCs w:val="18"/>
              </w:rPr>
              <w:t>0.172</w:t>
            </w:r>
          </w:p>
        </w:tc>
        <w:tc>
          <w:tcPr>
            <w:tcW w:w="1190" w:type="dxa"/>
            <w:tcBorders>
              <w:top w:val="single" w:color="auto" w:sz="8" w:space="0"/>
            </w:tcBorders>
          </w:tcPr>
          <w:p>
            <w:pPr>
              <w:pStyle w:val="253"/>
              <w:ind w:firstLine="0" w:firstLineChars="0"/>
              <w:jc w:val="center"/>
              <w:rPr>
                <w:sz w:val="18"/>
                <w:szCs w:val="18"/>
              </w:rPr>
            </w:pPr>
            <w:r>
              <w:rPr>
                <w:rFonts w:hint="eastAsia"/>
                <w:sz w:val="18"/>
                <w:szCs w:val="18"/>
              </w:rPr>
              <w:t>0.166</w:t>
            </w:r>
          </w:p>
        </w:tc>
        <w:tc>
          <w:tcPr>
            <w:tcW w:w="1162" w:type="dxa"/>
            <w:tcBorders>
              <w:top w:val="single" w:color="auto" w:sz="8" w:space="0"/>
            </w:tcBorders>
          </w:tcPr>
          <w:p>
            <w:pPr>
              <w:pStyle w:val="253"/>
              <w:ind w:firstLine="0" w:firstLineChars="0"/>
              <w:jc w:val="center"/>
              <w:rPr>
                <w:sz w:val="18"/>
                <w:szCs w:val="18"/>
              </w:rPr>
            </w:pPr>
            <w:r>
              <w:rPr>
                <w:rFonts w:hint="eastAsia"/>
                <w:sz w:val="18"/>
                <w:szCs w:val="18"/>
              </w:rPr>
              <w:t>0.163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664" w:type="dxa"/>
          </w:tcPr>
          <w:p>
            <w:pPr>
              <w:pStyle w:val="253"/>
              <w:ind w:firstLine="0" w:firstLineChars="0"/>
              <w:jc w:val="center"/>
              <w:rPr>
                <w:sz w:val="18"/>
                <w:szCs w:val="18"/>
              </w:rPr>
            </w:pPr>
            <w:r>
              <w:rPr>
                <w:rFonts w:hint="eastAsia"/>
                <w:sz w:val="18"/>
                <w:szCs w:val="18"/>
              </w:rPr>
              <w:t>1.7</w:t>
            </w:r>
          </w:p>
        </w:tc>
        <w:tc>
          <w:tcPr>
            <w:tcW w:w="1313" w:type="dxa"/>
          </w:tcPr>
          <w:p>
            <w:pPr>
              <w:pStyle w:val="253"/>
              <w:ind w:firstLine="0" w:firstLineChars="0"/>
              <w:jc w:val="center"/>
              <w:rPr>
                <w:sz w:val="18"/>
                <w:szCs w:val="18"/>
              </w:rPr>
            </w:pPr>
            <w:r>
              <w:rPr>
                <w:rFonts w:hint="eastAsia"/>
                <w:sz w:val="18"/>
                <w:szCs w:val="18"/>
              </w:rPr>
              <w:t>0.168</w:t>
            </w:r>
          </w:p>
        </w:tc>
        <w:tc>
          <w:tcPr>
            <w:tcW w:w="1333" w:type="dxa"/>
          </w:tcPr>
          <w:p>
            <w:pPr>
              <w:pStyle w:val="253"/>
              <w:ind w:firstLine="0" w:firstLineChars="0"/>
              <w:jc w:val="center"/>
              <w:rPr>
                <w:sz w:val="18"/>
                <w:szCs w:val="18"/>
              </w:rPr>
            </w:pPr>
            <w:r>
              <w:rPr>
                <w:rFonts w:hint="eastAsia"/>
                <w:sz w:val="18"/>
                <w:szCs w:val="18"/>
              </w:rPr>
              <w:t>0.159</w:t>
            </w:r>
          </w:p>
        </w:tc>
        <w:tc>
          <w:tcPr>
            <w:tcW w:w="1190" w:type="dxa"/>
          </w:tcPr>
          <w:p>
            <w:pPr>
              <w:pStyle w:val="253"/>
              <w:ind w:firstLine="0" w:firstLineChars="0"/>
              <w:jc w:val="center"/>
              <w:rPr>
                <w:sz w:val="18"/>
                <w:szCs w:val="18"/>
              </w:rPr>
            </w:pPr>
            <w:r>
              <w:rPr>
                <w:rFonts w:hint="eastAsia"/>
                <w:sz w:val="18"/>
                <w:szCs w:val="18"/>
              </w:rPr>
              <w:t>0.152</w:t>
            </w:r>
          </w:p>
        </w:tc>
        <w:tc>
          <w:tcPr>
            <w:tcW w:w="1162" w:type="dxa"/>
          </w:tcPr>
          <w:p>
            <w:pPr>
              <w:pStyle w:val="253"/>
              <w:ind w:firstLine="0" w:firstLineChars="0"/>
              <w:jc w:val="center"/>
              <w:rPr>
                <w:sz w:val="18"/>
                <w:szCs w:val="18"/>
              </w:rPr>
            </w:pPr>
            <w:r>
              <w:rPr>
                <w:rFonts w:hint="eastAsia"/>
                <w:sz w:val="18"/>
                <w:szCs w:val="18"/>
              </w:rPr>
              <w:t>0.149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664" w:type="dxa"/>
            <w:tcBorders>
              <w:bottom w:val="single" w:color="auto" w:sz="4" w:space="0"/>
            </w:tcBorders>
          </w:tcPr>
          <w:p>
            <w:pPr>
              <w:pStyle w:val="253"/>
              <w:ind w:firstLine="0" w:firstLineChars="0"/>
              <w:jc w:val="center"/>
              <w:rPr>
                <w:sz w:val="18"/>
                <w:szCs w:val="18"/>
              </w:rPr>
            </w:pPr>
            <w:r>
              <w:rPr>
                <w:rFonts w:hint="eastAsia"/>
                <w:sz w:val="18"/>
                <w:szCs w:val="18"/>
              </w:rPr>
              <w:t>1.8</w:t>
            </w:r>
          </w:p>
        </w:tc>
        <w:tc>
          <w:tcPr>
            <w:tcW w:w="1313" w:type="dxa"/>
            <w:tcBorders>
              <w:bottom w:val="single" w:color="auto" w:sz="4" w:space="0"/>
            </w:tcBorders>
          </w:tcPr>
          <w:p>
            <w:pPr>
              <w:pStyle w:val="253"/>
              <w:ind w:firstLine="0" w:firstLineChars="0"/>
              <w:jc w:val="center"/>
              <w:rPr>
                <w:sz w:val="18"/>
                <w:szCs w:val="18"/>
              </w:rPr>
            </w:pPr>
            <w:r>
              <w:rPr>
                <w:rFonts w:hint="eastAsia"/>
                <w:sz w:val="18"/>
                <w:szCs w:val="18"/>
              </w:rPr>
              <w:t>0.163</w:t>
            </w:r>
          </w:p>
        </w:tc>
        <w:tc>
          <w:tcPr>
            <w:tcW w:w="1333" w:type="dxa"/>
            <w:tcBorders>
              <w:bottom w:val="single" w:color="auto" w:sz="4" w:space="0"/>
            </w:tcBorders>
          </w:tcPr>
          <w:p>
            <w:pPr>
              <w:pStyle w:val="253"/>
              <w:ind w:firstLine="0" w:firstLineChars="0"/>
              <w:jc w:val="center"/>
              <w:rPr>
                <w:sz w:val="18"/>
                <w:szCs w:val="18"/>
              </w:rPr>
            </w:pPr>
            <w:r>
              <w:rPr>
                <w:rFonts w:hint="eastAsia"/>
                <w:sz w:val="18"/>
                <w:szCs w:val="18"/>
              </w:rPr>
              <w:t>0.153</w:t>
            </w:r>
          </w:p>
        </w:tc>
        <w:tc>
          <w:tcPr>
            <w:tcW w:w="1190" w:type="dxa"/>
            <w:tcBorders>
              <w:bottom w:val="single" w:color="auto" w:sz="4" w:space="0"/>
            </w:tcBorders>
          </w:tcPr>
          <w:p>
            <w:pPr>
              <w:pStyle w:val="253"/>
              <w:ind w:firstLine="0" w:firstLineChars="0"/>
              <w:jc w:val="center"/>
              <w:rPr>
                <w:sz w:val="18"/>
                <w:szCs w:val="18"/>
              </w:rPr>
            </w:pPr>
            <w:r>
              <w:rPr>
                <w:rFonts w:hint="eastAsia"/>
                <w:sz w:val="18"/>
                <w:szCs w:val="18"/>
              </w:rPr>
              <w:t>0.147</w:t>
            </w:r>
          </w:p>
        </w:tc>
        <w:tc>
          <w:tcPr>
            <w:tcW w:w="1162" w:type="dxa"/>
            <w:tcBorders>
              <w:bottom w:val="single" w:color="auto" w:sz="4" w:space="0"/>
            </w:tcBorders>
          </w:tcPr>
          <w:p>
            <w:pPr>
              <w:pStyle w:val="253"/>
              <w:ind w:firstLine="0" w:firstLineChars="0"/>
              <w:jc w:val="center"/>
              <w:rPr>
                <w:sz w:val="18"/>
                <w:szCs w:val="18"/>
              </w:rPr>
            </w:pPr>
            <w:r>
              <w:rPr>
                <w:rFonts w:hint="eastAsia"/>
                <w:sz w:val="18"/>
                <w:szCs w:val="18"/>
              </w:rPr>
              <w:t>0.144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664" w:type="dxa"/>
            <w:tcBorders>
              <w:top w:val="single" w:color="auto" w:sz="4" w:space="0"/>
              <w:bottom w:val="single" w:color="auto" w:sz="8" w:space="0"/>
            </w:tcBorders>
          </w:tcPr>
          <w:p>
            <w:pPr>
              <w:pStyle w:val="253"/>
              <w:ind w:firstLine="0" w:firstLineChars="0"/>
              <w:jc w:val="center"/>
              <w:rPr>
                <w:sz w:val="18"/>
                <w:szCs w:val="18"/>
              </w:rPr>
            </w:pPr>
            <w:r>
              <w:rPr>
                <w:rFonts w:hint="eastAsia"/>
                <w:sz w:val="18"/>
                <w:szCs w:val="18"/>
              </w:rPr>
              <w:t>2.0</w:t>
            </w:r>
          </w:p>
        </w:tc>
        <w:tc>
          <w:tcPr>
            <w:tcW w:w="1313" w:type="dxa"/>
            <w:tcBorders>
              <w:top w:val="single" w:color="auto" w:sz="4" w:space="0"/>
              <w:bottom w:val="single" w:color="auto" w:sz="8" w:space="0"/>
            </w:tcBorders>
          </w:tcPr>
          <w:p>
            <w:pPr>
              <w:pStyle w:val="253"/>
              <w:ind w:firstLine="0" w:firstLineChars="0"/>
              <w:jc w:val="center"/>
              <w:rPr>
                <w:sz w:val="18"/>
                <w:szCs w:val="18"/>
              </w:rPr>
            </w:pPr>
            <w:r>
              <w:rPr>
                <w:rFonts w:hint="eastAsia"/>
                <w:sz w:val="18"/>
                <w:szCs w:val="18"/>
              </w:rPr>
              <w:t>0.153</w:t>
            </w:r>
          </w:p>
        </w:tc>
        <w:tc>
          <w:tcPr>
            <w:tcW w:w="1333" w:type="dxa"/>
            <w:tcBorders>
              <w:top w:val="single" w:color="auto" w:sz="4" w:space="0"/>
              <w:bottom w:val="single" w:color="auto" w:sz="8" w:space="0"/>
            </w:tcBorders>
          </w:tcPr>
          <w:p>
            <w:pPr>
              <w:pStyle w:val="253"/>
              <w:ind w:firstLine="0" w:firstLineChars="0"/>
              <w:jc w:val="center"/>
              <w:rPr>
                <w:sz w:val="18"/>
                <w:szCs w:val="18"/>
              </w:rPr>
            </w:pPr>
            <w:r>
              <w:rPr>
                <w:rFonts w:hint="eastAsia"/>
                <w:sz w:val="18"/>
                <w:szCs w:val="18"/>
              </w:rPr>
              <w:t>0.144</w:t>
            </w:r>
          </w:p>
        </w:tc>
        <w:tc>
          <w:tcPr>
            <w:tcW w:w="1190" w:type="dxa"/>
            <w:tcBorders>
              <w:top w:val="single" w:color="auto" w:sz="4" w:space="0"/>
              <w:bottom w:val="single" w:color="auto" w:sz="8" w:space="0"/>
            </w:tcBorders>
          </w:tcPr>
          <w:p>
            <w:pPr>
              <w:pStyle w:val="253"/>
              <w:ind w:firstLine="0" w:firstLineChars="0"/>
              <w:jc w:val="center"/>
              <w:rPr>
                <w:sz w:val="18"/>
                <w:szCs w:val="18"/>
              </w:rPr>
            </w:pPr>
            <w:r>
              <w:rPr>
                <w:rFonts w:hint="eastAsia"/>
                <w:sz w:val="18"/>
                <w:szCs w:val="18"/>
              </w:rPr>
              <w:t>0.137</w:t>
            </w:r>
          </w:p>
        </w:tc>
        <w:tc>
          <w:tcPr>
            <w:tcW w:w="1162" w:type="dxa"/>
            <w:tcBorders>
              <w:top w:val="single" w:color="auto" w:sz="4" w:space="0"/>
              <w:bottom w:val="single" w:color="auto" w:sz="8" w:space="0"/>
            </w:tcBorders>
          </w:tcPr>
          <w:p>
            <w:pPr>
              <w:pStyle w:val="253"/>
              <w:ind w:firstLine="0" w:firstLineChars="0"/>
              <w:jc w:val="center"/>
              <w:rPr>
                <w:sz w:val="18"/>
                <w:szCs w:val="18"/>
              </w:rPr>
            </w:pPr>
            <w:r>
              <w:rPr>
                <w:rFonts w:hint="eastAsia"/>
                <w:sz w:val="18"/>
                <w:szCs w:val="18"/>
              </w:rPr>
              <w:t>0.134</w:t>
            </w:r>
          </w:p>
        </w:tc>
      </w:tr>
    </w:tbl>
    <w:p>
      <w:pPr>
        <w:pStyle w:val="234"/>
        <w:numPr>
          <w:ilvl w:val="0"/>
          <w:numId w:val="0"/>
        </w:numPr>
      </w:pPr>
    </w:p>
    <w:p>
      <w:pPr>
        <w:pStyle w:val="234"/>
      </w:pPr>
      <w:r>
        <w:t>轴心受压构件的稳定系数φ</w:t>
      </w:r>
      <w:r>
        <w:rPr>
          <w:rFonts w:hint="eastAsia"/>
        </w:rPr>
        <w:t>如表A.5所示。</w:t>
      </w:r>
    </w:p>
    <w:p>
      <w:pPr>
        <w:pStyle w:val="296"/>
        <w:numPr>
          <w:ilvl w:val="1"/>
          <w:numId w:val="34"/>
        </w:numPr>
        <w:spacing w:before="156" w:after="156"/>
      </w:pPr>
      <w:r>
        <w:t>轴心受压构件的稳定系数φ(Q235钢)</w:t>
      </w:r>
    </w:p>
    <w:tbl>
      <w:tblPr>
        <w:tblStyle w:val="46"/>
        <w:tblW w:w="101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952"/>
        <w:gridCol w:w="953"/>
        <w:gridCol w:w="953"/>
        <w:gridCol w:w="953"/>
        <w:gridCol w:w="953"/>
        <w:gridCol w:w="953"/>
        <w:gridCol w:w="953"/>
        <w:gridCol w:w="953"/>
        <w:gridCol w:w="954"/>
        <w:gridCol w:w="6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λ</w:t>
            </w:r>
          </w:p>
        </w:tc>
        <w:tc>
          <w:tcPr>
            <w:tcW w:w="952" w:type="dxa"/>
            <w:vAlign w:val="center"/>
          </w:tcPr>
          <w:p>
            <w:pPr>
              <w:pStyle w:val="253"/>
              <w:ind w:firstLine="0" w:firstLineChars="0"/>
              <w:jc w:val="center"/>
              <w:rPr>
                <w:sz w:val="18"/>
                <w:szCs w:val="18"/>
              </w:rPr>
            </w:pPr>
            <w:r>
              <w:rPr>
                <w:sz w:val="18"/>
                <w:szCs w:val="18"/>
              </w:rPr>
              <w:t>0</w:t>
            </w:r>
          </w:p>
        </w:tc>
        <w:tc>
          <w:tcPr>
            <w:tcW w:w="953" w:type="dxa"/>
            <w:vAlign w:val="center"/>
          </w:tcPr>
          <w:p>
            <w:pPr>
              <w:pStyle w:val="253"/>
              <w:ind w:firstLine="0" w:firstLineChars="0"/>
              <w:jc w:val="center"/>
              <w:rPr>
                <w:sz w:val="18"/>
                <w:szCs w:val="18"/>
              </w:rPr>
            </w:pPr>
            <w:r>
              <w:rPr>
                <w:sz w:val="18"/>
                <w:szCs w:val="18"/>
              </w:rPr>
              <w:t>1</w:t>
            </w:r>
          </w:p>
        </w:tc>
        <w:tc>
          <w:tcPr>
            <w:tcW w:w="953" w:type="dxa"/>
            <w:vAlign w:val="center"/>
          </w:tcPr>
          <w:p>
            <w:pPr>
              <w:pStyle w:val="253"/>
              <w:ind w:firstLine="0" w:firstLineChars="0"/>
              <w:jc w:val="center"/>
              <w:rPr>
                <w:sz w:val="18"/>
                <w:szCs w:val="18"/>
              </w:rPr>
            </w:pPr>
            <w:r>
              <w:rPr>
                <w:sz w:val="18"/>
                <w:szCs w:val="18"/>
              </w:rPr>
              <w:t>2</w:t>
            </w:r>
          </w:p>
        </w:tc>
        <w:tc>
          <w:tcPr>
            <w:tcW w:w="953" w:type="dxa"/>
            <w:vAlign w:val="center"/>
          </w:tcPr>
          <w:p>
            <w:pPr>
              <w:pStyle w:val="253"/>
              <w:ind w:firstLine="0" w:firstLineChars="0"/>
              <w:jc w:val="center"/>
              <w:rPr>
                <w:sz w:val="18"/>
                <w:szCs w:val="18"/>
              </w:rPr>
            </w:pPr>
            <w:r>
              <w:rPr>
                <w:sz w:val="18"/>
                <w:szCs w:val="18"/>
              </w:rPr>
              <w:t>3</w:t>
            </w:r>
          </w:p>
        </w:tc>
        <w:tc>
          <w:tcPr>
            <w:tcW w:w="953" w:type="dxa"/>
            <w:vAlign w:val="center"/>
          </w:tcPr>
          <w:p>
            <w:pPr>
              <w:pStyle w:val="253"/>
              <w:ind w:firstLine="0" w:firstLineChars="0"/>
              <w:jc w:val="center"/>
              <w:rPr>
                <w:sz w:val="18"/>
                <w:szCs w:val="18"/>
              </w:rPr>
            </w:pPr>
            <w:r>
              <w:rPr>
                <w:sz w:val="18"/>
                <w:szCs w:val="18"/>
              </w:rPr>
              <w:t>4</w:t>
            </w:r>
          </w:p>
        </w:tc>
        <w:tc>
          <w:tcPr>
            <w:tcW w:w="953" w:type="dxa"/>
            <w:vAlign w:val="center"/>
          </w:tcPr>
          <w:p>
            <w:pPr>
              <w:pStyle w:val="253"/>
              <w:ind w:firstLine="0" w:firstLineChars="0"/>
              <w:jc w:val="center"/>
              <w:rPr>
                <w:sz w:val="18"/>
                <w:szCs w:val="18"/>
              </w:rPr>
            </w:pPr>
            <w:r>
              <w:rPr>
                <w:sz w:val="18"/>
                <w:szCs w:val="18"/>
              </w:rPr>
              <w:t>5</w:t>
            </w:r>
          </w:p>
        </w:tc>
        <w:tc>
          <w:tcPr>
            <w:tcW w:w="953" w:type="dxa"/>
            <w:vAlign w:val="center"/>
          </w:tcPr>
          <w:p>
            <w:pPr>
              <w:pStyle w:val="253"/>
              <w:ind w:firstLine="0" w:firstLineChars="0"/>
              <w:jc w:val="center"/>
              <w:rPr>
                <w:sz w:val="18"/>
                <w:szCs w:val="18"/>
              </w:rPr>
            </w:pPr>
            <w:r>
              <w:rPr>
                <w:sz w:val="18"/>
                <w:szCs w:val="18"/>
              </w:rPr>
              <w:t>6</w:t>
            </w:r>
          </w:p>
        </w:tc>
        <w:tc>
          <w:tcPr>
            <w:tcW w:w="953" w:type="dxa"/>
            <w:vAlign w:val="center"/>
          </w:tcPr>
          <w:p>
            <w:pPr>
              <w:pStyle w:val="253"/>
              <w:ind w:firstLine="0" w:firstLineChars="0"/>
              <w:jc w:val="center"/>
              <w:rPr>
                <w:sz w:val="18"/>
                <w:szCs w:val="18"/>
              </w:rPr>
            </w:pPr>
            <w:r>
              <w:rPr>
                <w:sz w:val="18"/>
                <w:szCs w:val="18"/>
              </w:rPr>
              <w:t>7</w:t>
            </w:r>
          </w:p>
        </w:tc>
        <w:tc>
          <w:tcPr>
            <w:tcW w:w="954" w:type="dxa"/>
            <w:vAlign w:val="center"/>
          </w:tcPr>
          <w:p>
            <w:pPr>
              <w:pStyle w:val="253"/>
              <w:ind w:firstLine="0" w:firstLineChars="0"/>
              <w:jc w:val="center"/>
              <w:rPr>
                <w:sz w:val="18"/>
                <w:szCs w:val="18"/>
              </w:rPr>
            </w:pPr>
            <w:r>
              <w:rPr>
                <w:sz w:val="18"/>
                <w:szCs w:val="18"/>
              </w:rPr>
              <w:t>8</w:t>
            </w:r>
          </w:p>
        </w:tc>
        <w:tc>
          <w:tcPr>
            <w:tcW w:w="0" w:type="auto"/>
            <w:vAlign w:val="center"/>
          </w:tcPr>
          <w:p>
            <w:pPr>
              <w:pStyle w:val="253"/>
              <w:ind w:firstLine="0" w:firstLineChars="0"/>
              <w:jc w:val="cente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0</w:t>
            </w:r>
          </w:p>
        </w:tc>
        <w:tc>
          <w:tcPr>
            <w:tcW w:w="952" w:type="dxa"/>
            <w:vAlign w:val="center"/>
          </w:tcPr>
          <w:p>
            <w:pPr>
              <w:pStyle w:val="253"/>
              <w:ind w:firstLine="0" w:firstLineChars="0"/>
              <w:jc w:val="center"/>
              <w:rPr>
                <w:sz w:val="18"/>
                <w:szCs w:val="18"/>
              </w:rPr>
            </w:pPr>
            <w:r>
              <w:rPr>
                <w:sz w:val="18"/>
                <w:szCs w:val="18"/>
              </w:rPr>
              <w:t>1.000</w:t>
            </w:r>
          </w:p>
        </w:tc>
        <w:tc>
          <w:tcPr>
            <w:tcW w:w="953" w:type="dxa"/>
            <w:vAlign w:val="center"/>
          </w:tcPr>
          <w:p>
            <w:pPr>
              <w:pStyle w:val="253"/>
              <w:ind w:firstLine="0" w:firstLineChars="0"/>
              <w:jc w:val="center"/>
              <w:rPr>
                <w:sz w:val="18"/>
                <w:szCs w:val="18"/>
              </w:rPr>
            </w:pPr>
            <w:r>
              <w:rPr>
                <w:sz w:val="18"/>
                <w:szCs w:val="18"/>
              </w:rPr>
              <w:t>0.997</w:t>
            </w:r>
          </w:p>
        </w:tc>
        <w:tc>
          <w:tcPr>
            <w:tcW w:w="953" w:type="dxa"/>
            <w:vAlign w:val="center"/>
          </w:tcPr>
          <w:p>
            <w:pPr>
              <w:pStyle w:val="253"/>
              <w:ind w:firstLine="0" w:firstLineChars="0"/>
              <w:jc w:val="center"/>
              <w:rPr>
                <w:sz w:val="18"/>
                <w:szCs w:val="18"/>
              </w:rPr>
            </w:pPr>
            <w:r>
              <w:rPr>
                <w:sz w:val="18"/>
                <w:szCs w:val="18"/>
              </w:rPr>
              <w:t>0.995</w:t>
            </w:r>
          </w:p>
        </w:tc>
        <w:tc>
          <w:tcPr>
            <w:tcW w:w="953" w:type="dxa"/>
            <w:vAlign w:val="center"/>
          </w:tcPr>
          <w:p>
            <w:pPr>
              <w:pStyle w:val="253"/>
              <w:ind w:firstLine="0" w:firstLineChars="0"/>
              <w:jc w:val="center"/>
              <w:rPr>
                <w:sz w:val="18"/>
                <w:szCs w:val="18"/>
              </w:rPr>
            </w:pPr>
            <w:r>
              <w:rPr>
                <w:sz w:val="18"/>
                <w:szCs w:val="18"/>
              </w:rPr>
              <w:t>0.992</w:t>
            </w:r>
          </w:p>
        </w:tc>
        <w:tc>
          <w:tcPr>
            <w:tcW w:w="953" w:type="dxa"/>
            <w:vAlign w:val="center"/>
          </w:tcPr>
          <w:p>
            <w:pPr>
              <w:pStyle w:val="253"/>
              <w:ind w:firstLine="0" w:firstLineChars="0"/>
              <w:jc w:val="center"/>
              <w:rPr>
                <w:sz w:val="18"/>
                <w:szCs w:val="18"/>
              </w:rPr>
            </w:pPr>
            <w:r>
              <w:rPr>
                <w:sz w:val="18"/>
                <w:szCs w:val="18"/>
              </w:rPr>
              <w:t>0.989</w:t>
            </w:r>
          </w:p>
        </w:tc>
        <w:tc>
          <w:tcPr>
            <w:tcW w:w="953" w:type="dxa"/>
            <w:vAlign w:val="center"/>
          </w:tcPr>
          <w:p>
            <w:pPr>
              <w:pStyle w:val="253"/>
              <w:ind w:firstLine="0" w:firstLineChars="0"/>
              <w:jc w:val="center"/>
              <w:rPr>
                <w:sz w:val="18"/>
                <w:szCs w:val="18"/>
              </w:rPr>
            </w:pPr>
            <w:r>
              <w:rPr>
                <w:sz w:val="18"/>
                <w:szCs w:val="18"/>
              </w:rPr>
              <w:t>0.987</w:t>
            </w:r>
          </w:p>
        </w:tc>
        <w:tc>
          <w:tcPr>
            <w:tcW w:w="953" w:type="dxa"/>
            <w:vAlign w:val="center"/>
          </w:tcPr>
          <w:p>
            <w:pPr>
              <w:pStyle w:val="253"/>
              <w:ind w:firstLine="0" w:firstLineChars="0"/>
              <w:jc w:val="center"/>
              <w:rPr>
                <w:sz w:val="18"/>
                <w:szCs w:val="18"/>
              </w:rPr>
            </w:pPr>
            <w:r>
              <w:rPr>
                <w:sz w:val="18"/>
                <w:szCs w:val="18"/>
              </w:rPr>
              <w:t>0.984</w:t>
            </w:r>
          </w:p>
        </w:tc>
        <w:tc>
          <w:tcPr>
            <w:tcW w:w="953" w:type="dxa"/>
            <w:vAlign w:val="center"/>
          </w:tcPr>
          <w:p>
            <w:pPr>
              <w:pStyle w:val="253"/>
              <w:ind w:firstLine="0" w:firstLineChars="0"/>
              <w:jc w:val="center"/>
              <w:rPr>
                <w:sz w:val="18"/>
                <w:szCs w:val="18"/>
              </w:rPr>
            </w:pPr>
            <w:r>
              <w:rPr>
                <w:sz w:val="18"/>
                <w:szCs w:val="18"/>
              </w:rPr>
              <w:t>0.981</w:t>
            </w:r>
          </w:p>
        </w:tc>
        <w:tc>
          <w:tcPr>
            <w:tcW w:w="954" w:type="dxa"/>
            <w:vAlign w:val="center"/>
          </w:tcPr>
          <w:p>
            <w:pPr>
              <w:pStyle w:val="253"/>
              <w:ind w:firstLine="0" w:firstLineChars="0"/>
              <w:jc w:val="center"/>
              <w:rPr>
                <w:sz w:val="18"/>
                <w:szCs w:val="18"/>
              </w:rPr>
            </w:pPr>
            <w:r>
              <w:rPr>
                <w:sz w:val="18"/>
                <w:szCs w:val="18"/>
              </w:rPr>
              <w:t>0.979</w:t>
            </w:r>
          </w:p>
        </w:tc>
        <w:tc>
          <w:tcPr>
            <w:tcW w:w="0" w:type="auto"/>
            <w:vAlign w:val="center"/>
          </w:tcPr>
          <w:p>
            <w:pPr>
              <w:pStyle w:val="253"/>
              <w:ind w:firstLine="0" w:firstLineChars="0"/>
              <w:jc w:val="center"/>
              <w:rPr>
                <w:sz w:val="18"/>
                <w:szCs w:val="18"/>
              </w:rPr>
            </w:pPr>
            <w:r>
              <w:rPr>
                <w:sz w:val="18"/>
                <w:szCs w:val="18"/>
              </w:rPr>
              <w:t>0.976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10</w:t>
            </w:r>
          </w:p>
        </w:tc>
        <w:tc>
          <w:tcPr>
            <w:tcW w:w="952" w:type="dxa"/>
            <w:vAlign w:val="center"/>
          </w:tcPr>
          <w:p>
            <w:pPr>
              <w:pStyle w:val="253"/>
              <w:ind w:firstLine="0" w:firstLineChars="0"/>
              <w:jc w:val="center"/>
              <w:rPr>
                <w:sz w:val="18"/>
                <w:szCs w:val="18"/>
              </w:rPr>
            </w:pPr>
            <w:r>
              <w:rPr>
                <w:sz w:val="18"/>
                <w:szCs w:val="18"/>
              </w:rPr>
              <w:t>0.974</w:t>
            </w:r>
          </w:p>
        </w:tc>
        <w:tc>
          <w:tcPr>
            <w:tcW w:w="953" w:type="dxa"/>
            <w:vAlign w:val="center"/>
          </w:tcPr>
          <w:p>
            <w:pPr>
              <w:pStyle w:val="253"/>
              <w:ind w:firstLine="0" w:firstLineChars="0"/>
              <w:jc w:val="center"/>
              <w:rPr>
                <w:sz w:val="18"/>
                <w:szCs w:val="18"/>
              </w:rPr>
            </w:pPr>
            <w:r>
              <w:rPr>
                <w:sz w:val="18"/>
                <w:szCs w:val="18"/>
              </w:rPr>
              <w:t>0.971</w:t>
            </w:r>
          </w:p>
        </w:tc>
        <w:tc>
          <w:tcPr>
            <w:tcW w:w="953" w:type="dxa"/>
            <w:vAlign w:val="center"/>
          </w:tcPr>
          <w:p>
            <w:pPr>
              <w:pStyle w:val="253"/>
              <w:ind w:firstLine="0" w:firstLineChars="0"/>
              <w:jc w:val="center"/>
              <w:rPr>
                <w:sz w:val="18"/>
                <w:szCs w:val="18"/>
              </w:rPr>
            </w:pPr>
            <w:r>
              <w:rPr>
                <w:sz w:val="18"/>
                <w:szCs w:val="18"/>
              </w:rPr>
              <w:t>0.968</w:t>
            </w:r>
          </w:p>
        </w:tc>
        <w:tc>
          <w:tcPr>
            <w:tcW w:w="953" w:type="dxa"/>
            <w:vAlign w:val="center"/>
          </w:tcPr>
          <w:p>
            <w:pPr>
              <w:pStyle w:val="253"/>
              <w:ind w:firstLine="0" w:firstLineChars="0"/>
              <w:jc w:val="center"/>
              <w:rPr>
                <w:sz w:val="18"/>
                <w:szCs w:val="18"/>
              </w:rPr>
            </w:pPr>
            <w:r>
              <w:rPr>
                <w:sz w:val="18"/>
                <w:szCs w:val="18"/>
              </w:rPr>
              <w:t>0.966</w:t>
            </w:r>
          </w:p>
        </w:tc>
        <w:tc>
          <w:tcPr>
            <w:tcW w:w="953" w:type="dxa"/>
            <w:vAlign w:val="center"/>
          </w:tcPr>
          <w:p>
            <w:pPr>
              <w:pStyle w:val="253"/>
              <w:ind w:firstLine="0" w:firstLineChars="0"/>
              <w:jc w:val="center"/>
              <w:rPr>
                <w:sz w:val="18"/>
                <w:szCs w:val="18"/>
              </w:rPr>
            </w:pPr>
            <w:r>
              <w:rPr>
                <w:sz w:val="18"/>
                <w:szCs w:val="18"/>
              </w:rPr>
              <w:t>0.963</w:t>
            </w:r>
          </w:p>
        </w:tc>
        <w:tc>
          <w:tcPr>
            <w:tcW w:w="953" w:type="dxa"/>
            <w:vAlign w:val="center"/>
          </w:tcPr>
          <w:p>
            <w:pPr>
              <w:pStyle w:val="253"/>
              <w:ind w:firstLine="0" w:firstLineChars="0"/>
              <w:jc w:val="center"/>
              <w:rPr>
                <w:sz w:val="18"/>
                <w:szCs w:val="18"/>
              </w:rPr>
            </w:pPr>
            <w:r>
              <w:rPr>
                <w:sz w:val="18"/>
                <w:szCs w:val="18"/>
              </w:rPr>
              <w:t>0.960</w:t>
            </w:r>
          </w:p>
        </w:tc>
        <w:tc>
          <w:tcPr>
            <w:tcW w:w="953" w:type="dxa"/>
            <w:vAlign w:val="center"/>
          </w:tcPr>
          <w:p>
            <w:pPr>
              <w:pStyle w:val="253"/>
              <w:ind w:firstLine="0" w:firstLineChars="0"/>
              <w:jc w:val="center"/>
              <w:rPr>
                <w:sz w:val="18"/>
                <w:szCs w:val="18"/>
              </w:rPr>
            </w:pPr>
            <w:r>
              <w:rPr>
                <w:sz w:val="18"/>
                <w:szCs w:val="18"/>
              </w:rPr>
              <w:t>0.958</w:t>
            </w:r>
          </w:p>
        </w:tc>
        <w:tc>
          <w:tcPr>
            <w:tcW w:w="953" w:type="dxa"/>
            <w:vAlign w:val="center"/>
          </w:tcPr>
          <w:p>
            <w:pPr>
              <w:pStyle w:val="253"/>
              <w:ind w:firstLine="0" w:firstLineChars="0"/>
              <w:jc w:val="center"/>
              <w:rPr>
                <w:sz w:val="18"/>
                <w:szCs w:val="18"/>
              </w:rPr>
            </w:pPr>
            <w:r>
              <w:rPr>
                <w:sz w:val="18"/>
                <w:szCs w:val="18"/>
              </w:rPr>
              <w:t>0.955</w:t>
            </w:r>
          </w:p>
        </w:tc>
        <w:tc>
          <w:tcPr>
            <w:tcW w:w="954" w:type="dxa"/>
            <w:vAlign w:val="center"/>
          </w:tcPr>
          <w:p>
            <w:pPr>
              <w:pStyle w:val="253"/>
              <w:ind w:firstLine="0" w:firstLineChars="0"/>
              <w:jc w:val="center"/>
              <w:rPr>
                <w:sz w:val="18"/>
                <w:szCs w:val="18"/>
              </w:rPr>
            </w:pPr>
            <w:r>
              <w:rPr>
                <w:sz w:val="18"/>
                <w:szCs w:val="18"/>
              </w:rPr>
              <w:t>0.952</w:t>
            </w:r>
          </w:p>
        </w:tc>
        <w:tc>
          <w:tcPr>
            <w:tcW w:w="0" w:type="auto"/>
            <w:vAlign w:val="center"/>
          </w:tcPr>
          <w:p>
            <w:pPr>
              <w:pStyle w:val="253"/>
              <w:ind w:firstLine="0" w:firstLineChars="0"/>
              <w:jc w:val="center"/>
              <w:rPr>
                <w:sz w:val="18"/>
                <w:szCs w:val="18"/>
              </w:rPr>
            </w:pPr>
            <w:r>
              <w:rPr>
                <w:sz w:val="18"/>
                <w:szCs w:val="18"/>
              </w:rPr>
              <w:t>0.949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20</w:t>
            </w:r>
          </w:p>
        </w:tc>
        <w:tc>
          <w:tcPr>
            <w:tcW w:w="952" w:type="dxa"/>
            <w:vAlign w:val="center"/>
          </w:tcPr>
          <w:p>
            <w:pPr>
              <w:pStyle w:val="253"/>
              <w:ind w:firstLine="0" w:firstLineChars="0"/>
              <w:jc w:val="center"/>
              <w:rPr>
                <w:sz w:val="18"/>
                <w:szCs w:val="18"/>
              </w:rPr>
            </w:pPr>
            <w:r>
              <w:rPr>
                <w:sz w:val="18"/>
                <w:szCs w:val="18"/>
              </w:rPr>
              <w:t>0.947</w:t>
            </w:r>
          </w:p>
        </w:tc>
        <w:tc>
          <w:tcPr>
            <w:tcW w:w="953" w:type="dxa"/>
            <w:vAlign w:val="center"/>
          </w:tcPr>
          <w:p>
            <w:pPr>
              <w:pStyle w:val="253"/>
              <w:ind w:firstLine="0" w:firstLineChars="0"/>
              <w:jc w:val="center"/>
              <w:rPr>
                <w:sz w:val="18"/>
                <w:szCs w:val="18"/>
              </w:rPr>
            </w:pPr>
            <w:r>
              <w:rPr>
                <w:sz w:val="18"/>
                <w:szCs w:val="18"/>
              </w:rPr>
              <w:t>0.944</w:t>
            </w:r>
          </w:p>
        </w:tc>
        <w:tc>
          <w:tcPr>
            <w:tcW w:w="953" w:type="dxa"/>
            <w:vAlign w:val="center"/>
          </w:tcPr>
          <w:p>
            <w:pPr>
              <w:pStyle w:val="253"/>
              <w:ind w:firstLine="0" w:firstLineChars="0"/>
              <w:jc w:val="center"/>
              <w:rPr>
                <w:sz w:val="18"/>
                <w:szCs w:val="18"/>
              </w:rPr>
            </w:pPr>
            <w:r>
              <w:rPr>
                <w:sz w:val="18"/>
                <w:szCs w:val="18"/>
              </w:rPr>
              <w:t>0.941</w:t>
            </w:r>
          </w:p>
        </w:tc>
        <w:tc>
          <w:tcPr>
            <w:tcW w:w="953" w:type="dxa"/>
            <w:vAlign w:val="center"/>
          </w:tcPr>
          <w:p>
            <w:pPr>
              <w:pStyle w:val="253"/>
              <w:ind w:firstLine="0" w:firstLineChars="0"/>
              <w:jc w:val="center"/>
              <w:rPr>
                <w:sz w:val="18"/>
                <w:szCs w:val="18"/>
              </w:rPr>
            </w:pPr>
            <w:r>
              <w:rPr>
                <w:sz w:val="18"/>
                <w:szCs w:val="18"/>
              </w:rPr>
              <w:t>0.938</w:t>
            </w:r>
          </w:p>
        </w:tc>
        <w:tc>
          <w:tcPr>
            <w:tcW w:w="953" w:type="dxa"/>
            <w:vAlign w:val="center"/>
          </w:tcPr>
          <w:p>
            <w:pPr>
              <w:pStyle w:val="253"/>
              <w:ind w:firstLine="0" w:firstLineChars="0"/>
              <w:jc w:val="center"/>
              <w:rPr>
                <w:sz w:val="18"/>
                <w:szCs w:val="18"/>
              </w:rPr>
            </w:pPr>
            <w:r>
              <w:rPr>
                <w:sz w:val="18"/>
                <w:szCs w:val="18"/>
              </w:rPr>
              <w:t>0.936</w:t>
            </w:r>
          </w:p>
        </w:tc>
        <w:tc>
          <w:tcPr>
            <w:tcW w:w="953" w:type="dxa"/>
            <w:vAlign w:val="center"/>
          </w:tcPr>
          <w:p>
            <w:pPr>
              <w:pStyle w:val="253"/>
              <w:ind w:firstLine="0" w:firstLineChars="0"/>
              <w:jc w:val="center"/>
              <w:rPr>
                <w:sz w:val="18"/>
                <w:szCs w:val="18"/>
              </w:rPr>
            </w:pPr>
            <w:r>
              <w:rPr>
                <w:sz w:val="18"/>
                <w:szCs w:val="18"/>
              </w:rPr>
              <w:t>0.933</w:t>
            </w:r>
          </w:p>
        </w:tc>
        <w:tc>
          <w:tcPr>
            <w:tcW w:w="953" w:type="dxa"/>
            <w:vAlign w:val="center"/>
          </w:tcPr>
          <w:p>
            <w:pPr>
              <w:pStyle w:val="253"/>
              <w:ind w:firstLine="0" w:firstLineChars="0"/>
              <w:jc w:val="center"/>
              <w:rPr>
                <w:sz w:val="18"/>
                <w:szCs w:val="18"/>
              </w:rPr>
            </w:pPr>
            <w:r>
              <w:rPr>
                <w:sz w:val="18"/>
                <w:szCs w:val="18"/>
              </w:rPr>
              <w:t>0.930</w:t>
            </w:r>
          </w:p>
        </w:tc>
        <w:tc>
          <w:tcPr>
            <w:tcW w:w="953" w:type="dxa"/>
            <w:vAlign w:val="center"/>
          </w:tcPr>
          <w:p>
            <w:pPr>
              <w:pStyle w:val="253"/>
              <w:ind w:firstLine="0" w:firstLineChars="0"/>
              <w:jc w:val="center"/>
              <w:rPr>
                <w:sz w:val="18"/>
                <w:szCs w:val="18"/>
              </w:rPr>
            </w:pPr>
            <w:r>
              <w:rPr>
                <w:sz w:val="18"/>
                <w:szCs w:val="18"/>
              </w:rPr>
              <w:t>0.927</w:t>
            </w:r>
          </w:p>
        </w:tc>
        <w:tc>
          <w:tcPr>
            <w:tcW w:w="954" w:type="dxa"/>
            <w:vAlign w:val="center"/>
          </w:tcPr>
          <w:p>
            <w:pPr>
              <w:pStyle w:val="253"/>
              <w:ind w:firstLine="0" w:firstLineChars="0"/>
              <w:jc w:val="center"/>
              <w:rPr>
                <w:sz w:val="18"/>
                <w:szCs w:val="18"/>
              </w:rPr>
            </w:pPr>
            <w:r>
              <w:rPr>
                <w:sz w:val="18"/>
                <w:szCs w:val="18"/>
              </w:rPr>
              <w:t>0.924</w:t>
            </w:r>
          </w:p>
        </w:tc>
        <w:tc>
          <w:tcPr>
            <w:tcW w:w="0" w:type="auto"/>
            <w:vAlign w:val="center"/>
          </w:tcPr>
          <w:p>
            <w:pPr>
              <w:pStyle w:val="253"/>
              <w:ind w:firstLine="0" w:firstLineChars="0"/>
              <w:jc w:val="center"/>
              <w:rPr>
                <w:sz w:val="18"/>
                <w:szCs w:val="18"/>
              </w:rPr>
            </w:pPr>
            <w:r>
              <w:rPr>
                <w:sz w:val="18"/>
                <w:szCs w:val="18"/>
              </w:rPr>
              <w:t>0.921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30</w:t>
            </w:r>
          </w:p>
        </w:tc>
        <w:tc>
          <w:tcPr>
            <w:tcW w:w="952" w:type="dxa"/>
            <w:vAlign w:val="center"/>
          </w:tcPr>
          <w:p>
            <w:pPr>
              <w:pStyle w:val="253"/>
              <w:ind w:firstLine="0" w:firstLineChars="0"/>
              <w:jc w:val="center"/>
              <w:rPr>
                <w:sz w:val="18"/>
                <w:szCs w:val="18"/>
              </w:rPr>
            </w:pPr>
            <w:r>
              <w:rPr>
                <w:sz w:val="18"/>
                <w:szCs w:val="18"/>
              </w:rPr>
              <w:t>0.918</w:t>
            </w:r>
          </w:p>
        </w:tc>
        <w:tc>
          <w:tcPr>
            <w:tcW w:w="953" w:type="dxa"/>
            <w:vAlign w:val="center"/>
          </w:tcPr>
          <w:p>
            <w:pPr>
              <w:pStyle w:val="253"/>
              <w:ind w:firstLine="0" w:firstLineChars="0"/>
              <w:jc w:val="center"/>
              <w:rPr>
                <w:sz w:val="18"/>
                <w:szCs w:val="18"/>
              </w:rPr>
            </w:pPr>
            <w:r>
              <w:rPr>
                <w:sz w:val="18"/>
                <w:szCs w:val="18"/>
              </w:rPr>
              <w:t>0.915</w:t>
            </w:r>
          </w:p>
        </w:tc>
        <w:tc>
          <w:tcPr>
            <w:tcW w:w="953" w:type="dxa"/>
            <w:vAlign w:val="center"/>
          </w:tcPr>
          <w:p>
            <w:pPr>
              <w:pStyle w:val="253"/>
              <w:ind w:firstLine="0" w:firstLineChars="0"/>
              <w:jc w:val="center"/>
              <w:rPr>
                <w:sz w:val="18"/>
                <w:szCs w:val="18"/>
              </w:rPr>
            </w:pPr>
            <w:r>
              <w:rPr>
                <w:sz w:val="18"/>
                <w:szCs w:val="18"/>
              </w:rPr>
              <w:t>0.912</w:t>
            </w:r>
          </w:p>
        </w:tc>
        <w:tc>
          <w:tcPr>
            <w:tcW w:w="953" w:type="dxa"/>
            <w:vAlign w:val="center"/>
          </w:tcPr>
          <w:p>
            <w:pPr>
              <w:pStyle w:val="253"/>
              <w:ind w:firstLine="0" w:firstLineChars="0"/>
              <w:jc w:val="center"/>
              <w:rPr>
                <w:sz w:val="18"/>
                <w:szCs w:val="18"/>
              </w:rPr>
            </w:pPr>
            <w:r>
              <w:rPr>
                <w:sz w:val="18"/>
                <w:szCs w:val="18"/>
              </w:rPr>
              <w:t>0.909</w:t>
            </w:r>
          </w:p>
        </w:tc>
        <w:tc>
          <w:tcPr>
            <w:tcW w:w="953" w:type="dxa"/>
            <w:vAlign w:val="center"/>
          </w:tcPr>
          <w:p>
            <w:pPr>
              <w:pStyle w:val="253"/>
              <w:ind w:firstLine="0" w:firstLineChars="0"/>
              <w:jc w:val="center"/>
              <w:rPr>
                <w:sz w:val="18"/>
                <w:szCs w:val="18"/>
              </w:rPr>
            </w:pPr>
            <w:r>
              <w:rPr>
                <w:sz w:val="18"/>
                <w:szCs w:val="18"/>
              </w:rPr>
              <w:t>0.906</w:t>
            </w:r>
          </w:p>
        </w:tc>
        <w:tc>
          <w:tcPr>
            <w:tcW w:w="953" w:type="dxa"/>
            <w:vAlign w:val="center"/>
          </w:tcPr>
          <w:p>
            <w:pPr>
              <w:pStyle w:val="253"/>
              <w:ind w:firstLine="0" w:firstLineChars="0"/>
              <w:jc w:val="center"/>
              <w:rPr>
                <w:sz w:val="18"/>
                <w:szCs w:val="18"/>
              </w:rPr>
            </w:pPr>
            <w:r>
              <w:rPr>
                <w:sz w:val="18"/>
                <w:szCs w:val="18"/>
              </w:rPr>
              <w:t>0.903</w:t>
            </w:r>
          </w:p>
        </w:tc>
        <w:tc>
          <w:tcPr>
            <w:tcW w:w="953" w:type="dxa"/>
            <w:vAlign w:val="center"/>
          </w:tcPr>
          <w:p>
            <w:pPr>
              <w:pStyle w:val="253"/>
              <w:ind w:firstLine="0" w:firstLineChars="0"/>
              <w:jc w:val="center"/>
              <w:rPr>
                <w:sz w:val="18"/>
                <w:szCs w:val="18"/>
              </w:rPr>
            </w:pPr>
            <w:r>
              <w:rPr>
                <w:sz w:val="18"/>
                <w:szCs w:val="18"/>
              </w:rPr>
              <w:t>0.899</w:t>
            </w:r>
          </w:p>
        </w:tc>
        <w:tc>
          <w:tcPr>
            <w:tcW w:w="953" w:type="dxa"/>
            <w:vAlign w:val="center"/>
          </w:tcPr>
          <w:p>
            <w:pPr>
              <w:pStyle w:val="253"/>
              <w:ind w:firstLine="0" w:firstLineChars="0"/>
              <w:jc w:val="center"/>
              <w:rPr>
                <w:sz w:val="18"/>
                <w:szCs w:val="18"/>
              </w:rPr>
            </w:pPr>
            <w:r>
              <w:rPr>
                <w:sz w:val="18"/>
                <w:szCs w:val="18"/>
              </w:rPr>
              <w:t>0.896</w:t>
            </w:r>
          </w:p>
        </w:tc>
        <w:tc>
          <w:tcPr>
            <w:tcW w:w="954" w:type="dxa"/>
            <w:vAlign w:val="center"/>
          </w:tcPr>
          <w:p>
            <w:pPr>
              <w:pStyle w:val="253"/>
              <w:ind w:firstLine="0" w:firstLineChars="0"/>
              <w:jc w:val="center"/>
              <w:rPr>
                <w:sz w:val="18"/>
                <w:szCs w:val="18"/>
              </w:rPr>
            </w:pPr>
            <w:r>
              <w:rPr>
                <w:sz w:val="18"/>
                <w:szCs w:val="18"/>
              </w:rPr>
              <w:t>0.893</w:t>
            </w:r>
          </w:p>
        </w:tc>
        <w:tc>
          <w:tcPr>
            <w:tcW w:w="0" w:type="auto"/>
            <w:vAlign w:val="center"/>
          </w:tcPr>
          <w:p>
            <w:pPr>
              <w:pStyle w:val="253"/>
              <w:ind w:firstLine="0" w:firstLineChars="0"/>
              <w:jc w:val="center"/>
              <w:rPr>
                <w:sz w:val="18"/>
                <w:szCs w:val="18"/>
              </w:rPr>
            </w:pPr>
            <w:r>
              <w:rPr>
                <w:sz w:val="18"/>
                <w:szCs w:val="18"/>
              </w:rPr>
              <w:t>0.889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40</w:t>
            </w:r>
          </w:p>
        </w:tc>
        <w:tc>
          <w:tcPr>
            <w:tcW w:w="952" w:type="dxa"/>
            <w:vAlign w:val="center"/>
          </w:tcPr>
          <w:p>
            <w:pPr>
              <w:pStyle w:val="253"/>
              <w:ind w:firstLine="0" w:firstLineChars="0"/>
              <w:jc w:val="center"/>
              <w:rPr>
                <w:sz w:val="18"/>
                <w:szCs w:val="18"/>
              </w:rPr>
            </w:pPr>
            <w:r>
              <w:rPr>
                <w:sz w:val="18"/>
                <w:szCs w:val="18"/>
              </w:rPr>
              <w:t>0.886</w:t>
            </w:r>
          </w:p>
        </w:tc>
        <w:tc>
          <w:tcPr>
            <w:tcW w:w="953" w:type="dxa"/>
            <w:vAlign w:val="center"/>
          </w:tcPr>
          <w:p>
            <w:pPr>
              <w:pStyle w:val="253"/>
              <w:ind w:firstLine="0" w:firstLineChars="0"/>
              <w:jc w:val="center"/>
              <w:rPr>
                <w:sz w:val="18"/>
                <w:szCs w:val="18"/>
              </w:rPr>
            </w:pPr>
            <w:r>
              <w:rPr>
                <w:sz w:val="18"/>
                <w:szCs w:val="18"/>
              </w:rPr>
              <w:t>0.882</w:t>
            </w:r>
          </w:p>
        </w:tc>
        <w:tc>
          <w:tcPr>
            <w:tcW w:w="953" w:type="dxa"/>
            <w:vAlign w:val="center"/>
          </w:tcPr>
          <w:p>
            <w:pPr>
              <w:pStyle w:val="253"/>
              <w:ind w:firstLine="0" w:firstLineChars="0"/>
              <w:jc w:val="center"/>
              <w:rPr>
                <w:sz w:val="18"/>
                <w:szCs w:val="18"/>
              </w:rPr>
            </w:pPr>
            <w:r>
              <w:rPr>
                <w:sz w:val="18"/>
                <w:szCs w:val="18"/>
              </w:rPr>
              <w:t>0.879</w:t>
            </w:r>
          </w:p>
        </w:tc>
        <w:tc>
          <w:tcPr>
            <w:tcW w:w="953" w:type="dxa"/>
            <w:vAlign w:val="center"/>
          </w:tcPr>
          <w:p>
            <w:pPr>
              <w:pStyle w:val="253"/>
              <w:ind w:firstLine="0" w:firstLineChars="0"/>
              <w:jc w:val="center"/>
              <w:rPr>
                <w:sz w:val="18"/>
                <w:szCs w:val="18"/>
              </w:rPr>
            </w:pPr>
            <w:r>
              <w:rPr>
                <w:sz w:val="18"/>
                <w:szCs w:val="18"/>
              </w:rPr>
              <w:t>0.875</w:t>
            </w:r>
          </w:p>
        </w:tc>
        <w:tc>
          <w:tcPr>
            <w:tcW w:w="953" w:type="dxa"/>
            <w:vAlign w:val="center"/>
          </w:tcPr>
          <w:p>
            <w:pPr>
              <w:pStyle w:val="253"/>
              <w:ind w:firstLine="0" w:firstLineChars="0"/>
              <w:jc w:val="center"/>
              <w:rPr>
                <w:sz w:val="18"/>
                <w:szCs w:val="18"/>
              </w:rPr>
            </w:pPr>
            <w:r>
              <w:rPr>
                <w:sz w:val="18"/>
                <w:szCs w:val="18"/>
              </w:rPr>
              <w:t>0.872</w:t>
            </w:r>
          </w:p>
        </w:tc>
        <w:tc>
          <w:tcPr>
            <w:tcW w:w="953" w:type="dxa"/>
            <w:vAlign w:val="center"/>
          </w:tcPr>
          <w:p>
            <w:pPr>
              <w:pStyle w:val="253"/>
              <w:ind w:firstLine="0" w:firstLineChars="0"/>
              <w:jc w:val="center"/>
              <w:rPr>
                <w:sz w:val="18"/>
                <w:szCs w:val="18"/>
              </w:rPr>
            </w:pPr>
            <w:r>
              <w:rPr>
                <w:sz w:val="18"/>
                <w:szCs w:val="18"/>
              </w:rPr>
              <w:t>0.868</w:t>
            </w:r>
          </w:p>
        </w:tc>
        <w:tc>
          <w:tcPr>
            <w:tcW w:w="953" w:type="dxa"/>
            <w:vAlign w:val="center"/>
          </w:tcPr>
          <w:p>
            <w:pPr>
              <w:pStyle w:val="253"/>
              <w:ind w:firstLine="0" w:firstLineChars="0"/>
              <w:jc w:val="center"/>
              <w:rPr>
                <w:sz w:val="18"/>
                <w:szCs w:val="18"/>
              </w:rPr>
            </w:pPr>
            <w:r>
              <w:rPr>
                <w:sz w:val="18"/>
                <w:szCs w:val="18"/>
              </w:rPr>
              <w:t>0.864</w:t>
            </w:r>
          </w:p>
        </w:tc>
        <w:tc>
          <w:tcPr>
            <w:tcW w:w="953" w:type="dxa"/>
            <w:vAlign w:val="center"/>
          </w:tcPr>
          <w:p>
            <w:pPr>
              <w:pStyle w:val="253"/>
              <w:ind w:firstLine="0" w:firstLineChars="0"/>
              <w:jc w:val="center"/>
              <w:rPr>
                <w:sz w:val="18"/>
                <w:szCs w:val="18"/>
              </w:rPr>
            </w:pPr>
            <w:r>
              <w:rPr>
                <w:sz w:val="18"/>
                <w:szCs w:val="18"/>
              </w:rPr>
              <w:t>0.861</w:t>
            </w:r>
          </w:p>
        </w:tc>
        <w:tc>
          <w:tcPr>
            <w:tcW w:w="954" w:type="dxa"/>
            <w:vAlign w:val="center"/>
          </w:tcPr>
          <w:p>
            <w:pPr>
              <w:pStyle w:val="253"/>
              <w:ind w:firstLine="0" w:firstLineChars="0"/>
              <w:jc w:val="center"/>
              <w:rPr>
                <w:sz w:val="18"/>
                <w:szCs w:val="18"/>
              </w:rPr>
            </w:pPr>
            <w:r>
              <w:rPr>
                <w:sz w:val="18"/>
                <w:szCs w:val="18"/>
              </w:rPr>
              <w:t>0.858</w:t>
            </w:r>
          </w:p>
        </w:tc>
        <w:tc>
          <w:tcPr>
            <w:tcW w:w="0" w:type="auto"/>
            <w:vAlign w:val="center"/>
          </w:tcPr>
          <w:p>
            <w:pPr>
              <w:pStyle w:val="253"/>
              <w:ind w:firstLine="0" w:firstLineChars="0"/>
              <w:jc w:val="center"/>
              <w:rPr>
                <w:sz w:val="18"/>
                <w:szCs w:val="18"/>
              </w:rPr>
            </w:pPr>
            <w:r>
              <w:rPr>
                <w:sz w:val="18"/>
                <w:szCs w:val="18"/>
              </w:rPr>
              <w:t>0.855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50</w:t>
            </w:r>
          </w:p>
        </w:tc>
        <w:tc>
          <w:tcPr>
            <w:tcW w:w="952" w:type="dxa"/>
            <w:vAlign w:val="center"/>
          </w:tcPr>
          <w:p>
            <w:pPr>
              <w:pStyle w:val="253"/>
              <w:ind w:firstLine="0" w:firstLineChars="0"/>
              <w:jc w:val="center"/>
              <w:rPr>
                <w:sz w:val="18"/>
                <w:szCs w:val="18"/>
              </w:rPr>
            </w:pPr>
            <w:r>
              <w:rPr>
                <w:sz w:val="18"/>
                <w:szCs w:val="18"/>
              </w:rPr>
              <w:t>0.852</w:t>
            </w:r>
          </w:p>
        </w:tc>
        <w:tc>
          <w:tcPr>
            <w:tcW w:w="953" w:type="dxa"/>
            <w:vAlign w:val="center"/>
          </w:tcPr>
          <w:p>
            <w:pPr>
              <w:pStyle w:val="253"/>
              <w:ind w:firstLine="0" w:firstLineChars="0"/>
              <w:jc w:val="center"/>
              <w:rPr>
                <w:sz w:val="18"/>
                <w:szCs w:val="18"/>
              </w:rPr>
            </w:pPr>
            <w:r>
              <w:rPr>
                <w:sz w:val="18"/>
                <w:szCs w:val="18"/>
              </w:rPr>
              <w:t>0.849</w:t>
            </w:r>
          </w:p>
        </w:tc>
        <w:tc>
          <w:tcPr>
            <w:tcW w:w="953" w:type="dxa"/>
            <w:vAlign w:val="center"/>
          </w:tcPr>
          <w:p>
            <w:pPr>
              <w:pStyle w:val="253"/>
              <w:ind w:firstLine="0" w:firstLineChars="0"/>
              <w:jc w:val="center"/>
              <w:rPr>
                <w:sz w:val="18"/>
                <w:szCs w:val="18"/>
              </w:rPr>
            </w:pPr>
            <w:r>
              <w:rPr>
                <w:sz w:val="18"/>
                <w:szCs w:val="18"/>
              </w:rPr>
              <w:t>0.846</w:t>
            </w:r>
          </w:p>
        </w:tc>
        <w:tc>
          <w:tcPr>
            <w:tcW w:w="953" w:type="dxa"/>
            <w:vAlign w:val="center"/>
          </w:tcPr>
          <w:p>
            <w:pPr>
              <w:pStyle w:val="253"/>
              <w:ind w:firstLine="0" w:firstLineChars="0"/>
              <w:jc w:val="center"/>
              <w:rPr>
                <w:sz w:val="18"/>
                <w:szCs w:val="18"/>
              </w:rPr>
            </w:pPr>
            <w:r>
              <w:rPr>
                <w:sz w:val="18"/>
                <w:szCs w:val="18"/>
              </w:rPr>
              <w:t>0.843</w:t>
            </w:r>
          </w:p>
        </w:tc>
        <w:tc>
          <w:tcPr>
            <w:tcW w:w="953" w:type="dxa"/>
            <w:vAlign w:val="center"/>
          </w:tcPr>
          <w:p>
            <w:pPr>
              <w:pStyle w:val="253"/>
              <w:ind w:firstLine="0" w:firstLineChars="0"/>
              <w:jc w:val="center"/>
              <w:rPr>
                <w:sz w:val="18"/>
                <w:szCs w:val="18"/>
              </w:rPr>
            </w:pPr>
            <w:r>
              <w:rPr>
                <w:sz w:val="18"/>
                <w:szCs w:val="18"/>
              </w:rPr>
              <w:t>0.839</w:t>
            </w:r>
          </w:p>
        </w:tc>
        <w:tc>
          <w:tcPr>
            <w:tcW w:w="953" w:type="dxa"/>
            <w:vAlign w:val="center"/>
          </w:tcPr>
          <w:p>
            <w:pPr>
              <w:pStyle w:val="253"/>
              <w:ind w:firstLine="0" w:firstLineChars="0"/>
              <w:jc w:val="center"/>
              <w:rPr>
                <w:sz w:val="18"/>
                <w:szCs w:val="18"/>
              </w:rPr>
            </w:pPr>
            <w:r>
              <w:rPr>
                <w:sz w:val="18"/>
                <w:szCs w:val="18"/>
              </w:rPr>
              <w:t>0.836</w:t>
            </w:r>
          </w:p>
        </w:tc>
        <w:tc>
          <w:tcPr>
            <w:tcW w:w="953" w:type="dxa"/>
            <w:vAlign w:val="center"/>
          </w:tcPr>
          <w:p>
            <w:pPr>
              <w:pStyle w:val="253"/>
              <w:ind w:firstLine="0" w:firstLineChars="0"/>
              <w:jc w:val="center"/>
              <w:rPr>
                <w:sz w:val="18"/>
                <w:szCs w:val="18"/>
              </w:rPr>
            </w:pPr>
            <w:r>
              <w:rPr>
                <w:sz w:val="18"/>
                <w:szCs w:val="18"/>
              </w:rPr>
              <w:t>0.832</w:t>
            </w:r>
          </w:p>
        </w:tc>
        <w:tc>
          <w:tcPr>
            <w:tcW w:w="953" w:type="dxa"/>
            <w:vAlign w:val="center"/>
          </w:tcPr>
          <w:p>
            <w:pPr>
              <w:pStyle w:val="253"/>
              <w:ind w:firstLine="0" w:firstLineChars="0"/>
              <w:jc w:val="center"/>
              <w:rPr>
                <w:sz w:val="18"/>
                <w:szCs w:val="18"/>
              </w:rPr>
            </w:pPr>
            <w:r>
              <w:rPr>
                <w:sz w:val="18"/>
                <w:szCs w:val="18"/>
              </w:rPr>
              <w:t>0.829</w:t>
            </w:r>
          </w:p>
        </w:tc>
        <w:tc>
          <w:tcPr>
            <w:tcW w:w="954" w:type="dxa"/>
            <w:vAlign w:val="center"/>
          </w:tcPr>
          <w:p>
            <w:pPr>
              <w:pStyle w:val="253"/>
              <w:ind w:firstLine="0" w:firstLineChars="0"/>
              <w:jc w:val="center"/>
              <w:rPr>
                <w:sz w:val="18"/>
                <w:szCs w:val="18"/>
              </w:rPr>
            </w:pPr>
            <w:r>
              <w:rPr>
                <w:sz w:val="18"/>
                <w:szCs w:val="18"/>
              </w:rPr>
              <w:t>0.825</w:t>
            </w:r>
          </w:p>
        </w:tc>
        <w:tc>
          <w:tcPr>
            <w:tcW w:w="0" w:type="auto"/>
            <w:vAlign w:val="center"/>
          </w:tcPr>
          <w:p>
            <w:pPr>
              <w:pStyle w:val="253"/>
              <w:ind w:firstLine="0" w:firstLineChars="0"/>
              <w:jc w:val="center"/>
              <w:rPr>
                <w:sz w:val="18"/>
                <w:szCs w:val="18"/>
              </w:rPr>
            </w:pPr>
            <w:r>
              <w:rPr>
                <w:sz w:val="18"/>
                <w:szCs w:val="18"/>
              </w:rPr>
              <w:t>0.822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60</w:t>
            </w:r>
          </w:p>
        </w:tc>
        <w:tc>
          <w:tcPr>
            <w:tcW w:w="952" w:type="dxa"/>
            <w:vAlign w:val="center"/>
          </w:tcPr>
          <w:p>
            <w:pPr>
              <w:pStyle w:val="253"/>
              <w:ind w:firstLine="0" w:firstLineChars="0"/>
              <w:jc w:val="center"/>
              <w:rPr>
                <w:sz w:val="18"/>
                <w:szCs w:val="18"/>
              </w:rPr>
            </w:pPr>
            <w:r>
              <w:rPr>
                <w:sz w:val="18"/>
                <w:szCs w:val="18"/>
              </w:rPr>
              <w:t>0.818</w:t>
            </w:r>
          </w:p>
        </w:tc>
        <w:tc>
          <w:tcPr>
            <w:tcW w:w="953" w:type="dxa"/>
            <w:vAlign w:val="center"/>
          </w:tcPr>
          <w:p>
            <w:pPr>
              <w:pStyle w:val="253"/>
              <w:ind w:firstLine="0" w:firstLineChars="0"/>
              <w:jc w:val="center"/>
              <w:rPr>
                <w:sz w:val="18"/>
                <w:szCs w:val="18"/>
              </w:rPr>
            </w:pPr>
            <w:r>
              <w:rPr>
                <w:sz w:val="18"/>
                <w:szCs w:val="18"/>
              </w:rPr>
              <w:t>0.814</w:t>
            </w:r>
          </w:p>
        </w:tc>
        <w:tc>
          <w:tcPr>
            <w:tcW w:w="953" w:type="dxa"/>
            <w:vAlign w:val="center"/>
          </w:tcPr>
          <w:p>
            <w:pPr>
              <w:pStyle w:val="253"/>
              <w:ind w:firstLine="0" w:firstLineChars="0"/>
              <w:jc w:val="center"/>
              <w:rPr>
                <w:sz w:val="18"/>
                <w:szCs w:val="18"/>
              </w:rPr>
            </w:pPr>
            <w:r>
              <w:rPr>
                <w:sz w:val="18"/>
                <w:szCs w:val="18"/>
              </w:rPr>
              <w:t>0.810</w:t>
            </w:r>
          </w:p>
        </w:tc>
        <w:tc>
          <w:tcPr>
            <w:tcW w:w="953" w:type="dxa"/>
            <w:vAlign w:val="center"/>
          </w:tcPr>
          <w:p>
            <w:pPr>
              <w:pStyle w:val="253"/>
              <w:ind w:firstLine="0" w:firstLineChars="0"/>
              <w:jc w:val="center"/>
              <w:rPr>
                <w:sz w:val="18"/>
                <w:szCs w:val="18"/>
              </w:rPr>
            </w:pPr>
            <w:r>
              <w:rPr>
                <w:sz w:val="18"/>
                <w:szCs w:val="18"/>
              </w:rPr>
              <w:t>0.806</w:t>
            </w:r>
          </w:p>
        </w:tc>
        <w:tc>
          <w:tcPr>
            <w:tcW w:w="953" w:type="dxa"/>
            <w:vAlign w:val="center"/>
          </w:tcPr>
          <w:p>
            <w:pPr>
              <w:pStyle w:val="253"/>
              <w:ind w:firstLine="0" w:firstLineChars="0"/>
              <w:jc w:val="center"/>
              <w:rPr>
                <w:sz w:val="18"/>
                <w:szCs w:val="18"/>
              </w:rPr>
            </w:pPr>
            <w:r>
              <w:rPr>
                <w:sz w:val="18"/>
                <w:szCs w:val="18"/>
              </w:rPr>
              <w:t>0.802</w:t>
            </w:r>
          </w:p>
        </w:tc>
        <w:tc>
          <w:tcPr>
            <w:tcW w:w="953" w:type="dxa"/>
            <w:vAlign w:val="center"/>
          </w:tcPr>
          <w:p>
            <w:pPr>
              <w:pStyle w:val="253"/>
              <w:ind w:firstLine="0" w:firstLineChars="0"/>
              <w:jc w:val="center"/>
              <w:rPr>
                <w:sz w:val="18"/>
                <w:szCs w:val="18"/>
              </w:rPr>
            </w:pPr>
            <w:r>
              <w:rPr>
                <w:sz w:val="18"/>
                <w:szCs w:val="18"/>
              </w:rPr>
              <w:t>0.797</w:t>
            </w:r>
          </w:p>
        </w:tc>
        <w:tc>
          <w:tcPr>
            <w:tcW w:w="953" w:type="dxa"/>
            <w:vAlign w:val="center"/>
          </w:tcPr>
          <w:p>
            <w:pPr>
              <w:pStyle w:val="253"/>
              <w:ind w:firstLine="0" w:firstLineChars="0"/>
              <w:jc w:val="center"/>
              <w:rPr>
                <w:sz w:val="18"/>
                <w:szCs w:val="18"/>
              </w:rPr>
            </w:pPr>
            <w:r>
              <w:rPr>
                <w:sz w:val="18"/>
                <w:szCs w:val="18"/>
              </w:rPr>
              <w:t>0.793</w:t>
            </w:r>
          </w:p>
        </w:tc>
        <w:tc>
          <w:tcPr>
            <w:tcW w:w="953" w:type="dxa"/>
            <w:vAlign w:val="center"/>
          </w:tcPr>
          <w:p>
            <w:pPr>
              <w:pStyle w:val="253"/>
              <w:ind w:firstLine="0" w:firstLineChars="0"/>
              <w:jc w:val="center"/>
              <w:rPr>
                <w:sz w:val="18"/>
                <w:szCs w:val="18"/>
              </w:rPr>
            </w:pPr>
            <w:r>
              <w:rPr>
                <w:sz w:val="18"/>
                <w:szCs w:val="18"/>
              </w:rPr>
              <w:t>0.789</w:t>
            </w:r>
          </w:p>
        </w:tc>
        <w:tc>
          <w:tcPr>
            <w:tcW w:w="954" w:type="dxa"/>
            <w:vAlign w:val="center"/>
          </w:tcPr>
          <w:p>
            <w:pPr>
              <w:pStyle w:val="253"/>
              <w:ind w:firstLine="0" w:firstLineChars="0"/>
              <w:jc w:val="center"/>
              <w:rPr>
                <w:sz w:val="18"/>
                <w:szCs w:val="18"/>
              </w:rPr>
            </w:pPr>
            <w:r>
              <w:rPr>
                <w:sz w:val="18"/>
                <w:szCs w:val="18"/>
              </w:rPr>
              <w:t>0.784</w:t>
            </w:r>
          </w:p>
        </w:tc>
        <w:tc>
          <w:tcPr>
            <w:tcW w:w="0" w:type="auto"/>
            <w:vAlign w:val="center"/>
          </w:tcPr>
          <w:p>
            <w:pPr>
              <w:pStyle w:val="253"/>
              <w:ind w:firstLine="0" w:firstLineChars="0"/>
              <w:jc w:val="center"/>
              <w:rPr>
                <w:sz w:val="18"/>
                <w:szCs w:val="18"/>
              </w:rPr>
            </w:pPr>
            <w:r>
              <w:rPr>
                <w:sz w:val="18"/>
                <w:szCs w:val="18"/>
              </w:rPr>
              <w:t>0.779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70</w:t>
            </w:r>
          </w:p>
        </w:tc>
        <w:tc>
          <w:tcPr>
            <w:tcW w:w="952" w:type="dxa"/>
            <w:vAlign w:val="center"/>
          </w:tcPr>
          <w:p>
            <w:pPr>
              <w:pStyle w:val="253"/>
              <w:ind w:firstLine="0" w:firstLineChars="0"/>
              <w:jc w:val="center"/>
              <w:rPr>
                <w:sz w:val="18"/>
                <w:szCs w:val="18"/>
              </w:rPr>
            </w:pPr>
            <w:r>
              <w:rPr>
                <w:sz w:val="18"/>
                <w:szCs w:val="18"/>
              </w:rPr>
              <w:t>0.775</w:t>
            </w:r>
          </w:p>
        </w:tc>
        <w:tc>
          <w:tcPr>
            <w:tcW w:w="953" w:type="dxa"/>
            <w:vAlign w:val="center"/>
          </w:tcPr>
          <w:p>
            <w:pPr>
              <w:pStyle w:val="253"/>
              <w:ind w:firstLine="0" w:firstLineChars="0"/>
              <w:jc w:val="center"/>
              <w:rPr>
                <w:sz w:val="18"/>
                <w:szCs w:val="18"/>
              </w:rPr>
            </w:pPr>
            <w:r>
              <w:rPr>
                <w:sz w:val="18"/>
                <w:szCs w:val="18"/>
              </w:rPr>
              <w:t>0.770</w:t>
            </w:r>
          </w:p>
        </w:tc>
        <w:tc>
          <w:tcPr>
            <w:tcW w:w="953" w:type="dxa"/>
            <w:vAlign w:val="center"/>
          </w:tcPr>
          <w:p>
            <w:pPr>
              <w:pStyle w:val="253"/>
              <w:ind w:firstLine="0" w:firstLineChars="0"/>
              <w:jc w:val="center"/>
              <w:rPr>
                <w:sz w:val="18"/>
                <w:szCs w:val="18"/>
              </w:rPr>
            </w:pPr>
            <w:r>
              <w:rPr>
                <w:sz w:val="18"/>
                <w:szCs w:val="18"/>
              </w:rPr>
              <w:t>0.765</w:t>
            </w:r>
          </w:p>
        </w:tc>
        <w:tc>
          <w:tcPr>
            <w:tcW w:w="953" w:type="dxa"/>
            <w:vAlign w:val="center"/>
          </w:tcPr>
          <w:p>
            <w:pPr>
              <w:pStyle w:val="253"/>
              <w:ind w:firstLine="0" w:firstLineChars="0"/>
              <w:jc w:val="center"/>
              <w:rPr>
                <w:sz w:val="18"/>
                <w:szCs w:val="18"/>
              </w:rPr>
            </w:pPr>
            <w:r>
              <w:rPr>
                <w:sz w:val="18"/>
                <w:szCs w:val="18"/>
              </w:rPr>
              <w:t>0.760</w:t>
            </w:r>
          </w:p>
        </w:tc>
        <w:tc>
          <w:tcPr>
            <w:tcW w:w="953" w:type="dxa"/>
            <w:vAlign w:val="center"/>
          </w:tcPr>
          <w:p>
            <w:pPr>
              <w:pStyle w:val="253"/>
              <w:ind w:firstLine="0" w:firstLineChars="0"/>
              <w:jc w:val="center"/>
              <w:rPr>
                <w:sz w:val="18"/>
                <w:szCs w:val="18"/>
              </w:rPr>
            </w:pPr>
            <w:r>
              <w:rPr>
                <w:sz w:val="18"/>
                <w:szCs w:val="18"/>
              </w:rPr>
              <w:t>0.755</w:t>
            </w:r>
          </w:p>
        </w:tc>
        <w:tc>
          <w:tcPr>
            <w:tcW w:w="953" w:type="dxa"/>
            <w:vAlign w:val="center"/>
          </w:tcPr>
          <w:p>
            <w:pPr>
              <w:pStyle w:val="253"/>
              <w:ind w:firstLine="0" w:firstLineChars="0"/>
              <w:jc w:val="center"/>
              <w:rPr>
                <w:sz w:val="18"/>
                <w:szCs w:val="18"/>
              </w:rPr>
            </w:pPr>
            <w:r>
              <w:rPr>
                <w:sz w:val="18"/>
                <w:szCs w:val="18"/>
              </w:rPr>
              <w:t>0.750</w:t>
            </w:r>
          </w:p>
        </w:tc>
        <w:tc>
          <w:tcPr>
            <w:tcW w:w="953" w:type="dxa"/>
            <w:vAlign w:val="center"/>
          </w:tcPr>
          <w:p>
            <w:pPr>
              <w:pStyle w:val="253"/>
              <w:ind w:firstLine="0" w:firstLineChars="0"/>
              <w:jc w:val="center"/>
              <w:rPr>
                <w:sz w:val="18"/>
                <w:szCs w:val="18"/>
              </w:rPr>
            </w:pPr>
            <w:r>
              <w:rPr>
                <w:sz w:val="18"/>
                <w:szCs w:val="18"/>
              </w:rPr>
              <w:t>0.744</w:t>
            </w:r>
          </w:p>
        </w:tc>
        <w:tc>
          <w:tcPr>
            <w:tcW w:w="953" w:type="dxa"/>
            <w:vAlign w:val="center"/>
          </w:tcPr>
          <w:p>
            <w:pPr>
              <w:pStyle w:val="253"/>
              <w:ind w:firstLine="0" w:firstLineChars="0"/>
              <w:jc w:val="center"/>
              <w:rPr>
                <w:sz w:val="18"/>
                <w:szCs w:val="18"/>
              </w:rPr>
            </w:pPr>
            <w:r>
              <w:rPr>
                <w:sz w:val="18"/>
                <w:szCs w:val="18"/>
              </w:rPr>
              <w:t>0.739</w:t>
            </w:r>
          </w:p>
        </w:tc>
        <w:tc>
          <w:tcPr>
            <w:tcW w:w="954" w:type="dxa"/>
            <w:vAlign w:val="center"/>
          </w:tcPr>
          <w:p>
            <w:pPr>
              <w:pStyle w:val="253"/>
              <w:ind w:firstLine="0" w:firstLineChars="0"/>
              <w:jc w:val="center"/>
              <w:rPr>
                <w:sz w:val="18"/>
                <w:szCs w:val="18"/>
              </w:rPr>
            </w:pPr>
            <w:r>
              <w:rPr>
                <w:sz w:val="18"/>
                <w:szCs w:val="18"/>
              </w:rPr>
              <w:t>0.733</w:t>
            </w:r>
          </w:p>
        </w:tc>
        <w:tc>
          <w:tcPr>
            <w:tcW w:w="0" w:type="auto"/>
            <w:vAlign w:val="center"/>
          </w:tcPr>
          <w:p>
            <w:pPr>
              <w:pStyle w:val="253"/>
              <w:ind w:firstLine="0" w:firstLineChars="0"/>
              <w:jc w:val="center"/>
              <w:rPr>
                <w:sz w:val="18"/>
                <w:szCs w:val="18"/>
              </w:rPr>
            </w:pPr>
            <w:r>
              <w:rPr>
                <w:sz w:val="18"/>
                <w:szCs w:val="18"/>
              </w:rPr>
              <w:t>0.728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80</w:t>
            </w:r>
          </w:p>
        </w:tc>
        <w:tc>
          <w:tcPr>
            <w:tcW w:w="952" w:type="dxa"/>
            <w:vAlign w:val="center"/>
          </w:tcPr>
          <w:p>
            <w:pPr>
              <w:pStyle w:val="253"/>
              <w:ind w:firstLine="0" w:firstLineChars="0"/>
              <w:jc w:val="center"/>
              <w:rPr>
                <w:sz w:val="18"/>
                <w:szCs w:val="18"/>
              </w:rPr>
            </w:pPr>
            <w:r>
              <w:rPr>
                <w:sz w:val="18"/>
                <w:szCs w:val="18"/>
              </w:rPr>
              <w:t>0.722</w:t>
            </w:r>
          </w:p>
        </w:tc>
        <w:tc>
          <w:tcPr>
            <w:tcW w:w="953" w:type="dxa"/>
            <w:vAlign w:val="center"/>
          </w:tcPr>
          <w:p>
            <w:pPr>
              <w:pStyle w:val="253"/>
              <w:ind w:firstLine="0" w:firstLineChars="0"/>
              <w:jc w:val="center"/>
              <w:rPr>
                <w:sz w:val="18"/>
                <w:szCs w:val="18"/>
              </w:rPr>
            </w:pPr>
            <w:r>
              <w:rPr>
                <w:sz w:val="18"/>
                <w:szCs w:val="18"/>
              </w:rPr>
              <w:t>0.716</w:t>
            </w:r>
          </w:p>
        </w:tc>
        <w:tc>
          <w:tcPr>
            <w:tcW w:w="953" w:type="dxa"/>
            <w:vAlign w:val="center"/>
          </w:tcPr>
          <w:p>
            <w:pPr>
              <w:pStyle w:val="253"/>
              <w:ind w:firstLine="0" w:firstLineChars="0"/>
              <w:jc w:val="center"/>
              <w:rPr>
                <w:sz w:val="18"/>
                <w:szCs w:val="18"/>
              </w:rPr>
            </w:pPr>
            <w:r>
              <w:rPr>
                <w:sz w:val="18"/>
                <w:szCs w:val="18"/>
              </w:rPr>
              <w:t>0.710</w:t>
            </w:r>
          </w:p>
        </w:tc>
        <w:tc>
          <w:tcPr>
            <w:tcW w:w="953" w:type="dxa"/>
            <w:vAlign w:val="center"/>
          </w:tcPr>
          <w:p>
            <w:pPr>
              <w:pStyle w:val="253"/>
              <w:ind w:firstLine="0" w:firstLineChars="0"/>
              <w:jc w:val="center"/>
              <w:rPr>
                <w:sz w:val="18"/>
                <w:szCs w:val="18"/>
              </w:rPr>
            </w:pPr>
            <w:r>
              <w:rPr>
                <w:sz w:val="18"/>
                <w:szCs w:val="18"/>
              </w:rPr>
              <w:t>0.704</w:t>
            </w:r>
          </w:p>
        </w:tc>
        <w:tc>
          <w:tcPr>
            <w:tcW w:w="953" w:type="dxa"/>
            <w:vAlign w:val="center"/>
          </w:tcPr>
          <w:p>
            <w:pPr>
              <w:pStyle w:val="253"/>
              <w:ind w:firstLine="0" w:firstLineChars="0"/>
              <w:jc w:val="center"/>
              <w:rPr>
                <w:sz w:val="18"/>
                <w:szCs w:val="18"/>
              </w:rPr>
            </w:pPr>
            <w:r>
              <w:rPr>
                <w:sz w:val="18"/>
                <w:szCs w:val="18"/>
              </w:rPr>
              <w:t>0.698</w:t>
            </w:r>
          </w:p>
        </w:tc>
        <w:tc>
          <w:tcPr>
            <w:tcW w:w="953" w:type="dxa"/>
            <w:vAlign w:val="center"/>
          </w:tcPr>
          <w:p>
            <w:pPr>
              <w:pStyle w:val="253"/>
              <w:ind w:firstLine="0" w:firstLineChars="0"/>
              <w:jc w:val="center"/>
              <w:rPr>
                <w:sz w:val="18"/>
                <w:szCs w:val="18"/>
              </w:rPr>
            </w:pPr>
            <w:r>
              <w:rPr>
                <w:sz w:val="18"/>
                <w:szCs w:val="18"/>
              </w:rPr>
              <w:t>0.692</w:t>
            </w:r>
          </w:p>
        </w:tc>
        <w:tc>
          <w:tcPr>
            <w:tcW w:w="953" w:type="dxa"/>
            <w:vAlign w:val="center"/>
          </w:tcPr>
          <w:p>
            <w:pPr>
              <w:pStyle w:val="253"/>
              <w:ind w:firstLine="0" w:firstLineChars="0"/>
              <w:jc w:val="center"/>
              <w:rPr>
                <w:sz w:val="18"/>
                <w:szCs w:val="18"/>
              </w:rPr>
            </w:pPr>
            <w:r>
              <w:rPr>
                <w:sz w:val="18"/>
                <w:szCs w:val="18"/>
              </w:rPr>
              <w:t>0.686</w:t>
            </w:r>
          </w:p>
        </w:tc>
        <w:tc>
          <w:tcPr>
            <w:tcW w:w="953" w:type="dxa"/>
            <w:vAlign w:val="center"/>
          </w:tcPr>
          <w:p>
            <w:pPr>
              <w:pStyle w:val="253"/>
              <w:ind w:firstLine="0" w:firstLineChars="0"/>
              <w:jc w:val="center"/>
              <w:rPr>
                <w:sz w:val="18"/>
                <w:szCs w:val="18"/>
              </w:rPr>
            </w:pPr>
            <w:r>
              <w:rPr>
                <w:sz w:val="18"/>
                <w:szCs w:val="18"/>
              </w:rPr>
              <w:t>0.680</w:t>
            </w:r>
          </w:p>
        </w:tc>
        <w:tc>
          <w:tcPr>
            <w:tcW w:w="954" w:type="dxa"/>
            <w:vAlign w:val="center"/>
          </w:tcPr>
          <w:p>
            <w:pPr>
              <w:pStyle w:val="253"/>
              <w:ind w:firstLine="0" w:firstLineChars="0"/>
              <w:jc w:val="center"/>
              <w:rPr>
                <w:sz w:val="18"/>
                <w:szCs w:val="18"/>
              </w:rPr>
            </w:pPr>
            <w:r>
              <w:rPr>
                <w:sz w:val="18"/>
                <w:szCs w:val="18"/>
              </w:rPr>
              <w:t>0.673</w:t>
            </w:r>
          </w:p>
        </w:tc>
        <w:tc>
          <w:tcPr>
            <w:tcW w:w="0" w:type="auto"/>
            <w:vAlign w:val="center"/>
          </w:tcPr>
          <w:p>
            <w:pPr>
              <w:pStyle w:val="253"/>
              <w:ind w:firstLine="0" w:firstLineChars="0"/>
              <w:jc w:val="center"/>
              <w:rPr>
                <w:sz w:val="18"/>
                <w:szCs w:val="18"/>
              </w:rPr>
            </w:pPr>
            <w:r>
              <w:rPr>
                <w:sz w:val="18"/>
                <w:szCs w:val="18"/>
              </w:rPr>
              <w:t>0.667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90</w:t>
            </w:r>
          </w:p>
        </w:tc>
        <w:tc>
          <w:tcPr>
            <w:tcW w:w="952" w:type="dxa"/>
            <w:vAlign w:val="center"/>
          </w:tcPr>
          <w:p>
            <w:pPr>
              <w:pStyle w:val="253"/>
              <w:ind w:firstLine="0" w:firstLineChars="0"/>
              <w:jc w:val="center"/>
              <w:rPr>
                <w:sz w:val="18"/>
                <w:szCs w:val="18"/>
              </w:rPr>
            </w:pPr>
            <w:r>
              <w:rPr>
                <w:sz w:val="18"/>
                <w:szCs w:val="18"/>
              </w:rPr>
              <w:t>0.66l</w:t>
            </w:r>
          </w:p>
        </w:tc>
        <w:tc>
          <w:tcPr>
            <w:tcW w:w="953" w:type="dxa"/>
            <w:vAlign w:val="center"/>
          </w:tcPr>
          <w:p>
            <w:pPr>
              <w:pStyle w:val="253"/>
              <w:ind w:firstLine="0" w:firstLineChars="0"/>
              <w:jc w:val="center"/>
              <w:rPr>
                <w:sz w:val="18"/>
                <w:szCs w:val="18"/>
              </w:rPr>
            </w:pPr>
            <w:r>
              <w:rPr>
                <w:sz w:val="18"/>
                <w:szCs w:val="18"/>
              </w:rPr>
              <w:t>0.654</w:t>
            </w:r>
          </w:p>
        </w:tc>
        <w:tc>
          <w:tcPr>
            <w:tcW w:w="953" w:type="dxa"/>
            <w:vAlign w:val="center"/>
          </w:tcPr>
          <w:p>
            <w:pPr>
              <w:pStyle w:val="253"/>
              <w:ind w:firstLine="0" w:firstLineChars="0"/>
              <w:jc w:val="center"/>
              <w:rPr>
                <w:sz w:val="18"/>
                <w:szCs w:val="18"/>
              </w:rPr>
            </w:pPr>
            <w:r>
              <w:rPr>
                <w:sz w:val="18"/>
                <w:szCs w:val="18"/>
              </w:rPr>
              <w:t>0.648</w:t>
            </w:r>
          </w:p>
        </w:tc>
        <w:tc>
          <w:tcPr>
            <w:tcW w:w="953" w:type="dxa"/>
            <w:vAlign w:val="center"/>
          </w:tcPr>
          <w:p>
            <w:pPr>
              <w:pStyle w:val="253"/>
              <w:ind w:firstLine="0" w:firstLineChars="0"/>
              <w:jc w:val="center"/>
              <w:rPr>
                <w:sz w:val="18"/>
                <w:szCs w:val="18"/>
              </w:rPr>
            </w:pPr>
            <w:r>
              <w:rPr>
                <w:sz w:val="18"/>
                <w:szCs w:val="18"/>
              </w:rPr>
              <w:t>0.641</w:t>
            </w:r>
          </w:p>
        </w:tc>
        <w:tc>
          <w:tcPr>
            <w:tcW w:w="953" w:type="dxa"/>
            <w:vAlign w:val="center"/>
          </w:tcPr>
          <w:p>
            <w:pPr>
              <w:pStyle w:val="253"/>
              <w:ind w:firstLine="0" w:firstLineChars="0"/>
              <w:jc w:val="center"/>
              <w:rPr>
                <w:sz w:val="18"/>
                <w:szCs w:val="18"/>
              </w:rPr>
            </w:pPr>
            <w:r>
              <w:rPr>
                <w:sz w:val="18"/>
                <w:szCs w:val="18"/>
              </w:rPr>
              <w:t>0.634</w:t>
            </w:r>
          </w:p>
        </w:tc>
        <w:tc>
          <w:tcPr>
            <w:tcW w:w="953" w:type="dxa"/>
            <w:vAlign w:val="center"/>
          </w:tcPr>
          <w:p>
            <w:pPr>
              <w:pStyle w:val="253"/>
              <w:ind w:firstLine="0" w:firstLineChars="0"/>
              <w:jc w:val="center"/>
              <w:rPr>
                <w:sz w:val="18"/>
                <w:szCs w:val="18"/>
              </w:rPr>
            </w:pPr>
            <w:r>
              <w:rPr>
                <w:sz w:val="18"/>
                <w:szCs w:val="18"/>
              </w:rPr>
              <w:t>0.626</w:t>
            </w:r>
          </w:p>
        </w:tc>
        <w:tc>
          <w:tcPr>
            <w:tcW w:w="953" w:type="dxa"/>
            <w:vAlign w:val="center"/>
          </w:tcPr>
          <w:p>
            <w:pPr>
              <w:pStyle w:val="253"/>
              <w:ind w:firstLine="0" w:firstLineChars="0"/>
              <w:jc w:val="center"/>
              <w:rPr>
                <w:sz w:val="18"/>
                <w:szCs w:val="18"/>
              </w:rPr>
            </w:pPr>
            <w:r>
              <w:rPr>
                <w:sz w:val="18"/>
                <w:szCs w:val="18"/>
              </w:rPr>
              <w:t>0.618</w:t>
            </w:r>
          </w:p>
        </w:tc>
        <w:tc>
          <w:tcPr>
            <w:tcW w:w="953" w:type="dxa"/>
            <w:vAlign w:val="center"/>
          </w:tcPr>
          <w:p>
            <w:pPr>
              <w:pStyle w:val="253"/>
              <w:ind w:firstLine="0" w:firstLineChars="0"/>
              <w:jc w:val="center"/>
              <w:rPr>
                <w:sz w:val="18"/>
                <w:szCs w:val="18"/>
              </w:rPr>
            </w:pPr>
            <w:r>
              <w:rPr>
                <w:sz w:val="18"/>
                <w:szCs w:val="18"/>
              </w:rPr>
              <w:t>0.611</w:t>
            </w:r>
          </w:p>
        </w:tc>
        <w:tc>
          <w:tcPr>
            <w:tcW w:w="954" w:type="dxa"/>
            <w:vAlign w:val="center"/>
          </w:tcPr>
          <w:p>
            <w:pPr>
              <w:pStyle w:val="253"/>
              <w:ind w:firstLine="0" w:firstLineChars="0"/>
              <w:jc w:val="center"/>
              <w:rPr>
                <w:sz w:val="18"/>
                <w:szCs w:val="18"/>
              </w:rPr>
            </w:pPr>
            <w:r>
              <w:rPr>
                <w:sz w:val="18"/>
                <w:szCs w:val="18"/>
              </w:rPr>
              <w:t>0.603</w:t>
            </w:r>
          </w:p>
        </w:tc>
        <w:tc>
          <w:tcPr>
            <w:tcW w:w="0" w:type="auto"/>
            <w:vAlign w:val="center"/>
          </w:tcPr>
          <w:p>
            <w:pPr>
              <w:pStyle w:val="253"/>
              <w:ind w:firstLine="0" w:firstLineChars="0"/>
              <w:jc w:val="center"/>
              <w:rPr>
                <w:sz w:val="18"/>
                <w:szCs w:val="18"/>
              </w:rPr>
            </w:pPr>
            <w:r>
              <w:rPr>
                <w:sz w:val="18"/>
                <w:szCs w:val="18"/>
              </w:rPr>
              <w:t>0.595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100</w:t>
            </w:r>
          </w:p>
        </w:tc>
        <w:tc>
          <w:tcPr>
            <w:tcW w:w="952" w:type="dxa"/>
            <w:vAlign w:val="center"/>
          </w:tcPr>
          <w:p>
            <w:pPr>
              <w:pStyle w:val="253"/>
              <w:ind w:firstLine="0" w:firstLineChars="0"/>
              <w:jc w:val="center"/>
              <w:rPr>
                <w:sz w:val="18"/>
                <w:szCs w:val="18"/>
              </w:rPr>
            </w:pPr>
            <w:r>
              <w:rPr>
                <w:sz w:val="18"/>
                <w:szCs w:val="18"/>
              </w:rPr>
              <w:t>0.588</w:t>
            </w:r>
          </w:p>
        </w:tc>
        <w:tc>
          <w:tcPr>
            <w:tcW w:w="953" w:type="dxa"/>
            <w:vAlign w:val="center"/>
          </w:tcPr>
          <w:p>
            <w:pPr>
              <w:pStyle w:val="253"/>
              <w:ind w:firstLine="0" w:firstLineChars="0"/>
              <w:jc w:val="center"/>
              <w:rPr>
                <w:sz w:val="18"/>
                <w:szCs w:val="18"/>
              </w:rPr>
            </w:pPr>
            <w:r>
              <w:rPr>
                <w:sz w:val="18"/>
                <w:szCs w:val="18"/>
              </w:rPr>
              <w:t>0.580</w:t>
            </w:r>
          </w:p>
        </w:tc>
        <w:tc>
          <w:tcPr>
            <w:tcW w:w="953" w:type="dxa"/>
            <w:vAlign w:val="center"/>
          </w:tcPr>
          <w:p>
            <w:pPr>
              <w:pStyle w:val="253"/>
              <w:ind w:firstLine="0" w:firstLineChars="0"/>
              <w:jc w:val="center"/>
              <w:rPr>
                <w:sz w:val="18"/>
                <w:szCs w:val="18"/>
              </w:rPr>
            </w:pPr>
            <w:r>
              <w:rPr>
                <w:sz w:val="18"/>
                <w:szCs w:val="18"/>
              </w:rPr>
              <w:t>0.573</w:t>
            </w:r>
          </w:p>
        </w:tc>
        <w:tc>
          <w:tcPr>
            <w:tcW w:w="953" w:type="dxa"/>
            <w:vAlign w:val="center"/>
          </w:tcPr>
          <w:p>
            <w:pPr>
              <w:pStyle w:val="253"/>
              <w:ind w:firstLine="0" w:firstLineChars="0"/>
              <w:jc w:val="center"/>
              <w:rPr>
                <w:sz w:val="18"/>
                <w:szCs w:val="18"/>
              </w:rPr>
            </w:pPr>
            <w:r>
              <w:rPr>
                <w:sz w:val="18"/>
                <w:szCs w:val="18"/>
              </w:rPr>
              <w:t>0.566</w:t>
            </w:r>
          </w:p>
        </w:tc>
        <w:tc>
          <w:tcPr>
            <w:tcW w:w="953" w:type="dxa"/>
            <w:vAlign w:val="center"/>
          </w:tcPr>
          <w:p>
            <w:pPr>
              <w:pStyle w:val="253"/>
              <w:ind w:firstLine="0" w:firstLineChars="0"/>
              <w:jc w:val="center"/>
              <w:rPr>
                <w:sz w:val="18"/>
                <w:szCs w:val="18"/>
              </w:rPr>
            </w:pPr>
            <w:r>
              <w:rPr>
                <w:sz w:val="18"/>
                <w:szCs w:val="18"/>
              </w:rPr>
              <w:t>0.558</w:t>
            </w:r>
          </w:p>
        </w:tc>
        <w:tc>
          <w:tcPr>
            <w:tcW w:w="953" w:type="dxa"/>
            <w:vAlign w:val="center"/>
          </w:tcPr>
          <w:p>
            <w:pPr>
              <w:pStyle w:val="253"/>
              <w:ind w:firstLine="0" w:firstLineChars="0"/>
              <w:jc w:val="center"/>
              <w:rPr>
                <w:sz w:val="18"/>
                <w:szCs w:val="18"/>
              </w:rPr>
            </w:pPr>
            <w:r>
              <w:rPr>
                <w:sz w:val="18"/>
                <w:szCs w:val="18"/>
              </w:rPr>
              <w:t>0.551</w:t>
            </w:r>
          </w:p>
        </w:tc>
        <w:tc>
          <w:tcPr>
            <w:tcW w:w="953" w:type="dxa"/>
            <w:vAlign w:val="center"/>
          </w:tcPr>
          <w:p>
            <w:pPr>
              <w:pStyle w:val="253"/>
              <w:ind w:firstLine="0" w:firstLineChars="0"/>
              <w:jc w:val="center"/>
              <w:rPr>
                <w:sz w:val="18"/>
                <w:szCs w:val="18"/>
              </w:rPr>
            </w:pPr>
            <w:r>
              <w:rPr>
                <w:sz w:val="18"/>
                <w:szCs w:val="18"/>
              </w:rPr>
              <w:t>0.544</w:t>
            </w:r>
          </w:p>
        </w:tc>
        <w:tc>
          <w:tcPr>
            <w:tcW w:w="953" w:type="dxa"/>
            <w:vAlign w:val="center"/>
          </w:tcPr>
          <w:p>
            <w:pPr>
              <w:pStyle w:val="253"/>
              <w:ind w:firstLine="0" w:firstLineChars="0"/>
              <w:jc w:val="center"/>
              <w:rPr>
                <w:sz w:val="18"/>
                <w:szCs w:val="18"/>
              </w:rPr>
            </w:pPr>
            <w:r>
              <w:rPr>
                <w:sz w:val="18"/>
                <w:szCs w:val="18"/>
              </w:rPr>
              <w:t>0.537</w:t>
            </w:r>
          </w:p>
        </w:tc>
        <w:tc>
          <w:tcPr>
            <w:tcW w:w="954" w:type="dxa"/>
            <w:vAlign w:val="center"/>
          </w:tcPr>
          <w:p>
            <w:pPr>
              <w:pStyle w:val="253"/>
              <w:ind w:firstLine="0" w:firstLineChars="0"/>
              <w:jc w:val="center"/>
              <w:rPr>
                <w:sz w:val="18"/>
                <w:szCs w:val="18"/>
              </w:rPr>
            </w:pPr>
            <w:r>
              <w:rPr>
                <w:sz w:val="18"/>
                <w:szCs w:val="18"/>
              </w:rPr>
              <w:t>0.530</w:t>
            </w:r>
          </w:p>
        </w:tc>
        <w:tc>
          <w:tcPr>
            <w:tcW w:w="0" w:type="auto"/>
            <w:vAlign w:val="center"/>
          </w:tcPr>
          <w:p>
            <w:pPr>
              <w:pStyle w:val="253"/>
              <w:ind w:firstLine="0" w:firstLineChars="0"/>
              <w:jc w:val="center"/>
              <w:rPr>
                <w:sz w:val="18"/>
                <w:szCs w:val="18"/>
              </w:rPr>
            </w:pPr>
            <w:r>
              <w:rPr>
                <w:sz w:val="18"/>
                <w:szCs w:val="18"/>
              </w:rPr>
              <w:t>0.523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110</w:t>
            </w:r>
          </w:p>
        </w:tc>
        <w:tc>
          <w:tcPr>
            <w:tcW w:w="952" w:type="dxa"/>
            <w:vAlign w:val="center"/>
          </w:tcPr>
          <w:p>
            <w:pPr>
              <w:pStyle w:val="253"/>
              <w:ind w:firstLine="0" w:firstLineChars="0"/>
              <w:jc w:val="center"/>
              <w:rPr>
                <w:sz w:val="18"/>
                <w:szCs w:val="18"/>
              </w:rPr>
            </w:pPr>
            <w:r>
              <w:rPr>
                <w:sz w:val="18"/>
                <w:szCs w:val="18"/>
              </w:rPr>
              <w:t>0.516</w:t>
            </w:r>
          </w:p>
        </w:tc>
        <w:tc>
          <w:tcPr>
            <w:tcW w:w="953" w:type="dxa"/>
            <w:vAlign w:val="center"/>
          </w:tcPr>
          <w:p>
            <w:pPr>
              <w:pStyle w:val="253"/>
              <w:ind w:firstLine="0" w:firstLineChars="0"/>
              <w:jc w:val="center"/>
              <w:rPr>
                <w:sz w:val="18"/>
                <w:szCs w:val="18"/>
              </w:rPr>
            </w:pPr>
            <w:r>
              <w:rPr>
                <w:sz w:val="18"/>
                <w:szCs w:val="18"/>
              </w:rPr>
              <w:t>0.509</w:t>
            </w:r>
          </w:p>
        </w:tc>
        <w:tc>
          <w:tcPr>
            <w:tcW w:w="953" w:type="dxa"/>
            <w:vAlign w:val="center"/>
          </w:tcPr>
          <w:p>
            <w:pPr>
              <w:pStyle w:val="253"/>
              <w:ind w:firstLine="0" w:firstLineChars="0"/>
              <w:jc w:val="center"/>
              <w:rPr>
                <w:sz w:val="18"/>
                <w:szCs w:val="18"/>
              </w:rPr>
            </w:pPr>
            <w:r>
              <w:rPr>
                <w:sz w:val="18"/>
                <w:szCs w:val="18"/>
              </w:rPr>
              <w:t>0.502</w:t>
            </w:r>
          </w:p>
        </w:tc>
        <w:tc>
          <w:tcPr>
            <w:tcW w:w="953" w:type="dxa"/>
            <w:vAlign w:val="center"/>
          </w:tcPr>
          <w:p>
            <w:pPr>
              <w:pStyle w:val="253"/>
              <w:ind w:firstLine="0" w:firstLineChars="0"/>
              <w:jc w:val="center"/>
              <w:rPr>
                <w:sz w:val="18"/>
                <w:szCs w:val="18"/>
              </w:rPr>
            </w:pPr>
            <w:r>
              <w:rPr>
                <w:sz w:val="18"/>
                <w:szCs w:val="18"/>
              </w:rPr>
              <w:t>0.496</w:t>
            </w:r>
          </w:p>
        </w:tc>
        <w:tc>
          <w:tcPr>
            <w:tcW w:w="953" w:type="dxa"/>
            <w:vAlign w:val="center"/>
          </w:tcPr>
          <w:p>
            <w:pPr>
              <w:pStyle w:val="253"/>
              <w:ind w:firstLine="0" w:firstLineChars="0"/>
              <w:jc w:val="center"/>
              <w:rPr>
                <w:sz w:val="18"/>
                <w:szCs w:val="18"/>
              </w:rPr>
            </w:pPr>
            <w:r>
              <w:rPr>
                <w:sz w:val="18"/>
                <w:szCs w:val="18"/>
              </w:rPr>
              <w:t>0.489</w:t>
            </w:r>
          </w:p>
        </w:tc>
        <w:tc>
          <w:tcPr>
            <w:tcW w:w="953" w:type="dxa"/>
            <w:vAlign w:val="center"/>
          </w:tcPr>
          <w:p>
            <w:pPr>
              <w:pStyle w:val="253"/>
              <w:ind w:firstLine="0" w:firstLineChars="0"/>
              <w:jc w:val="center"/>
              <w:rPr>
                <w:sz w:val="18"/>
                <w:szCs w:val="18"/>
              </w:rPr>
            </w:pPr>
            <w:r>
              <w:rPr>
                <w:sz w:val="18"/>
                <w:szCs w:val="18"/>
              </w:rPr>
              <w:t>0.483</w:t>
            </w:r>
          </w:p>
        </w:tc>
        <w:tc>
          <w:tcPr>
            <w:tcW w:w="953" w:type="dxa"/>
            <w:vAlign w:val="center"/>
          </w:tcPr>
          <w:p>
            <w:pPr>
              <w:pStyle w:val="253"/>
              <w:ind w:firstLine="0" w:firstLineChars="0"/>
              <w:jc w:val="center"/>
              <w:rPr>
                <w:sz w:val="18"/>
                <w:szCs w:val="18"/>
              </w:rPr>
            </w:pPr>
            <w:r>
              <w:rPr>
                <w:sz w:val="18"/>
                <w:szCs w:val="18"/>
              </w:rPr>
              <w:t>0.476</w:t>
            </w:r>
          </w:p>
        </w:tc>
        <w:tc>
          <w:tcPr>
            <w:tcW w:w="953" w:type="dxa"/>
            <w:vAlign w:val="center"/>
          </w:tcPr>
          <w:p>
            <w:pPr>
              <w:pStyle w:val="253"/>
              <w:ind w:firstLine="0" w:firstLineChars="0"/>
              <w:jc w:val="center"/>
              <w:rPr>
                <w:sz w:val="18"/>
                <w:szCs w:val="18"/>
              </w:rPr>
            </w:pPr>
            <w:r>
              <w:rPr>
                <w:sz w:val="18"/>
                <w:szCs w:val="18"/>
              </w:rPr>
              <w:t>0.470</w:t>
            </w:r>
          </w:p>
        </w:tc>
        <w:tc>
          <w:tcPr>
            <w:tcW w:w="954" w:type="dxa"/>
            <w:vAlign w:val="center"/>
          </w:tcPr>
          <w:p>
            <w:pPr>
              <w:pStyle w:val="253"/>
              <w:ind w:firstLine="0" w:firstLineChars="0"/>
              <w:jc w:val="center"/>
              <w:rPr>
                <w:sz w:val="18"/>
                <w:szCs w:val="18"/>
              </w:rPr>
            </w:pPr>
            <w:r>
              <w:rPr>
                <w:sz w:val="18"/>
                <w:szCs w:val="18"/>
              </w:rPr>
              <w:t>0,464</w:t>
            </w:r>
          </w:p>
        </w:tc>
        <w:tc>
          <w:tcPr>
            <w:tcW w:w="0" w:type="auto"/>
            <w:vAlign w:val="center"/>
          </w:tcPr>
          <w:p>
            <w:pPr>
              <w:pStyle w:val="253"/>
              <w:ind w:firstLine="0" w:firstLineChars="0"/>
              <w:jc w:val="center"/>
              <w:rPr>
                <w:sz w:val="18"/>
                <w:szCs w:val="18"/>
              </w:rPr>
            </w:pPr>
            <w:r>
              <w:rPr>
                <w:sz w:val="18"/>
                <w:szCs w:val="18"/>
              </w:rPr>
              <w:t>0.458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120</w:t>
            </w:r>
          </w:p>
        </w:tc>
        <w:tc>
          <w:tcPr>
            <w:tcW w:w="952" w:type="dxa"/>
            <w:vAlign w:val="center"/>
          </w:tcPr>
          <w:p>
            <w:pPr>
              <w:pStyle w:val="253"/>
              <w:ind w:firstLine="0" w:firstLineChars="0"/>
              <w:jc w:val="center"/>
              <w:rPr>
                <w:sz w:val="18"/>
                <w:szCs w:val="18"/>
              </w:rPr>
            </w:pPr>
            <w:r>
              <w:rPr>
                <w:sz w:val="18"/>
                <w:szCs w:val="18"/>
              </w:rPr>
              <w:t>0.452</w:t>
            </w:r>
          </w:p>
        </w:tc>
        <w:tc>
          <w:tcPr>
            <w:tcW w:w="953" w:type="dxa"/>
            <w:vAlign w:val="center"/>
          </w:tcPr>
          <w:p>
            <w:pPr>
              <w:pStyle w:val="253"/>
              <w:ind w:firstLine="0" w:firstLineChars="0"/>
              <w:jc w:val="center"/>
              <w:rPr>
                <w:sz w:val="18"/>
                <w:szCs w:val="18"/>
              </w:rPr>
            </w:pPr>
            <w:r>
              <w:rPr>
                <w:sz w:val="18"/>
                <w:szCs w:val="18"/>
              </w:rPr>
              <w:t>0.446</w:t>
            </w:r>
          </w:p>
        </w:tc>
        <w:tc>
          <w:tcPr>
            <w:tcW w:w="953" w:type="dxa"/>
            <w:vAlign w:val="center"/>
          </w:tcPr>
          <w:p>
            <w:pPr>
              <w:pStyle w:val="253"/>
              <w:ind w:firstLine="0" w:firstLineChars="0"/>
              <w:jc w:val="center"/>
              <w:rPr>
                <w:sz w:val="18"/>
                <w:szCs w:val="18"/>
              </w:rPr>
            </w:pPr>
            <w:r>
              <w:rPr>
                <w:sz w:val="18"/>
                <w:szCs w:val="18"/>
              </w:rPr>
              <w:t>0.440</w:t>
            </w:r>
          </w:p>
        </w:tc>
        <w:tc>
          <w:tcPr>
            <w:tcW w:w="953" w:type="dxa"/>
            <w:vAlign w:val="center"/>
          </w:tcPr>
          <w:p>
            <w:pPr>
              <w:pStyle w:val="253"/>
              <w:ind w:firstLine="0" w:firstLineChars="0"/>
              <w:jc w:val="center"/>
              <w:rPr>
                <w:sz w:val="18"/>
                <w:szCs w:val="18"/>
              </w:rPr>
            </w:pPr>
            <w:r>
              <w:rPr>
                <w:sz w:val="18"/>
                <w:szCs w:val="18"/>
              </w:rPr>
              <w:t>0.434</w:t>
            </w:r>
          </w:p>
        </w:tc>
        <w:tc>
          <w:tcPr>
            <w:tcW w:w="953" w:type="dxa"/>
            <w:vAlign w:val="center"/>
          </w:tcPr>
          <w:p>
            <w:pPr>
              <w:pStyle w:val="253"/>
              <w:ind w:firstLine="0" w:firstLineChars="0"/>
              <w:jc w:val="center"/>
              <w:rPr>
                <w:sz w:val="18"/>
                <w:szCs w:val="18"/>
              </w:rPr>
            </w:pPr>
            <w:r>
              <w:rPr>
                <w:sz w:val="18"/>
                <w:szCs w:val="18"/>
              </w:rPr>
              <w:t>0.428</w:t>
            </w:r>
          </w:p>
        </w:tc>
        <w:tc>
          <w:tcPr>
            <w:tcW w:w="953" w:type="dxa"/>
            <w:vAlign w:val="center"/>
          </w:tcPr>
          <w:p>
            <w:pPr>
              <w:pStyle w:val="253"/>
              <w:ind w:firstLine="0" w:firstLineChars="0"/>
              <w:jc w:val="center"/>
              <w:rPr>
                <w:sz w:val="18"/>
                <w:szCs w:val="18"/>
              </w:rPr>
            </w:pPr>
            <w:r>
              <w:rPr>
                <w:sz w:val="18"/>
                <w:szCs w:val="18"/>
              </w:rPr>
              <w:t>0.423</w:t>
            </w:r>
          </w:p>
        </w:tc>
        <w:tc>
          <w:tcPr>
            <w:tcW w:w="953" w:type="dxa"/>
            <w:vAlign w:val="center"/>
          </w:tcPr>
          <w:p>
            <w:pPr>
              <w:pStyle w:val="253"/>
              <w:ind w:firstLine="0" w:firstLineChars="0"/>
              <w:jc w:val="center"/>
              <w:rPr>
                <w:sz w:val="18"/>
                <w:szCs w:val="18"/>
              </w:rPr>
            </w:pPr>
            <w:r>
              <w:rPr>
                <w:sz w:val="18"/>
                <w:szCs w:val="18"/>
              </w:rPr>
              <w:t>0.417</w:t>
            </w:r>
          </w:p>
        </w:tc>
        <w:tc>
          <w:tcPr>
            <w:tcW w:w="953" w:type="dxa"/>
            <w:vAlign w:val="center"/>
          </w:tcPr>
          <w:p>
            <w:pPr>
              <w:pStyle w:val="253"/>
              <w:ind w:firstLine="0" w:firstLineChars="0"/>
              <w:jc w:val="center"/>
              <w:rPr>
                <w:sz w:val="18"/>
                <w:szCs w:val="18"/>
              </w:rPr>
            </w:pPr>
            <w:r>
              <w:rPr>
                <w:sz w:val="18"/>
                <w:szCs w:val="18"/>
              </w:rPr>
              <w:t>0.412</w:t>
            </w:r>
          </w:p>
        </w:tc>
        <w:tc>
          <w:tcPr>
            <w:tcW w:w="954" w:type="dxa"/>
            <w:vAlign w:val="center"/>
          </w:tcPr>
          <w:p>
            <w:pPr>
              <w:pStyle w:val="253"/>
              <w:ind w:firstLine="0" w:firstLineChars="0"/>
              <w:jc w:val="center"/>
              <w:rPr>
                <w:sz w:val="18"/>
                <w:szCs w:val="18"/>
              </w:rPr>
            </w:pPr>
            <w:r>
              <w:rPr>
                <w:sz w:val="18"/>
                <w:szCs w:val="18"/>
              </w:rPr>
              <w:t>0.406</w:t>
            </w:r>
          </w:p>
        </w:tc>
        <w:tc>
          <w:tcPr>
            <w:tcW w:w="0" w:type="auto"/>
            <w:vAlign w:val="center"/>
          </w:tcPr>
          <w:p>
            <w:pPr>
              <w:pStyle w:val="253"/>
              <w:ind w:firstLine="0" w:firstLineChars="0"/>
              <w:jc w:val="center"/>
              <w:rPr>
                <w:sz w:val="18"/>
                <w:szCs w:val="18"/>
              </w:rPr>
            </w:pPr>
            <w:r>
              <w:rPr>
                <w:sz w:val="18"/>
                <w:szCs w:val="18"/>
              </w:rPr>
              <w:t>0.401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130</w:t>
            </w:r>
          </w:p>
        </w:tc>
        <w:tc>
          <w:tcPr>
            <w:tcW w:w="952" w:type="dxa"/>
            <w:vAlign w:val="center"/>
          </w:tcPr>
          <w:p>
            <w:pPr>
              <w:pStyle w:val="253"/>
              <w:ind w:firstLine="0" w:firstLineChars="0"/>
              <w:jc w:val="center"/>
              <w:rPr>
                <w:sz w:val="18"/>
                <w:szCs w:val="18"/>
              </w:rPr>
            </w:pPr>
            <w:r>
              <w:rPr>
                <w:sz w:val="18"/>
                <w:szCs w:val="18"/>
              </w:rPr>
              <w:t>0.396</w:t>
            </w:r>
          </w:p>
        </w:tc>
        <w:tc>
          <w:tcPr>
            <w:tcW w:w="953" w:type="dxa"/>
            <w:vAlign w:val="center"/>
          </w:tcPr>
          <w:p>
            <w:pPr>
              <w:pStyle w:val="253"/>
              <w:ind w:firstLine="0" w:firstLineChars="0"/>
              <w:jc w:val="center"/>
              <w:rPr>
                <w:sz w:val="18"/>
                <w:szCs w:val="18"/>
              </w:rPr>
            </w:pPr>
            <w:r>
              <w:rPr>
                <w:sz w:val="18"/>
                <w:szCs w:val="18"/>
              </w:rPr>
              <w:t>0.391</w:t>
            </w:r>
          </w:p>
        </w:tc>
        <w:tc>
          <w:tcPr>
            <w:tcW w:w="953" w:type="dxa"/>
            <w:vAlign w:val="center"/>
          </w:tcPr>
          <w:p>
            <w:pPr>
              <w:pStyle w:val="253"/>
              <w:ind w:firstLine="0" w:firstLineChars="0"/>
              <w:jc w:val="center"/>
              <w:rPr>
                <w:sz w:val="18"/>
                <w:szCs w:val="18"/>
              </w:rPr>
            </w:pPr>
            <w:r>
              <w:rPr>
                <w:sz w:val="18"/>
                <w:szCs w:val="18"/>
              </w:rPr>
              <w:t>0.386</w:t>
            </w:r>
          </w:p>
        </w:tc>
        <w:tc>
          <w:tcPr>
            <w:tcW w:w="953" w:type="dxa"/>
            <w:vAlign w:val="center"/>
          </w:tcPr>
          <w:p>
            <w:pPr>
              <w:pStyle w:val="253"/>
              <w:ind w:firstLine="0" w:firstLineChars="0"/>
              <w:jc w:val="center"/>
              <w:rPr>
                <w:sz w:val="18"/>
                <w:szCs w:val="18"/>
              </w:rPr>
            </w:pPr>
            <w:r>
              <w:rPr>
                <w:sz w:val="18"/>
                <w:szCs w:val="18"/>
              </w:rPr>
              <w:t>0.381</w:t>
            </w:r>
          </w:p>
        </w:tc>
        <w:tc>
          <w:tcPr>
            <w:tcW w:w="953" w:type="dxa"/>
            <w:vAlign w:val="center"/>
          </w:tcPr>
          <w:p>
            <w:pPr>
              <w:pStyle w:val="253"/>
              <w:ind w:firstLine="0" w:firstLineChars="0"/>
              <w:jc w:val="center"/>
              <w:rPr>
                <w:sz w:val="18"/>
                <w:szCs w:val="18"/>
              </w:rPr>
            </w:pPr>
            <w:r>
              <w:rPr>
                <w:sz w:val="18"/>
                <w:szCs w:val="18"/>
              </w:rPr>
              <w:t>0.376</w:t>
            </w:r>
          </w:p>
        </w:tc>
        <w:tc>
          <w:tcPr>
            <w:tcW w:w="953" w:type="dxa"/>
            <w:vAlign w:val="center"/>
          </w:tcPr>
          <w:p>
            <w:pPr>
              <w:pStyle w:val="253"/>
              <w:ind w:firstLine="0" w:firstLineChars="0"/>
              <w:jc w:val="center"/>
              <w:rPr>
                <w:sz w:val="18"/>
                <w:szCs w:val="18"/>
              </w:rPr>
            </w:pPr>
            <w:r>
              <w:rPr>
                <w:sz w:val="18"/>
                <w:szCs w:val="18"/>
              </w:rPr>
              <w:t>0.371</w:t>
            </w:r>
          </w:p>
        </w:tc>
        <w:tc>
          <w:tcPr>
            <w:tcW w:w="953" w:type="dxa"/>
            <w:vAlign w:val="center"/>
          </w:tcPr>
          <w:p>
            <w:pPr>
              <w:pStyle w:val="253"/>
              <w:ind w:firstLine="0" w:firstLineChars="0"/>
              <w:jc w:val="center"/>
              <w:rPr>
                <w:sz w:val="18"/>
                <w:szCs w:val="18"/>
              </w:rPr>
            </w:pPr>
            <w:r>
              <w:rPr>
                <w:sz w:val="18"/>
                <w:szCs w:val="18"/>
              </w:rPr>
              <w:t>0.367</w:t>
            </w:r>
          </w:p>
        </w:tc>
        <w:tc>
          <w:tcPr>
            <w:tcW w:w="953" w:type="dxa"/>
            <w:vAlign w:val="center"/>
          </w:tcPr>
          <w:p>
            <w:pPr>
              <w:pStyle w:val="253"/>
              <w:ind w:firstLine="0" w:firstLineChars="0"/>
              <w:jc w:val="center"/>
              <w:rPr>
                <w:sz w:val="18"/>
                <w:szCs w:val="18"/>
              </w:rPr>
            </w:pPr>
            <w:r>
              <w:rPr>
                <w:sz w:val="18"/>
                <w:szCs w:val="18"/>
              </w:rPr>
              <w:t>0.362</w:t>
            </w:r>
          </w:p>
        </w:tc>
        <w:tc>
          <w:tcPr>
            <w:tcW w:w="954" w:type="dxa"/>
            <w:vAlign w:val="center"/>
          </w:tcPr>
          <w:p>
            <w:pPr>
              <w:pStyle w:val="253"/>
              <w:ind w:firstLine="0" w:firstLineChars="0"/>
              <w:jc w:val="center"/>
              <w:rPr>
                <w:sz w:val="18"/>
                <w:szCs w:val="18"/>
              </w:rPr>
            </w:pPr>
            <w:r>
              <w:rPr>
                <w:sz w:val="18"/>
                <w:szCs w:val="18"/>
              </w:rPr>
              <w:t>0.357</w:t>
            </w:r>
          </w:p>
        </w:tc>
        <w:tc>
          <w:tcPr>
            <w:tcW w:w="0" w:type="auto"/>
            <w:vAlign w:val="center"/>
          </w:tcPr>
          <w:p>
            <w:pPr>
              <w:pStyle w:val="253"/>
              <w:ind w:firstLine="0" w:firstLineChars="0"/>
              <w:jc w:val="center"/>
              <w:rPr>
                <w:sz w:val="18"/>
                <w:szCs w:val="18"/>
              </w:rPr>
            </w:pPr>
            <w:r>
              <w:rPr>
                <w:sz w:val="18"/>
                <w:szCs w:val="18"/>
              </w:rPr>
              <w:t>0.353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140</w:t>
            </w:r>
          </w:p>
        </w:tc>
        <w:tc>
          <w:tcPr>
            <w:tcW w:w="952" w:type="dxa"/>
            <w:vAlign w:val="center"/>
          </w:tcPr>
          <w:p>
            <w:pPr>
              <w:pStyle w:val="253"/>
              <w:ind w:firstLine="0" w:firstLineChars="0"/>
              <w:jc w:val="center"/>
              <w:rPr>
                <w:sz w:val="18"/>
                <w:szCs w:val="18"/>
              </w:rPr>
            </w:pPr>
            <w:r>
              <w:rPr>
                <w:sz w:val="18"/>
                <w:szCs w:val="18"/>
              </w:rPr>
              <w:t>0.349</w:t>
            </w:r>
          </w:p>
        </w:tc>
        <w:tc>
          <w:tcPr>
            <w:tcW w:w="953" w:type="dxa"/>
            <w:vAlign w:val="center"/>
          </w:tcPr>
          <w:p>
            <w:pPr>
              <w:pStyle w:val="253"/>
              <w:ind w:firstLine="0" w:firstLineChars="0"/>
              <w:jc w:val="center"/>
              <w:rPr>
                <w:sz w:val="18"/>
                <w:szCs w:val="18"/>
              </w:rPr>
            </w:pPr>
            <w:r>
              <w:rPr>
                <w:sz w:val="18"/>
                <w:szCs w:val="18"/>
              </w:rPr>
              <w:t>0.344</w:t>
            </w:r>
          </w:p>
        </w:tc>
        <w:tc>
          <w:tcPr>
            <w:tcW w:w="953" w:type="dxa"/>
            <w:vAlign w:val="center"/>
          </w:tcPr>
          <w:p>
            <w:pPr>
              <w:pStyle w:val="253"/>
              <w:ind w:firstLine="0" w:firstLineChars="0"/>
              <w:jc w:val="center"/>
              <w:rPr>
                <w:sz w:val="18"/>
                <w:szCs w:val="18"/>
              </w:rPr>
            </w:pPr>
            <w:r>
              <w:rPr>
                <w:sz w:val="18"/>
                <w:szCs w:val="18"/>
              </w:rPr>
              <w:t>0.340</w:t>
            </w:r>
          </w:p>
        </w:tc>
        <w:tc>
          <w:tcPr>
            <w:tcW w:w="953" w:type="dxa"/>
            <w:vAlign w:val="center"/>
          </w:tcPr>
          <w:p>
            <w:pPr>
              <w:pStyle w:val="253"/>
              <w:ind w:firstLine="0" w:firstLineChars="0"/>
              <w:jc w:val="center"/>
              <w:rPr>
                <w:sz w:val="18"/>
                <w:szCs w:val="18"/>
              </w:rPr>
            </w:pPr>
            <w:r>
              <w:rPr>
                <w:sz w:val="18"/>
                <w:szCs w:val="18"/>
              </w:rPr>
              <w:t>0.336</w:t>
            </w:r>
          </w:p>
        </w:tc>
        <w:tc>
          <w:tcPr>
            <w:tcW w:w="953" w:type="dxa"/>
            <w:vAlign w:val="center"/>
          </w:tcPr>
          <w:p>
            <w:pPr>
              <w:pStyle w:val="253"/>
              <w:ind w:firstLine="0" w:firstLineChars="0"/>
              <w:jc w:val="center"/>
              <w:rPr>
                <w:sz w:val="18"/>
                <w:szCs w:val="18"/>
              </w:rPr>
            </w:pPr>
            <w:r>
              <w:rPr>
                <w:sz w:val="18"/>
                <w:szCs w:val="18"/>
              </w:rPr>
              <w:t>0.332</w:t>
            </w:r>
          </w:p>
        </w:tc>
        <w:tc>
          <w:tcPr>
            <w:tcW w:w="953" w:type="dxa"/>
            <w:vAlign w:val="center"/>
          </w:tcPr>
          <w:p>
            <w:pPr>
              <w:pStyle w:val="253"/>
              <w:ind w:firstLine="0" w:firstLineChars="0"/>
              <w:jc w:val="center"/>
              <w:rPr>
                <w:sz w:val="18"/>
                <w:szCs w:val="18"/>
              </w:rPr>
            </w:pPr>
            <w:r>
              <w:rPr>
                <w:sz w:val="18"/>
                <w:szCs w:val="18"/>
              </w:rPr>
              <w:t>0.328</w:t>
            </w:r>
          </w:p>
        </w:tc>
        <w:tc>
          <w:tcPr>
            <w:tcW w:w="953" w:type="dxa"/>
            <w:vAlign w:val="center"/>
          </w:tcPr>
          <w:p>
            <w:pPr>
              <w:pStyle w:val="253"/>
              <w:ind w:firstLine="0" w:firstLineChars="0"/>
              <w:jc w:val="center"/>
              <w:rPr>
                <w:sz w:val="18"/>
                <w:szCs w:val="18"/>
              </w:rPr>
            </w:pPr>
            <w:r>
              <w:rPr>
                <w:sz w:val="18"/>
                <w:szCs w:val="18"/>
              </w:rPr>
              <w:t>0.324</w:t>
            </w:r>
          </w:p>
        </w:tc>
        <w:tc>
          <w:tcPr>
            <w:tcW w:w="953" w:type="dxa"/>
            <w:vAlign w:val="center"/>
          </w:tcPr>
          <w:p>
            <w:pPr>
              <w:pStyle w:val="253"/>
              <w:ind w:firstLine="0" w:firstLineChars="0"/>
              <w:jc w:val="center"/>
              <w:rPr>
                <w:sz w:val="18"/>
                <w:szCs w:val="18"/>
              </w:rPr>
            </w:pPr>
            <w:r>
              <w:rPr>
                <w:sz w:val="18"/>
                <w:szCs w:val="18"/>
              </w:rPr>
              <w:t>0.320</w:t>
            </w:r>
          </w:p>
        </w:tc>
        <w:tc>
          <w:tcPr>
            <w:tcW w:w="954" w:type="dxa"/>
            <w:vAlign w:val="center"/>
          </w:tcPr>
          <w:p>
            <w:pPr>
              <w:pStyle w:val="253"/>
              <w:ind w:firstLine="0" w:firstLineChars="0"/>
              <w:jc w:val="center"/>
              <w:rPr>
                <w:sz w:val="18"/>
                <w:szCs w:val="18"/>
              </w:rPr>
            </w:pPr>
            <w:r>
              <w:rPr>
                <w:sz w:val="18"/>
                <w:szCs w:val="18"/>
              </w:rPr>
              <w:t>0.316</w:t>
            </w:r>
          </w:p>
        </w:tc>
        <w:tc>
          <w:tcPr>
            <w:tcW w:w="0" w:type="auto"/>
            <w:vAlign w:val="center"/>
          </w:tcPr>
          <w:p>
            <w:pPr>
              <w:pStyle w:val="253"/>
              <w:ind w:firstLine="0" w:firstLineChars="0"/>
              <w:jc w:val="center"/>
              <w:rPr>
                <w:sz w:val="18"/>
                <w:szCs w:val="18"/>
              </w:rPr>
            </w:pPr>
            <w:r>
              <w:rPr>
                <w:sz w:val="18"/>
                <w:szCs w:val="18"/>
              </w:rPr>
              <w:t>0.312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150</w:t>
            </w:r>
          </w:p>
        </w:tc>
        <w:tc>
          <w:tcPr>
            <w:tcW w:w="952" w:type="dxa"/>
            <w:vAlign w:val="center"/>
          </w:tcPr>
          <w:p>
            <w:pPr>
              <w:pStyle w:val="253"/>
              <w:ind w:firstLine="0" w:firstLineChars="0"/>
              <w:jc w:val="center"/>
              <w:rPr>
                <w:sz w:val="18"/>
                <w:szCs w:val="18"/>
              </w:rPr>
            </w:pPr>
            <w:r>
              <w:rPr>
                <w:sz w:val="18"/>
                <w:szCs w:val="18"/>
              </w:rPr>
              <w:t>0.308</w:t>
            </w:r>
          </w:p>
        </w:tc>
        <w:tc>
          <w:tcPr>
            <w:tcW w:w="953" w:type="dxa"/>
            <w:vAlign w:val="center"/>
          </w:tcPr>
          <w:p>
            <w:pPr>
              <w:pStyle w:val="253"/>
              <w:ind w:firstLine="0" w:firstLineChars="0"/>
              <w:jc w:val="center"/>
              <w:rPr>
                <w:sz w:val="18"/>
                <w:szCs w:val="18"/>
              </w:rPr>
            </w:pPr>
            <w:r>
              <w:rPr>
                <w:sz w:val="18"/>
                <w:szCs w:val="18"/>
              </w:rPr>
              <w:t>0.305</w:t>
            </w:r>
          </w:p>
        </w:tc>
        <w:tc>
          <w:tcPr>
            <w:tcW w:w="953" w:type="dxa"/>
            <w:vAlign w:val="center"/>
          </w:tcPr>
          <w:p>
            <w:pPr>
              <w:pStyle w:val="253"/>
              <w:ind w:firstLine="0" w:firstLineChars="0"/>
              <w:jc w:val="center"/>
              <w:rPr>
                <w:sz w:val="18"/>
                <w:szCs w:val="18"/>
              </w:rPr>
            </w:pPr>
            <w:r>
              <w:rPr>
                <w:sz w:val="18"/>
                <w:szCs w:val="18"/>
              </w:rPr>
              <w:t>0.30l</w:t>
            </w:r>
          </w:p>
        </w:tc>
        <w:tc>
          <w:tcPr>
            <w:tcW w:w="953" w:type="dxa"/>
            <w:vAlign w:val="center"/>
          </w:tcPr>
          <w:p>
            <w:pPr>
              <w:pStyle w:val="253"/>
              <w:ind w:firstLine="0" w:firstLineChars="0"/>
              <w:jc w:val="center"/>
              <w:rPr>
                <w:sz w:val="18"/>
                <w:szCs w:val="18"/>
              </w:rPr>
            </w:pPr>
            <w:r>
              <w:rPr>
                <w:sz w:val="18"/>
                <w:szCs w:val="18"/>
              </w:rPr>
              <w:t>0.298</w:t>
            </w:r>
          </w:p>
        </w:tc>
        <w:tc>
          <w:tcPr>
            <w:tcW w:w="953" w:type="dxa"/>
            <w:vAlign w:val="center"/>
          </w:tcPr>
          <w:p>
            <w:pPr>
              <w:pStyle w:val="253"/>
              <w:ind w:firstLine="0" w:firstLineChars="0"/>
              <w:jc w:val="center"/>
              <w:rPr>
                <w:sz w:val="18"/>
                <w:szCs w:val="18"/>
              </w:rPr>
            </w:pPr>
            <w:r>
              <w:rPr>
                <w:sz w:val="18"/>
                <w:szCs w:val="18"/>
              </w:rPr>
              <w:t>0.294</w:t>
            </w:r>
          </w:p>
        </w:tc>
        <w:tc>
          <w:tcPr>
            <w:tcW w:w="953" w:type="dxa"/>
            <w:vAlign w:val="center"/>
          </w:tcPr>
          <w:p>
            <w:pPr>
              <w:pStyle w:val="253"/>
              <w:ind w:firstLine="0" w:firstLineChars="0"/>
              <w:jc w:val="center"/>
              <w:rPr>
                <w:sz w:val="18"/>
                <w:szCs w:val="18"/>
              </w:rPr>
            </w:pPr>
            <w:r>
              <w:rPr>
                <w:sz w:val="18"/>
                <w:szCs w:val="18"/>
              </w:rPr>
              <w:t>0.291</w:t>
            </w:r>
          </w:p>
        </w:tc>
        <w:tc>
          <w:tcPr>
            <w:tcW w:w="953" w:type="dxa"/>
            <w:vAlign w:val="center"/>
          </w:tcPr>
          <w:p>
            <w:pPr>
              <w:pStyle w:val="253"/>
              <w:ind w:firstLine="0" w:firstLineChars="0"/>
              <w:jc w:val="center"/>
              <w:rPr>
                <w:sz w:val="18"/>
                <w:szCs w:val="18"/>
              </w:rPr>
            </w:pPr>
            <w:r>
              <w:rPr>
                <w:sz w:val="18"/>
                <w:szCs w:val="18"/>
              </w:rPr>
              <w:t>0.287</w:t>
            </w:r>
          </w:p>
        </w:tc>
        <w:tc>
          <w:tcPr>
            <w:tcW w:w="953" w:type="dxa"/>
            <w:vAlign w:val="center"/>
          </w:tcPr>
          <w:p>
            <w:pPr>
              <w:pStyle w:val="253"/>
              <w:ind w:firstLine="0" w:firstLineChars="0"/>
              <w:jc w:val="center"/>
              <w:rPr>
                <w:sz w:val="18"/>
                <w:szCs w:val="18"/>
              </w:rPr>
            </w:pPr>
            <w:r>
              <w:rPr>
                <w:sz w:val="18"/>
                <w:szCs w:val="18"/>
              </w:rPr>
              <w:t>0.284</w:t>
            </w:r>
          </w:p>
        </w:tc>
        <w:tc>
          <w:tcPr>
            <w:tcW w:w="954" w:type="dxa"/>
            <w:vAlign w:val="center"/>
          </w:tcPr>
          <w:p>
            <w:pPr>
              <w:pStyle w:val="253"/>
              <w:ind w:firstLine="0" w:firstLineChars="0"/>
              <w:jc w:val="center"/>
              <w:rPr>
                <w:sz w:val="18"/>
                <w:szCs w:val="18"/>
              </w:rPr>
            </w:pPr>
            <w:r>
              <w:rPr>
                <w:sz w:val="18"/>
                <w:szCs w:val="18"/>
              </w:rPr>
              <w:t>0.28l</w:t>
            </w:r>
          </w:p>
        </w:tc>
        <w:tc>
          <w:tcPr>
            <w:tcW w:w="0" w:type="auto"/>
            <w:vAlign w:val="center"/>
          </w:tcPr>
          <w:p>
            <w:pPr>
              <w:pStyle w:val="253"/>
              <w:ind w:firstLine="0" w:firstLineChars="0"/>
              <w:jc w:val="center"/>
              <w:rPr>
                <w:sz w:val="18"/>
                <w:szCs w:val="18"/>
              </w:rPr>
            </w:pPr>
            <w:r>
              <w:rPr>
                <w:sz w:val="18"/>
                <w:szCs w:val="18"/>
              </w:rPr>
              <w:t>0.277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160</w:t>
            </w:r>
          </w:p>
        </w:tc>
        <w:tc>
          <w:tcPr>
            <w:tcW w:w="952" w:type="dxa"/>
            <w:vAlign w:val="center"/>
          </w:tcPr>
          <w:p>
            <w:pPr>
              <w:pStyle w:val="253"/>
              <w:ind w:firstLine="0" w:firstLineChars="0"/>
              <w:jc w:val="center"/>
              <w:rPr>
                <w:sz w:val="18"/>
                <w:szCs w:val="18"/>
              </w:rPr>
            </w:pPr>
            <w:r>
              <w:rPr>
                <w:sz w:val="18"/>
                <w:szCs w:val="18"/>
              </w:rPr>
              <w:t>0.274</w:t>
            </w:r>
          </w:p>
        </w:tc>
        <w:tc>
          <w:tcPr>
            <w:tcW w:w="953" w:type="dxa"/>
            <w:vAlign w:val="center"/>
          </w:tcPr>
          <w:p>
            <w:pPr>
              <w:pStyle w:val="253"/>
              <w:ind w:firstLine="0" w:firstLineChars="0"/>
              <w:jc w:val="center"/>
              <w:rPr>
                <w:sz w:val="18"/>
                <w:szCs w:val="18"/>
              </w:rPr>
            </w:pPr>
            <w:r>
              <w:rPr>
                <w:sz w:val="18"/>
                <w:szCs w:val="18"/>
              </w:rPr>
              <w:t>0.271</w:t>
            </w:r>
          </w:p>
        </w:tc>
        <w:tc>
          <w:tcPr>
            <w:tcW w:w="953" w:type="dxa"/>
            <w:vAlign w:val="center"/>
          </w:tcPr>
          <w:p>
            <w:pPr>
              <w:pStyle w:val="253"/>
              <w:ind w:firstLine="0" w:firstLineChars="0"/>
              <w:jc w:val="center"/>
              <w:rPr>
                <w:sz w:val="18"/>
                <w:szCs w:val="18"/>
              </w:rPr>
            </w:pPr>
            <w:r>
              <w:rPr>
                <w:sz w:val="18"/>
                <w:szCs w:val="18"/>
              </w:rPr>
              <w:t>0.268</w:t>
            </w:r>
          </w:p>
        </w:tc>
        <w:tc>
          <w:tcPr>
            <w:tcW w:w="953" w:type="dxa"/>
            <w:vAlign w:val="center"/>
          </w:tcPr>
          <w:p>
            <w:pPr>
              <w:pStyle w:val="253"/>
              <w:ind w:firstLine="0" w:firstLineChars="0"/>
              <w:jc w:val="center"/>
              <w:rPr>
                <w:sz w:val="18"/>
                <w:szCs w:val="18"/>
              </w:rPr>
            </w:pPr>
            <w:r>
              <w:rPr>
                <w:sz w:val="18"/>
                <w:szCs w:val="18"/>
              </w:rPr>
              <w:t>0.265</w:t>
            </w:r>
          </w:p>
        </w:tc>
        <w:tc>
          <w:tcPr>
            <w:tcW w:w="953" w:type="dxa"/>
            <w:vAlign w:val="center"/>
          </w:tcPr>
          <w:p>
            <w:pPr>
              <w:pStyle w:val="253"/>
              <w:ind w:firstLine="0" w:firstLineChars="0"/>
              <w:jc w:val="center"/>
              <w:rPr>
                <w:sz w:val="18"/>
                <w:szCs w:val="18"/>
              </w:rPr>
            </w:pPr>
            <w:r>
              <w:rPr>
                <w:sz w:val="18"/>
                <w:szCs w:val="18"/>
              </w:rPr>
              <w:t>0.262</w:t>
            </w:r>
          </w:p>
        </w:tc>
        <w:tc>
          <w:tcPr>
            <w:tcW w:w="953" w:type="dxa"/>
            <w:vAlign w:val="center"/>
          </w:tcPr>
          <w:p>
            <w:pPr>
              <w:pStyle w:val="253"/>
              <w:ind w:firstLine="0" w:firstLineChars="0"/>
              <w:jc w:val="center"/>
              <w:rPr>
                <w:sz w:val="18"/>
                <w:szCs w:val="18"/>
              </w:rPr>
            </w:pPr>
            <w:r>
              <w:rPr>
                <w:sz w:val="18"/>
                <w:szCs w:val="18"/>
              </w:rPr>
              <w:t>0.259</w:t>
            </w:r>
          </w:p>
        </w:tc>
        <w:tc>
          <w:tcPr>
            <w:tcW w:w="953" w:type="dxa"/>
            <w:vAlign w:val="center"/>
          </w:tcPr>
          <w:p>
            <w:pPr>
              <w:pStyle w:val="253"/>
              <w:ind w:firstLine="0" w:firstLineChars="0"/>
              <w:jc w:val="center"/>
              <w:rPr>
                <w:sz w:val="18"/>
                <w:szCs w:val="18"/>
              </w:rPr>
            </w:pPr>
            <w:r>
              <w:rPr>
                <w:sz w:val="18"/>
                <w:szCs w:val="18"/>
              </w:rPr>
              <w:t>0.256</w:t>
            </w:r>
          </w:p>
        </w:tc>
        <w:tc>
          <w:tcPr>
            <w:tcW w:w="953" w:type="dxa"/>
            <w:vAlign w:val="center"/>
          </w:tcPr>
          <w:p>
            <w:pPr>
              <w:pStyle w:val="253"/>
              <w:ind w:firstLine="0" w:firstLineChars="0"/>
              <w:jc w:val="center"/>
              <w:rPr>
                <w:sz w:val="18"/>
                <w:szCs w:val="18"/>
              </w:rPr>
            </w:pPr>
            <w:r>
              <w:rPr>
                <w:sz w:val="18"/>
                <w:szCs w:val="18"/>
              </w:rPr>
              <w:t>0.253</w:t>
            </w:r>
          </w:p>
        </w:tc>
        <w:tc>
          <w:tcPr>
            <w:tcW w:w="954" w:type="dxa"/>
            <w:vAlign w:val="center"/>
          </w:tcPr>
          <w:p>
            <w:pPr>
              <w:pStyle w:val="253"/>
              <w:ind w:firstLine="0" w:firstLineChars="0"/>
              <w:jc w:val="center"/>
              <w:rPr>
                <w:sz w:val="18"/>
                <w:szCs w:val="18"/>
              </w:rPr>
            </w:pPr>
            <w:r>
              <w:rPr>
                <w:sz w:val="18"/>
                <w:szCs w:val="18"/>
              </w:rPr>
              <w:t>0.251</w:t>
            </w:r>
          </w:p>
        </w:tc>
        <w:tc>
          <w:tcPr>
            <w:tcW w:w="0" w:type="auto"/>
            <w:vAlign w:val="center"/>
          </w:tcPr>
          <w:p>
            <w:pPr>
              <w:pStyle w:val="253"/>
              <w:ind w:firstLine="0" w:firstLineChars="0"/>
              <w:jc w:val="center"/>
              <w:rPr>
                <w:sz w:val="18"/>
                <w:szCs w:val="18"/>
              </w:rPr>
            </w:pPr>
            <w:r>
              <w:rPr>
                <w:sz w:val="18"/>
                <w:szCs w:val="18"/>
              </w:rPr>
              <w:t>0.248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170</w:t>
            </w:r>
          </w:p>
        </w:tc>
        <w:tc>
          <w:tcPr>
            <w:tcW w:w="952" w:type="dxa"/>
            <w:vAlign w:val="center"/>
          </w:tcPr>
          <w:p>
            <w:pPr>
              <w:pStyle w:val="253"/>
              <w:ind w:firstLine="0" w:firstLineChars="0"/>
              <w:jc w:val="center"/>
              <w:rPr>
                <w:sz w:val="18"/>
                <w:szCs w:val="18"/>
              </w:rPr>
            </w:pPr>
            <w:r>
              <w:rPr>
                <w:sz w:val="18"/>
                <w:szCs w:val="18"/>
              </w:rPr>
              <w:t>0.245</w:t>
            </w:r>
          </w:p>
        </w:tc>
        <w:tc>
          <w:tcPr>
            <w:tcW w:w="953" w:type="dxa"/>
            <w:vAlign w:val="center"/>
          </w:tcPr>
          <w:p>
            <w:pPr>
              <w:pStyle w:val="253"/>
              <w:ind w:firstLine="0" w:firstLineChars="0"/>
              <w:jc w:val="center"/>
              <w:rPr>
                <w:sz w:val="18"/>
                <w:szCs w:val="18"/>
              </w:rPr>
            </w:pPr>
            <w:r>
              <w:rPr>
                <w:sz w:val="18"/>
                <w:szCs w:val="18"/>
              </w:rPr>
              <w:t>0.243</w:t>
            </w:r>
          </w:p>
        </w:tc>
        <w:tc>
          <w:tcPr>
            <w:tcW w:w="953" w:type="dxa"/>
            <w:vAlign w:val="center"/>
          </w:tcPr>
          <w:p>
            <w:pPr>
              <w:pStyle w:val="253"/>
              <w:ind w:firstLine="0" w:firstLineChars="0"/>
              <w:jc w:val="center"/>
              <w:rPr>
                <w:sz w:val="18"/>
                <w:szCs w:val="18"/>
              </w:rPr>
            </w:pPr>
            <w:r>
              <w:rPr>
                <w:sz w:val="18"/>
                <w:szCs w:val="18"/>
              </w:rPr>
              <w:t>0.240</w:t>
            </w:r>
          </w:p>
        </w:tc>
        <w:tc>
          <w:tcPr>
            <w:tcW w:w="953" w:type="dxa"/>
            <w:vAlign w:val="center"/>
          </w:tcPr>
          <w:p>
            <w:pPr>
              <w:pStyle w:val="253"/>
              <w:ind w:firstLine="0" w:firstLineChars="0"/>
              <w:jc w:val="center"/>
              <w:rPr>
                <w:sz w:val="18"/>
                <w:szCs w:val="18"/>
              </w:rPr>
            </w:pPr>
            <w:r>
              <w:rPr>
                <w:sz w:val="18"/>
                <w:szCs w:val="18"/>
              </w:rPr>
              <w:t>0.237</w:t>
            </w:r>
          </w:p>
        </w:tc>
        <w:tc>
          <w:tcPr>
            <w:tcW w:w="953" w:type="dxa"/>
            <w:vAlign w:val="center"/>
          </w:tcPr>
          <w:p>
            <w:pPr>
              <w:pStyle w:val="253"/>
              <w:ind w:firstLine="0" w:firstLineChars="0"/>
              <w:jc w:val="center"/>
              <w:rPr>
                <w:sz w:val="18"/>
                <w:szCs w:val="18"/>
              </w:rPr>
            </w:pPr>
            <w:r>
              <w:rPr>
                <w:sz w:val="18"/>
                <w:szCs w:val="18"/>
              </w:rPr>
              <w:t>0.235</w:t>
            </w:r>
          </w:p>
        </w:tc>
        <w:tc>
          <w:tcPr>
            <w:tcW w:w="953" w:type="dxa"/>
            <w:vAlign w:val="center"/>
          </w:tcPr>
          <w:p>
            <w:pPr>
              <w:pStyle w:val="253"/>
              <w:ind w:firstLine="0" w:firstLineChars="0"/>
              <w:jc w:val="center"/>
              <w:rPr>
                <w:sz w:val="18"/>
                <w:szCs w:val="18"/>
              </w:rPr>
            </w:pPr>
            <w:r>
              <w:rPr>
                <w:sz w:val="18"/>
                <w:szCs w:val="18"/>
              </w:rPr>
              <w:t>0.232</w:t>
            </w:r>
          </w:p>
        </w:tc>
        <w:tc>
          <w:tcPr>
            <w:tcW w:w="953" w:type="dxa"/>
            <w:vAlign w:val="center"/>
          </w:tcPr>
          <w:p>
            <w:pPr>
              <w:pStyle w:val="253"/>
              <w:ind w:firstLine="0" w:firstLineChars="0"/>
              <w:jc w:val="center"/>
              <w:rPr>
                <w:sz w:val="18"/>
                <w:szCs w:val="18"/>
              </w:rPr>
            </w:pPr>
            <w:r>
              <w:rPr>
                <w:sz w:val="18"/>
                <w:szCs w:val="18"/>
              </w:rPr>
              <w:t>0.230</w:t>
            </w:r>
          </w:p>
        </w:tc>
        <w:tc>
          <w:tcPr>
            <w:tcW w:w="953" w:type="dxa"/>
            <w:vAlign w:val="center"/>
          </w:tcPr>
          <w:p>
            <w:pPr>
              <w:pStyle w:val="253"/>
              <w:ind w:firstLine="0" w:firstLineChars="0"/>
              <w:jc w:val="center"/>
              <w:rPr>
                <w:sz w:val="18"/>
                <w:szCs w:val="18"/>
              </w:rPr>
            </w:pPr>
            <w:r>
              <w:rPr>
                <w:sz w:val="18"/>
                <w:szCs w:val="18"/>
              </w:rPr>
              <w:t>0.227</w:t>
            </w:r>
          </w:p>
        </w:tc>
        <w:tc>
          <w:tcPr>
            <w:tcW w:w="954" w:type="dxa"/>
            <w:vAlign w:val="center"/>
          </w:tcPr>
          <w:p>
            <w:pPr>
              <w:pStyle w:val="253"/>
              <w:ind w:firstLine="0" w:firstLineChars="0"/>
              <w:jc w:val="center"/>
              <w:rPr>
                <w:sz w:val="18"/>
                <w:szCs w:val="18"/>
              </w:rPr>
            </w:pPr>
            <w:r>
              <w:rPr>
                <w:sz w:val="18"/>
                <w:szCs w:val="18"/>
              </w:rPr>
              <w:t>0.225</w:t>
            </w:r>
          </w:p>
        </w:tc>
        <w:tc>
          <w:tcPr>
            <w:tcW w:w="0" w:type="auto"/>
            <w:vAlign w:val="center"/>
          </w:tcPr>
          <w:p>
            <w:pPr>
              <w:pStyle w:val="253"/>
              <w:ind w:firstLine="0" w:firstLineChars="0"/>
              <w:jc w:val="center"/>
              <w:rPr>
                <w:sz w:val="18"/>
                <w:szCs w:val="18"/>
              </w:rPr>
            </w:pPr>
            <w:r>
              <w:rPr>
                <w:sz w:val="18"/>
                <w:szCs w:val="18"/>
              </w:rPr>
              <w:t>0.223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180</w:t>
            </w:r>
          </w:p>
        </w:tc>
        <w:tc>
          <w:tcPr>
            <w:tcW w:w="952" w:type="dxa"/>
            <w:vAlign w:val="center"/>
          </w:tcPr>
          <w:p>
            <w:pPr>
              <w:pStyle w:val="253"/>
              <w:ind w:firstLine="0" w:firstLineChars="0"/>
              <w:jc w:val="center"/>
              <w:rPr>
                <w:sz w:val="18"/>
                <w:szCs w:val="18"/>
              </w:rPr>
            </w:pPr>
            <w:r>
              <w:rPr>
                <w:sz w:val="18"/>
                <w:szCs w:val="18"/>
              </w:rPr>
              <w:t>0.220</w:t>
            </w:r>
          </w:p>
        </w:tc>
        <w:tc>
          <w:tcPr>
            <w:tcW w:w="953" w:type="dxa"/>
            <w:vAlign w:val="center"/>
          </w:tcPr>
          <w:p>
            <w:pPr>
              <w:pStyle w:val="253"/>
              <w:ind w:firstLine="0" w:firstLineChars="0"/>
              <w:jc w:val="center"/>
              <w:rPr>
                <w:sz w:val="18"/>
                <w:szCs w:val="18"/>
              </w:rPr>
            </w:pPr>
            <w:r>
              <w:rPr>
                <w:sz w:val="18"/>
                <w:szCs w:val="18"/>
              </w:rPr>
              <w:t>0.218</w:t>
            </w:r>
          </w:p>
        </w:tc>
        <w:tc>
          <w:tcPr>
            <w:tcW w:w="953" w:type="dxa"/>
            <w:vAlign w:val="center"/>
          </w:tcPr>
          <w:p>
            <w:pPr>
              <w:pStyle w:val="253"/>
              <w:ind w:firstLine="0" w:firstLineChars="0"/>
              <w:jc w:val="center"/>
              <w:rPr>
                <w:sz w:val="18"/>
                <w:szCs w:val="18"/>
              </w:rPr>
            </w:pPr>
            <w:r>
              <w:rPr>
                <w:sz w:val="18"/>
                <w:szCs w:val="18"/>
              </w:rPr>
              <w:t>0.216</w:t>
            </w:r>
          </w:p>
        </w:tc>
        <w:tc>
          <w:tcPr>
            <w:tcW w:w="953" w:type="dxa"/>
            <w:vAlign w:val="center"/>
          </w:tcPr>
          <w:p>
            <w:pPr>
              <w:pStyle w:val="253"/>
              <w:ind w:firstLine="0" w:firstLineChars="0"/>
              <w:jc w:val="center"/>
              <w:rPr>
                <w:sz w:val="18"/>
                <w:szCs w:val="18"/>
              </w:rPr>
            </w:pPr>
            <w:r>
              <w:rPr>
                <w:sz w:val="18"/>
                <w:szCs w:val="18"/>
              </w:rPr>
              <w:t>0.214</w:t>
            </w:r>
          </w:p>
        </w:tc>
        <w:tc>
          <w:tcPr>
            <w:tcW w:w="953" w:type="dxa"/>
            <w:vAlign w:val="center"/>
          </w:tcPr>
          <w:p>
            <w:pPr>
              <w:pStyle w:val="253"/>
              <w:ind w:firstLine="0" w:firstLineChars="0"/>
              <w:jc w:val="center"/>
              <w:rPr>
                <w:sz w:val="18"/>
                <w:szCs w:val="18"/>
              </w:rPr>
            </w:pPr>
            <w:r>
              <w:rPr>
                <w:sz w:val="18"/>
                <w:szCs w:val="18"/>
              </w:rPr>
              <w:t>0.21l</w:t>
            </w:r>
          </w:p>
        </w:tc>
        <w:tc>
          <w:tcPr>
            <w:tcW w:w="953" w:type="dxa"/>
            <w:vAlign w:val="center"/>
          </w:tcPr>
          <w:p>
            <w:pPr>
              <w:pStyle w:val="253"/>
              <w:ind w:firstLine="0" w:firstLineChars="0"/>
              <w:jc w:val="center"/>
              <w:rPr>
                <w:sz w:val="18"/>
                <w:szCs w:val="18"/>
              </w:rPr>
            </w:pPr>
            <w:r>
              <w:rPr>
                <w:sz w:val="18"/>
                <w:szCs w:val="18"/>
              </w:rPr>
              <w:t>0.209</w:t>
            </w:r>
          </w:p>
        </w:tc>
        <w:tc>
          <w:tcPr>
            <w:tcW w:w="953" w:type="dxa"/>
            <w:vAlign w:val="center"/>
          </w:tcPr>
          <w:p>
            <w:pPr>
              <w:pStyle w:val="253"/>
              <w:ind w:firstLine="0" w:firstLineChars="0"/>
              <w:jc w:val="center"/>
              <w:rPr>
                <w:sz w:val="18"/>
                <w:szCs w:val="18"/>
              </w:rPr>
            </w:pPr>
            <w:r>
              <w:rPr>
                <w:sz w:val="18"/>
                <w:szCs w:val="18"/>
              </w:rPr>
              <w:t>0.207</w:t>
            </w:r>
          </w:p>
        </w:tc>
        <w:tc>
          <w:tcPr>
            <w:tcW w:w="953" w:type="dxa"/>
            <w:vAlign w:val="center"/>
          </w:tcPr>
          <w:p>
            <w:pPr>
              <w:pStyle w:val="253"/>
              <w:ind w:firstLine="0" w:firstLineChars="0"/>
              <w:jc w:val="center"/>
              <w:rPr>
                <w:sz w:val="18"/>
                <w:szCs w:val="18"/>
              </w:rPr>
            </w:pPr>
            <w:r>
              <w:rPr>
                <w:sz w:val="18"/>
                <w:szCs w:val="18"/>
              </w:rPr>
              <w:t>0.205</w:t>
            </w:r>
          </w:p>
        </w:tc>
        <w:tc>
          <w:tcPr>
            <w:tcW w:w="954" w:type="dxa"/>
            <w:vAlign w:val="center"/>
          </w:tcPr>
          <w:p>
            <w:pPr>
              <w:pStyle w:val="253"/>
              <w:ind w:firstLine="0" w:firstLineChars="0"/>
              <w:jc w:val="center"/>
              <w:rPr>
                <w:sz w:val="18"/>
                <w:szCs w:val="18"/>
              </w:rPr>
            </w:pPr>
            <w:r>
              <w:rPr>
                <w:sz w:val="18"/>
                <w:szCs w:val="18"/>
              </w:rPr>
              <w:t>0.203</w:t>
            </w:r>
          </w:p>
        </w:tc>
        <w:tc>
          <w:tcPr>
            <w:tcW w:w="0" w:type="auto"/>
            <w:vAlign w:val="center"/>
          </w:tcPr>
          <w:p>
            <w:pPr>
              <w:pStyle w:val="253"/>
              <w:ind w:firstLine="0" w:firstLineChars="0"/>
              <w:jc w:val="center"/>
              <w:rPr>
                <w:sz w:val="18"/>
                <w:szCs w:val="18"/>
              </w:rPr>
            </w:pPr>
            <w:r>
              <w:rPr>
                <w:sz w:val="18"/>
                <w:szCs w:val="18"/>
              </w:rPr>
              <w:t>0.201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190</w:t>
            </w:r>
          </w:p>
        </w:tc>
        <w:tc>
          <w:tcPr>
            <w:tcW w:w="952" w:type="dxa"/>
            <w:vAlign w:val="center"/>
          </w:tcPr>
          <w:p>
            <w:pPr>
              <w:pStyle w:val="253"/>
              <w:ind w:firstLine="0" w:firstLineChars="0"/>
              <w:jc w:val="center"/>
              <w:rPr>
                <w:sz w:val="18"/>
                <w:szCs w:val="18"/>
              </w:rPr>
            </w:pPr>
            <w:r>
              <w:rPr>
                <w:sz w:val="18"/>
                <w:szCs w:val="18"/>
              </w:rPr>
              <w:t>0.199</w:t>
            </w:r>
          </w:p>
        </w:tc>
        <w:tc>
          <w:tcPr>
            <w:tcW w:w="953" w:type="dxa"/>
            <w:vAlign w:val="center"/>
          </w:tcPr>
          <w:p>
            <w:pPr>
              <w:pStyle w:val="253"/>
              <w:ind w:firstLine="0" w:firstLineChars="0"/>
              <w:jc w:val="center"/>
              <w:rPr>
                <w:sz w:val="18"/>
                <w:szCs w:val="18"/>
              </w:rPr>
            </w:pPr>
            <w:r>
              <w:rPr>
                <w:sz w:val="18"/>
                <w:szCs w:val="18"/>
              </w:rPr>
              <w:t>0.197</w:t>
            </w:r>
          </w:p>
        </w:tc>
        <w:tc>
          <w:tcPr>
            <w:tcW w:w="953" w:type="dxa"/>
            <w:vAlign w:val="center"/>
          </w:tcPr>
          <w:p>
            <w:pPr>
              <w:pStyle w:val="253"/>
              <w:ind w:firstLine="0" w:firstLineChars="0"/>
              <w:jc w:val="center"/>
              <w:rPr>
                <w:sz w:val="18"/>
                <w:szCs w:val="18"/>
              </w:rPr>
            </w:pPr>
            <w:r>
              <w:rPr>
                <w:sz w:val="18"/>
                <w:szCs w:val="18"/>
              </w:rPr>
              <w:t>0.195</w:t>
            </w:r>
          </w:p>
        </w:tc>
        <w:tc>
          <w:tcPr>
            <w:tcW w:w="953" w:type="dxa"/>
            <w:vAlign w:val="center"/>
          </w:tcPr>
          <w:p>
            <w:pPr>
              <w:pStyle w:val="253"/>
              <w:ind w:firstLine="0" w:firstLineChars="0"/>
              <w:jc w:val="center"/>
              <w:rPr>
                <w:sz w:val="18"/>
                <w:szCs w:val="18"/>
              </w:rPr>
            </w:pPr>
            <w:r>
              <w:rPr>
                <w:sz w:val="18"/>
                <w:szCs w:val="18"/>
              </w:rPr>
              <w:t>0.193</w:t>
            </w:r>
          </w:p>
        </w:tc>
        <w:tc>
          <w:tcPr>
            <w:tcW w:w="953" w:type="dxa"/>
            <w:vAlign w:val="center"/>
          </w:tcPr>
          <w:p>
            <w:pPr>
              <w:pStyle w:val="253"/>
              <w:ind w:firstLine="0" w:firstLineChars="0"/>
              <w:jc w:val="center"/>
              <w:rPr>
                <w:sz w:val="18"/>
                <w:szCs w:val="18"/>
              </w:rPr>
            </w:pPr>
            <w:r>
              <w:rPr>
                <w:sz w:val="18"/>
                <w:szCs w:val="18"/>
              </w:rPr>
              <w:t>0.191</w:t>
            </w:r>
          </w:p>
        </w:tc>
        <w:tc>
          <w:tcPr>
            <w:tcW w:w="953" w:type="dxa"/>
            <w:vAlign w:val="center"/>
          </w:tcPr>
          <w:p>
            <w:pPr>
              <w:pStyle w:val="253"/>
              <w:ind w:firstLine="0" w:firstLineChars="0"/>
              <w:jc w:val="center"/>
              <w:rPr>
                <w:sz w:val="18"/>
                <w:szCs w:val="18"/>
              </w:rPr>
            </w:pPr>
            <w:r>
              <w:rPr>
                <w:sz w:val="18"/>
                <w:szCs w:val="18"/>
              </w:rPr>
              <w:t>0.189</w:t>
            </w:r>
          </w:p>
        </w:tc>
        <w:tc>
          <w:tcPr>
            <w:tcW w:w="953" w:type="dxa"/>
            <w:vAlign w:val="center"/>
          </w:tcPr>
          <w:p>
            <w:pPr>
              <w:pStyle w:val="253"/>
              <w:ind w:firstLine="0" w:firstLineChars="0"/>
              <w:jc w:val="center"/>
              <w:rPr>
                <w:sz w:val="18"/>
                <w:szCs w:val="18"/>
              </w:rPr>
            </w:pPr>
            <w:r>
              <w:rPr>
                <w:sz w:val="18"/>
                <w:szCs w:val="18"/>
              </w:rPr>
              <w:t>0.188</w:t>
            </w:r>
          </w:p>
        </w:tc>
        <w:tc>
          <w:tcPr>
            <w:tcW w:w="953" w:type="dxa"/>
            <w:vAlign w:val="center"/>
          </w:tcPr>
          <w:p>
            <w:pPr>
              <w:pStyle w:val="253"/>
              <w:ind w:firstLine="0" w:firstLineChars="0"/>
              <w:jc w:val="center"/>
              <w:rPr>
                <w:sz w:val="18"/>
                <w:szCs w:val="18"/>
              </w:rPr>
            </w:pPr>
            <w:r>
              <w:rPr>
                <w:sz w:val="18"/>
                <w:szCs w:val="18"/>
              </w:rPr>
              <w:t>0.186</w:t>
            </w:r>
          </w:p>
        </w:tc>
        <w:tc>
          <w:tcPr>
            <w:tcW w:w="954" w:type="dxa"/>
            <w:vAlign w:val="center"/>
          </w:tcPr>
          <w:p>
            <w:pPr>
              <w:pStyle w:val="253"/>
              <w:ind w:firstLine="0" w:firstLineChars="0"/>
              <w:jc w:val="center"/>
              <w:rPr>
                <w:sz w:val="18"/>
                <w:szCs w:val="18"/>
              </w:rPr>
            </w:pPr>
            <w:r>
              <w:rPr>
                <w:sz w:val="18"/>
                <w:szCs w:val="18"/>
              </w:rPr>
              <w:t>0.184</w:t>
            </w:r>
          </w:p>
        </w:tc>
        <w:tc>
          <w:tcPr>
            <w:tcW w:w="0" w:type="auto"/>
            <w:vAlign w:val="center"/>
          </w:tcPr>
          <w:p>
            <w:pPr>
              <w:pStyle w:val="253"/>
              <w:ind w:firstLine="0" w:firstLineChars="0"/>
              <w:jc w:val="center"/>
              <w:rPr>
                <w:sz w:val="18"/>
                <w:szCs w:val="18"/>
              </w:rPr>
            </w:pPr>
            <w:r>
              <w:rPr>
                <w:sz w:val="18"/>
                <w:szCs w:val="18"/>
              </w:rPr>
              <w:t>0.182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200</w:t>
            </w:r>
          </w:p>
        </w:tc>
        <w:tc>
          <w:tcPr>
            <w:tcW w:w="952" w:type="dxa"/>
            <w:vAlign w:val="center"/>
          </w:tcPr>
          <w:p>
            <w:pPr>
              <w:pStyle w:val="253"/>
              <w:ind w:firstLine="0" w:firstLineChars="0"/>
              <w:jc w:val="center"/>
              <w:rPr>
                <w:sz w:val="18"/>
                <w:szCs w:val="18"/>
              </w:rPr>
            </w:pPr>
            <w:r>
              <w:rPr>
                <w:sz w:val="18"/>
                <w:szCs w:val="18"/>
              </w:rPr>
              <w:t>0.180</w:t>
            </w:r>
          </w:p>
        </w:tc>
        <w:tc>
          <w:tcPr>
            <w:tcW w:w="953" w:type="dxa"/>
            <w:vAlign w:val="center"/>
          </w:tcPr>
          <w:p>
            <w:pPr>
              <w:pStyle w:val="253"/>
              <w:ind w:firstLine="0" w:firstLineChars="0"/>
              <w:jc w:val="center"/>
              <w:rPr>
                <w:sz w:val="18"/>
                <w:szCs w:val="18"/>
              </w:rPr>
            </w:pPr>
            <w:r>
              <w:rPr>
                <w:sz w:val="18"/>
                <w:szCs w:val="18"/>
              </w:rPr>
              <w:t>0.179</w:t>
            </w:r>
          </w:p>
        </w:tc>
        <w:tc>
          <w:tcPr>
            <w:tcW w:w="953" w:type="dxa"/>
            <w:vAlign w:val="center"/>
          </w:tcPr>
          <w:p>
            <w:pPr>
              <w:pStyle w:val="253"/>
              <w:ind w:firstLine="0" w:firstLineChars="0"/>
              <w:jc w:val="center"/>
              <w:rPr>
                <w:sz w:val="18"/>
                <w:szCs w:val="18"/>
              </w:rPr>
            </w:pPr>
            <w:r>
              <w:rPr>
                <w:sz w:val="18"/>
                <w:szCs w:val="18"/>
              </w:rPr>
              <w:t>0.177</w:t>
            </w:r>
          </w:p>
        </w:tc>
        <w:tc>
          <w:tcPr>
            <w:tcW w:w="953" w:type="dxa"/>
            <w:vAlign w:val="center"/>
          </w:tcPr>
          <w:p>
            <w:pPr>
              <w:pStyle w:val="253"/>
              <w:ind w:firstLine="0" w:firstLineChars="0"/>
              <w:jc w:val="center"/>
              <w:rPr>
                <w:sz w:val="18"/>
                <w:szCs w:val="18"/>
              </w:rPr>
            </w:pPr>
            <w:r>
              <w:rPr>
                <w:sz w:val="18"/>
                <w:szCs w:val="18"/>
              </w:rPr>
              <w:t>0.175</w:t>
            </w:r>
          </w:p>
        </w:tc>
        <w:tc>
          <w:tcPr>
            <w:tcW w:w="953" w:type="dxa"/>
            <w:vAlign w:val="center"/>
          </w:tcPr>
          <w:p>
            <w:pPr>
              <w:pStyle w:val="253"/>
              <w:ind w:firstLine="0" w:firstLineChars="0"/>
              <w:jc w:val="center"/>
              <w:rPr>
                <w:sz w:val="18"/>
                <w:szCs w:val="18"/>
              </w:rPr>
            </w:pPr>
            <w:r>
              <w:rPr>
                <w:sz w:val="18"/>
                <w:szCs w:val="18"/>
              </w:rPr>
              <w:t>0.174</w:t>
            </w:r>
          </w:p>
        </w:tc>
        <w:tc>
          <w:tcPr>
            <w:tcW w:w="953" w:type="dxa"/>
            <w:vAlign w:val="center"/>
          </w:tcPr>
          <w:p>
            <w:pPr>
              <w:pStyle w:val="253"/>
              <w:ind w:firstLine="0" w:firstLineChars="0"/>
              <w:jc w:val="center"/>
              <w:rPr>
                <w:sz w:val="18"/>
                <w:szCs w:val="18"/>
              </w:rPr>
            </w:pPr>
            <w:r>
              <w:rPr>
                <w:sz w:val="18"/>
                <w:szCs w:val="18"/>
              </w:rPr>
              <w:t>0.172</w:t>
            </w:r>
          </w:p>
        </w:tc>
        <w:tc>
          <w:tcPr>
            <w:tcW w:w="953" w:type="dxa"/>
            <w:vAlign w:val="center"/>
          </w:tcPr>
          <w:p>
            <w:pPr>
              <w:pStyle w:val="253"/>
              <w:ind w:firstLine="0" w:firstLineChars="0"/>
              <w:jc w:val="center"/>
              <w:rPr>
                <w:sz w:val="18"/>
                <w:szCs w:val="18"/>
              </w:rPr>
            </w:pPr>
            <w:r>
              <w:rPr>
                <w:sz w:val="18"/>
                <w:szCs w:val="18"/>
              </w:rPr>
              <w:t>0.171</w:t>
            </w:r>
          </w:p>
        </w:tc>
        <w:tc>
          <w:tcPr>
            <w:tcW w:w="953" w:type="dxa"/>
            <w:vAlign w:val="center"/>
          </w:tcPr>
          <w:p>
            <w:pPr>
              <w:pStyle w:val="253"/>
              <w:ind w:firstLine="0" w:firstLineChars="0"/>
              <w:jc w:val="center"/>
              <w:rPr>
                <w:sz w:val="18"/>
                <w:szCs w:val="18"/>
              </w:rPr>
            </w:pPr>
            <w:r>
              <w:rPr>
                <w:sz w:val="18"/>
                <w:szCs w:val="18"/>
              </w:rPr>
              <w:t>0.169</w:t>
            </w:r>
          </w:p>
        </w:tc>
        <w:tc>
          <w:tcPr>
            <w:tcW w:w="954" w:type="dxa"/>
            <w:vAlign w:val="center"/>
          </w:tcPr>
          <w:p>
            <w:pPr>
              <w:pStyle w:val="253"/>
              <w:ind w:firstLine="0" w:firstLineChars="0"/>
              <w:jc w:val="center"/>
              <w:rPr>
                <w:sz w:val="18"/>
                <w:szCs w:val="18"/>
              </w:rPr>
            </w:pPr>
            <w:r>
              <w:rPr>
                <w:sz w:val="18"/>
                <w:szCs w:val="18"/>
              </w:rPr>
              <w:t>0.167</w:t>
            </w:r>
          </w:p>
        </w:tc>
        <w:tc>
          <w:tcPr>
            <w:tcW w:w="0" w:type="auto"/>
            <w:vAlign w:val="center"/>
          </w:tcPr>
          <w:p>
            <w:pPr>
              <w:pStyle w:val="253"/>
              <w:ind w:firstLine="0" w:firstLineChars="0"/>
              <w:jc w:val="center"/>
              <w:rPr>
                <w:sz w:val="18"/>
                <w:szCs w:val="18"/>
              </w:rPr>
            </w:pPr>
            <w:r>
              <w:rPr>
                <w:sz w:val="18"/>
                <w:szCs w:val="18"/>
              </w:rPr>
              <w:t>0.166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210</w:t>
            </w:r>
          </w:p>
        </w:tc>
        <w:tc>
          <w:tcPr>
            <w:tcW w:w="952" w:type="dxa"/>
            <w:vAlign w:val="center"/>
          </w:tcPr>
          <w:p>
            <w:pPr>
              <w:pStyle w:val="253"/>
              <w:ind w:firstLine="0" w:firstLineChars="0"/>
              <w:jc w:val="center"/>
              <w:rPr>
                <w:sz w:val="18"/>
                <w:szCs w:val="18"/>
              </w:rPr>
            </w:pPr>
            <w:r>
              <w:rPr>
                <w:sz w:val="18"/>
                <w:szCs w:val="18"/>
              </w:rPr>
              <w:t>0.164</w:t>
            </w:r>
          </w:p>
        </w:tc>
        <w:tc>
          <w:tcPr>
            <w:tcW w:w="953" w:type="dxa"/>
            <w:vAlign w:val="center"/>
          </w:tcPr>
          <w:p>
            <w:pPr>
              <w:pStyle w:val="253"/>
              <w:ind w:firstLine="0" w:firstLineChars="0"/>
              <w:jc w:val="center"/>
              <w:rPr>
                <w:sz w:val="18"/>
                <w:szCs w:val="18"/>
              </w:rPr>
            </w:pPr>
            <w:r>
              <w:rPr>
                <w:sz w:val="18"/>
                <w:szCs w:val="18"/>
              </w:rPr>
              <w:t>0.163</w:t>
            </w:r>
          </w:p>
        </w:tc>
        <w:tc>
          <w:tcPr>
            <w:tcW w:w="953" w:type="dxa"/>
            <w:vAlign w:val="center"/>
          </w:tcPr>
          <w:p>
            <w:pPr>
              <w:pStyle w:val="253"/>
              <w:ind w:firstLine="0" w:firstLineChars="0"/>
              <w:jc w:val="center"/>
              <w:rPr>
                <w:sz w:val="18"/>
                <w:szCs w:val="18"/>
              </w:rPr>
            </w:pPr>
            <w:r>
              <w:rPr>
                <w:sz w:val="18"/>
                <w:szCs w:val="18"/>
              </w:rPr>
              <w:t>0.161</w:t>
            </w:r>
          </w:p>
        </w:tc>
        <w:tc>
          <w:tcPr>
            <w:tcW w:w="953" w:type="dxa"/>
            <w:vAlign w:val="center"/>
          </w:tcPr>
          <w:p>
            <w:pPr>
              <w:pStyle w:val="253"/>
              <w:ind w:firstLine="0" w:firstLineChars="0"/>
              <w:jc w:val="center"/>
              <w:rPr>
                <w:sz w:val="18"/>
                <w:szCs w:val="18"/>
              </w:rPr>
            </w:pPr>
            <w:r>
              <w:rPr>
                <w:sz w:val="18"/>
                <w:szCs w:val="18"/>
              </w:rPr>
              <w:t>0.160</w:t>
            </w:r>
          </w:p>
        </w:tc>
        <w:tc>
          <w:tcPr>
            <w:tcW w:w="953" w:type="dxa"/>
            <w:vAlign w:val="center"/>
          </w:tcPr>
          <w:p>
            <w:pPr>
              <w:pStyle w:val="253"/>
              <w:ind w:firstLine="0" w:firstLineChars="0"/>
              <w:jc w:val="center"/>
              <w:rPr>
                <w:sz w:val="18"/>
                <w:szCs w:val="18"/>
              </w:rPr>
            </w:pPr>
            <w:r>
              <w:rPr>
                <w:sz w:val="18"/>
                <w:szCs w:val="18"/>
              </w:rPr>
              <w:t>0.159</w:t>
            </w:r>
          </w:p>
        </w:tc>
        <w:tc>
          <w:tcPr>
            <w:tcW w:w="953" w:type="dxa"/>
            <w:vAlign w:val="center"/>
          </w:tcPr>
          <w:p>
            <w:pPr>
              <w:pStyle w:val="253"/>
              <w:ind w:firstLine="0" w:firstLineChars="0"/>
              <w:jc w:val="center"/>
              <w:rPr>
                <w:sz w:val="18"/>
                <w:szCs w:val="18"/>
              </w:rPr>
            </w:pPr>
            <w:r>
              <w:rPr>
                <w:sz w:val="18"/>
                <w:szCs w:val="18"/>
              </w:rPr>
              <w:t>0.157</w:t>
            </w:r>
          </w:p>
        </w:tc>
        <w:tc>
          <w:tcPr>
            <w:tcW w:w="953" w:type="dxa"/>
            <w:vAlign w:val="center"/>
          </w:tcPr>
          <w:p>
            <w:pPr>
              <w:pStyle w:val="253"/>
              <w:ind w:firstLine="0" w:firstLineChars="0"/>
              <w:jc w:val="center"/>
              <w:rPr>
                <w:sz w:val="18"/>
                <w:szCs w:val="18"/>
              </w:rPr>
            </w:pPr>
            <w:r>
              <w:rPr>
                <w:sz w:val="18"/>
                <w:szCs w:val="18"/>
              </w:rPr>
              <w:t>0.156</w:t>
            </w:r>
          </w:p>
        </w:tc>
        <w:tc>
          <w:tcPr>
            <w:tcW w:w="953" w:type="dxa"/>
            <w:vAlign w:val="center"/>
          </w:tcPr>
          <w:p>
            <w:pPr>
              <w:pStyle w:val="253"/>
              <w:ind w:firstLine="0" w:firstLineChars="0"/>
              <w:jc w:val="center"/>
              <w:rPr>
                <w:sz w:val="18"/>
                <w:szCs w:val="18"/>
              </w:rPr>
            </w:pPr>
            <w:r>
              <w:rPr>
                <w:sz w:val="18"/>
                <w:szCs w:val="18"/>
              </w:rPr>
              <w:t>0.154</w:t>
            </w:r>
          </w:p>
        </w:tc>
        <w:tc>
          <w:tcPr>
            <w:tcW w:w="954" w:type="dxa"/>
            <w:vAlign w:val="center"/>
          </w:tcPr>
          <w:p>
            <w:pPr>
              <w:pStyle w:val="253"/>
              <w:ind w:firstLine="0" w:firstLineChars="0"/>
              <w:jc w:val="center"/>
              <w:rPr>
                <w:sz w:val="18"/>
                <w:szCs w:val="18"/>
              </w:rPr>
            </w:pPr>
            <w:r>
              <w:rPr>
                <w:sz w:val="18"/>
                <w:szCs w:val="18"/>
              </w:rPr>
              <w:t>0.153</w:t>
            </w:r>
          </w:p>
        </w:tc>
        <w:tc>
          <w:tcPr>
            <w:tcW w:w="0" w:type="auto"/>
            <w:vAlign w:val="center"/>
          </w:tcPr>
          <w:p>
            <w:pPr>
              <w:pStyle w:val="253"/>
              <w:ind w:firstLine="0" w:firstLineChars="0"/>
              <w:jc w:val="center"/>
              <w:rPr>
                <w:sz w:val="18"/>
                <w:szCs w:val="18"/>
              </w:rPr>
            </w:pPr>
            <w:r>
              <w:rPr>
                <w:sz w:val="18"/>
                <w:szCs w:val="18"/>
              </w:rPr>
              <w:t>0.152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220</w:t>
            </w:r>
          </w:p>
        </w:tc>
        <w:tc>
          <w:tcPr>
            <w:tcW w:w="952" w:type="dxa"/>
            <w:vAlign w:val="center"/>
          </w:tcPr>
          <w:p>
            <w:pPr>
              <w:pStyle w:val="253"/>
              <w:ind w:firstLine="0" w:firstLineChars="0"/>
              <w:jc w:val="center"/>
              <w:rPr>
                <w:sz w:val="18"/>
                <w:szCs w:val="18"/>
              </w:rPr>
            </w:pPr>
            <w:r>
              <w:rPr>
                <w:sz w:val="18"/>
                <w:szCs w:val="18"/>
              </w:rPr>
              <w:t>0.150</w:t>
            </w:r>
          </w:p>
        </w:tc>
        <w:tc>
          <w:tcPr>
            <w:tcW w:w="953" w:type="dxa"/>
            <w:vAlign w:val="center"/>
          </w:tcPr>
          <w:p>
            <w:pPr>
              <w:pStyle w:val="253"/>
              <w:ind w:firstLine="0" w:firstLineChars="0"/>
              <w:jc w:val="center"/>
              <w:rPr>
                <w:sz w:val="18"/>
                <w:szCs w:val="18"/>
              </w:rPr>
            </w:pPr>
            <w:r>
              <w:rPr>
                <w:sz w:val="18"/>
                <w:szCs w:val="18"/>
              </w:rPr>
              <w:t>0.149</w:t>
            </w:r>
          </w:p>
        </w:tc>
        <w:tc>
          <w:tcPr>
            <w:tcW w:w="953" w:type="dxa"/>
            <w:vAlign w:val="center"/>
          </w:tcPr>
          <w:p>
            <w:pPr>
              <w:pStyle w:val="253"/>
              <w:ind w:firstLine="0" w:firstLineChars="0"/>
              <w:jc w:val="center"/>
              <w:rPr>
                <w:sz w:val="18"/>
                <w:szCs w:val="18"/>
              </w:rPr>
            </w:pPr>
            <w:r>
              <w:rPr>
                <w:sz w:val="18"/>
                <w:szCs w:val="18"/>
              </w:rPr>
              <w:t>0.148</w:t>
            </w:r>
          </w:p>
        </w:tc>
        <w:tc>
          <w:tcPr>
            <w:tcW w:w="953" w:type="dxa"/>
            <w:vAlign w:val="center"/>
          </w:tcPr>
          <w:p>
            <w:pPr>
              <w:pStyle w:val="253"/>
              <w:ind w:firstLine="0" w:firstLineChars="0"/>
              <w:jc w:val="center"/>
              <w:rPr>
                <w:sz w:val="18"/>
                <w:szCs w:val="18"/>
              </w:rPr>
            </w:pPr>
            <w:r>
              <w:rPr>
                <w:sz w:val="18"/>
                <w:szCs w:val="18"/>
              </w:rPr>
              <w:t>0.146</w:t>
            </w:r>
          </w:p>
        </w:tc>
        <w:tc>
          <w:tcPr>
            <w:tcW w:w="953" w:type="dxa"/>
            <w:vAlign w:val="center"/>
          </w:tcPr>
          <w:p>
            <w:pPr>
              <w:pStyle w:val="253"/>
              <w:ind w:firstLine="0" w:firstLineChars="0"/>
              <w:jc w:val="center"/>
              <w:rPr>
                <w:sz w:val="18"/>
                <w:szCs w:val="18"/>
              </w:rPr>
            </w:pPr>
            <w:r>
              <w:rPr>
                <w:sz w:val="18"/>
                <w:szCs w:val="18"/>
              </w:rPr>
              <w:t>0.145</w:t>
            </w:r>
          </w:p>
        </w:tc>
        <w:tc>
          <w:tcPr>
            <w:tcW w:w="953" w:type="dxa"/>
            <w:vAlign w:val="center"/>
          </w:tcPr>
          <w:p>
            <w:pPr>
              <w:pStyle w:val="253"/>
              <w:ind w:firstLine="0" w:firstLineChars="0"/>
              <w:jc w:val="center"/>
              <w:rPr>
                <w:sz w:val="18"/>
                <w:szCs w:val="18"/>
              </w:rPr>
            </w:pPr>
            <w:r>
              <w:rPr>
                <w:sz w:val="18"/>
                <w:szCs w:val="18"/>
              </w:rPr>
              <w:t>0.144</w:t>
            </w:r>
          </w:p>
        </w:tc>
        <w:tc>
          <w:tcPr>
            <w:tcW w:w="953" w:type="dxa"/>
            <w:vAlign w:val="center"/>
          </w:tcPr>
          <w:p>
            <w:pPr>
              <w:pStyle w:val="253"/>
              <w:ind w:firstLine="0" w:firstLineChars="0"/>
              <w:jc w:val="center"/>
              <w:rPr>
                <w:sz w:val="18"/>
                <w:szCs w:val="18"/>
              </w:rPr>
            </w:pPr>
            <w:r>
              <w:rPr>
                <w:sz w:val="18"/>
                <w:szCs w:val="18"/>
              </w:rPr>
              <w:t>0.143</w:t>
            </w:r>
          </w:p>
        </w:tc>
        <w:tc>
          <w:tcPr>
            <w:tcW w:w="953" w:type="dxa"/>
            <w:vAlign w:val="center"/>
          </w:tcPr>
          <w:p>
            <w:pPr>
              <w:pStyle w:val="253"/>
              <w:ind w:firstLine="0" w:firstLineChars="0"/>
              <w:jc w:val="center"/>
              <w:rPr>
                <w:sz w:val="18"/>
                <w:szCs w:val="18"/>
              </w:rPr>
            </w:pPr>
            <w:r>
              <w:rPr>
                <w:sz w:val="18"/>
                <w:szCs w:val="18"/>
              </w:rPr>
              <w:t>0.141</w:t>
            </w:r>
          </w:p>
        </w:tc>
        <w:tc>
          <w:tcPr>
            <w:tcW w:w="954" w:type="dxa"/>
            <w:vAlign w:val="center"/>
          </w:tcPr>
          <w:p>
            <w:pPr>
              <w:pStyle w:val="253"/>
              <w:ind w:firstLine="0" w:firstLineChars="0"/>
              <w:jc w:val="center"/>
              <w:rPr>
                <w:sz w:val="18"/>
                <w:szCs w:val="18"/>
              </w:rPr>
            </w:pPr>
            <w:r>
              <w:rPr>
                <w:sz w:val="18"/>
                <w:szCs w:val="18"/>
              </w:rPr>
              <w:t>0.140</w:t>
            </w:r>
          </w:p>
        </w:tc>
        <w:tc>
          <w:tcPr>
            <w:tcW w:w="0" w:type="auto"/>
            <w:vAlign w:val="center"/>
          </w:tcPr>
          <w:p>
            <w:pPr>
              <w:pStyle w:val="253"/>
              <w:ind w:firstLine="0" w:firstLineChars="0"/>
              <w:jc w:val="center"/>
              <w:rPr>
                <w:sz w:val="18"/>
                <w:szCs w:val="18"/>
              </w:rPr>
            </w:pPr>
            <w:r>
              <w:rPr>
                <w:sz w:val="18"/>
                <w:szCs w:val="18"/>
              </w:rPr>
              <w:t>0.139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230</w:t>
            </w:r>
          </w:p>
        </w:tc>
        <w:tc>
          <w:tcPr>
            <w:tcW w:w="952" w:type="dxa"/>
            <w:vAlign w:val="center"/>
          </w:tcPr>
          <w:p>
            <w:pPr>
              <w:pStyle w:val="253"/>
              <w:ind w:firstLine="0" w:firstLineChars="0"/>
              <w:jc w:val="center"/>
              <w:rPr>
                <w:sz w:val="18"/>
                <w:szCs w:val="18"/>
              </w:rPr>
            </w:pPr>
            <w:r>
              <w:rPr>
                <w:sz w:val="18"/>
                <w:szCs w:val="18"/>
              </w:rPr>
              <w:t>0.138</w:t>
            </w:r>
          </w:p>
        </w:tc>
        <w:tc>
          <w:tcPr>
            <w:tcW w:w="953" w:type="dxa"/>
            <w:vAlign w:val="center"/>
          </w:tcPr>
          <w:p>
            <w:pPr>
              <w:pStyle w:val="253"/>
              <w:ind w:firstLine="0" w:firstLineChars="0"/>
              <w:jc w:val="center"/>
              <w:rPr>
                <w:sz w:val="18"/>
                <w:szCs w:val="18"/>
              </w:rPr>
            </w:pPr>
            <w:r>
              <w:rPr>
                <w:sz w:val="18"/>
                <w:szCs w:val="18"/>
              </w:rPr>
              <w:t>0.137</w:t>
            </w:r>
          </w:p>
        </w:tc>
        <w:tc>
          <w:tcPr>
            <w:tcW w:w="953" w:type="dxa"/>
            <w:vAlign w:val="center"/>
          </w:tcPr>
          <w:p>
            <w:pPr>
              <w:pStyle w:val="253"/>
              <w:ind w:firstLine="0" w:firstLineChars="0"/>
              <w:jc w:val="center"/>
              <w:rPr>
                <w:sz w:val="18"/>
                <w:szCs w:val="18"/>
              </w:rPr>
            </w:pPr>
            <w:r>
              <w:rPr>
                <w:sz w:val="18"/>
                <w:szCs w:val="18"/>
              </w:rPr>
              <w:t>0.136</w:t>
            </w:r>
          </w:p>
        </w:tc>
        <w:tc>
          <w:tcPr>
            <w:tcW w:w="953" w:type="dxa"/>
            <w:vAlign w:val="center"/>
          </w:tcPr>
          <w:p>
            <w:pPr>
              <w:pStyle w:val="253"/>
              <w:ind w:firstLine="0" w:firstLineChars="0"/>
              <w:jc w:val="center"/>
              <w:rPr>
                <w:sz w:val="18"/>
                <w:szCs w:val="18"/>
              </w:rPr>
            </w:pPr>
            <w:r>
              <w:rPr>
                <w:sz w:val="18"/>
                <w:szCs w:val="18"/>
              </w:rPr>
              <w:t>0.135</w:t>
            </w:r>
          </w:p>
        </w:tc>
        <w:tc>
          <w:tcPr>
            <w:tcW w:w="953" w:type="dxa"/>
            <w:vAlign w:val="center"/>
          </w:tcPr>
          <w:p>
            <w:pPr>
              <w:pStyle w:val="253"/>
              <w:ind w:firstLine="0" w:firstLineChars="0"/>
              <w:jc w:val="center"/>
              <w:rPr>
                <w:sz w:val="18"/>
                <w:szCs w:val="18"/>
              </w:rPr>
            </w:pPr>
            <w:r>
              <w:rPr>
                <w:sz w:val="18"/>
                <w:szCs w:val="18"/>
              </w:rPr>
              <w:t>0.133</w:t>
            </w:r>
          </w:p>
        </w:tc>
        <w:tc>
          <w:tcPr>
            <w:tcW w:w="953" w:type="dxa"/>
            <w:vAlign w:val="center"/>
          </w:tcPr>
          <w:p>
            <w:pPr>
              <w:pStyle w:val="253"/>
              <w:ind w:firstLine="0" w:firstLineChars="0"/>
              <w:jc w:val="center"/>
              <w:rPr>
                <w:sz w:val="18"/>
                <w:szCs w:val="18"/>
              </w:rPr>
            </w:pPr>
            <w:r>
              <w:rPr>
                <w:sz w:val="18"/>
                <w:szCs w:val="18"/>
              </w:rPr>
              <w:t>0.132</w:t>
            </w:r>
          </w:p>
        </w:tc>
        <w:tc>
          <w:tcPr>
            <w:tcW w:w="953" w:type="dxa"/>
            <w:vAlign w:val="center"/>
          </w:tcPr>
          <w:p>
            <w:pPr>
              <w:pStyle w:val="253"/>
              <w:ind w:firstLine="0" w:firstLineChars="0"/>
              <w:jc w:val="center"/>
              <w:rPr>
                <w:sz w:val="18"/>
                <w:szCs w:val="18"/>
              </w:rPr>
            </w:pPr>
            <w:r>
              <w:rPr>
                <w:sz w:val="18"/>
                <w:szCs w:val="18"/>
              </w:rPr>
              <w:t>0.13l</w:t>
            </w:r>
          </w:p>
        </w:tc>
        <w:tc>
          <w:tcPr>
            <w:tcW w:w="953" w:type="dxa"/>
            <w:vAlign w:val="center"/>
          </w:tcPr>
          <w:p>
            <w:pPr>
              <w:pStyle w:val="253"/>
              <w:ind w:firstLine="0" w:firstLineChars="0"/>
              <w:jc w:val="center"/>
              <w:rPr>
                <w:sz w:val="18"/>
                <w:szCs w:val="18"/>
              </w:rPr>
            </w:pPr>
            <w:r>
              <w:rPr>
                <w:sz w:val="18"/>
                <w:szCs w:val="18"/>
              </w:rPr>
              <w:t>0.130</w:t>
            </w:r>
          </w:p>
        </w:tc>
        <w:tc>
          <w:tcPr>
            <w:tcW w:w="954" w:type="dxa"/>
            <w:vAlign w:val="center"/>
          </w:tcPr>
          <w:p>
            <w:pPr>
              <w:pStyle w:val="253"/>
              <w:ind w:firstLine="0" w:firstLineChars="0"/>
              <w:jc w:val="center"/>
              <w:rPr>
                <w:sz w:val="18"/>
                <w:szCs w:val="18"/>
              </w:rPr>
            </w:pPr>
            <w:r>
              <w:rPr>
                <w:sz w:val="18"/>
                <w:szCs w:val="18"/>
              </w:rPr>
              <w:t>0.129</w:t>
            </w:r>
          </w:p>
        </w:tc>
        <w:tc>
          <w:tcPr>
            <w:tcW w:w="0" w:type="auto"/>
            <w:vAlign w:val="center"/>
          </w:tcPr>
          <w:p>
            <w:pPr>
              <w:pStyle w:val="253"/>
              <w:ind w:firstLine="0" w:firstLineChars="0"/>
              <w:jc w:val="center"/>
              <w:rPr>
                <w:sz w:val="18"/>
                <w:szCs w:val="18"/>
              </w:rPr>
            </w:pPr>
            <w:r>
              <w:rPr>
                <w:sz w:val="18"/>
                <w:szCs w:val="18"/>
              </w:rPr>
              <w:t>0.128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240</w:t>
            </w:r>
          </w:p>
        </w:tc>
        <w:tc>
          <w:tcPr>
            <w:tcW w:w="952" w:type="dxa"/>
            <w:vAlign w:val="center"/>
          </w:tcPr>
          <w:p>
            <w:pPr>
              <w:pStyle w:val="253"/>
              <w:ind w:firstLine="0" w:firstLineChars="0"/>
              <w:jc w:val="center"/>
              <w:rPr>
                <w:sz w:val="18"/>
                <w:szCs w:val="18"/>
              </w:rPr>
            </w:pPr>
            <w:r>
              <w:rPr>
                <w:sz w:val="18"/>
                <w:szCs w:val="18"/>
              </w:rPr>
              <w:t>0.127</w:t>
            </w:r>
          </w:p>
        </w:tc>
        <w:tc>
          <w:tcPr>
            <w:tcW w:w="953" w:type="dxa"/>
            <w:vAlign w:val="center"/>
          </w:tcPr>
          <w:p>
            <w:pPr>
              <w:pStyle w:val="253"/>
              <w:ind w:firstLine="0" w:firstLineChars="0"/>
              <w:jc w:val="center"/>
              <w:rPr>
                <w:sz w:val="18"/>
                <w:szCs w:val="18"/>
              </w:rPr>
            </w:pPr>
            <w:r>
              <w:rPr>
                <w:sz w:val="18"/>
                <w:szCs w:val="18"/>
              </w:rPr>
              <w:t>0.126</w:t>
            </w:r>
          </w:p>
        </w:tc>
        <w:tc>
          <w:tcPr>
            <w:tcW w:w="953" w:type="dxa"/>
            <w:vAlign w:val="center"/>
          </w:tcPr>
          <w:p>
            <w:pPr>
              <w:pStyle w:val="253"/>
              <w:ind w:firstLine="0" w:firstLineChars="0"/>
              <w:jc w:val="center"/>
              <w:rPr>
                <w:sz w:val="18"/>
                <w:szCs w:val="18"/>
              </w:rPr>
            </w:pPr>
            <w:r>
              <w:rPr>
                <w:sz w:val="18"/>
                <w:szCs w:val="18"/>
              </w:rPr>
              <w:t>0.125</w:t>
            </w:r>
          </w:p>
        </w:tc>
        <w:tc>
          <w:tcPr>
            <w:tcW w:w="953" w:type="dxa"/>
            <w:vAlign w:val="center"/>
          </w:tcPr>
          <w:p>
            <w:pPr>
              <w:pStyle w:val="253"/>
              <w:ind w:firstLine="0" w:firstLineChars="0"/>
              <w:jc w:val="center"/>
              <w:rPr>
                <w:sz w:val="18"/>
                <w:szCs w:val="18"/>
              </w:rPr>
            </w:pPr>
            <w:r>
              <w:rPr>
                <w:sz w:val="18"/>
                <w:szCs w:val="18"/>
              </w:rPr>
              <w:t>0.124</w:t>
            </w:r>
          </w:p>
        </w:tc>
        <w:tc>
          <w:tcPr>
            <w:tcW w:w="953" w:type="dxa"/>
            <w:vAlign w:val="center"/>
          </w:tcPr>
          <w:p>
            <w:pPr>
              <w:pStyle w:val="253"/>
              <w:ind w:firstLine="0" w:firstLineChars="0"/>
              <w:jc w:val="center"/>
              <w:rPr>
                <w:sz w:val="18"/>
                <w:szCs w:val="18"/>
              </w:rPr>
            </w:pPr>
            <w:r>
              <w:rPr>
                <w:sz w:val="18"/>
                <w:szCs w:val="18"/>
              </w:rPr>
              <w:t>0.123</w:t>
            </w:r>
          </w:p>
        </w:tc>
        <w:tc>
          <w:tcPr>
            <w:tcW w:w="953" w:type="dxa"/>
            <w:vAlign w:val="center"/>
          </w:tcPr>
          <w:p>
            <w:pPr>
              <w:pStyle w:val="253"/>
              <w:ind w:firstLine="0" w:firstLineChars="0"/>
              <w:jc w:val="center"/>
              <w:rPr>
                <w:sz w:val="18"/>
                <w:szCs w:val="18"/>
              </w:rPr>
            </w:pPr>
            <w:r>
              <w:rPr>
                <w:sz w:val="18"/>
                <w:szCs w:val="18"/>
              </w:rPr>
              <w:t>0.122</w:t>
            </w:r>
          </w:p>
        </w:tc>
        <w:tc>
          <w:tcPr>
            <w:tcW w:w="953" w:type="dxa"/>
            <w:vAlign w:val="center"/>
          </w:tcPr>
          <w:p>
            <w:pPr>
              <w:pStyle w:val="253"/>
              <w:ind w:firstLine="0" w:firstLineChars="0"/>
              <w:jc w:val="center"/>
              <w:rPr>
                <w:sz w:val="18"/>
                <w:szCs w:val="18"/>
              </w:rPr>
            </w:pPr>
            <w:r>
              <w:rPr>
                <w:sz w:val="18"/>
                <w:szCs w:val="18"/>
              </w:rPr>
              <w:t>0.121</w:t>
            </w:r>
          </w:p>
        </w:tc>
        <w:tc>
          <w:tcPr>
            <w:tcW w:w="953" w:type="dxa"/>
            <w:vAlign w:val="center"/>
          </w:tcPr>
          <w:p>
            <w:pPr>
              <w:pStyle w:val="253"/>
              <w:ind w:firstLine="0" w:firstLineChars="0"/>
              <w:jc w:val="center"/>
              <w:rPr>
                <w:sz w:val="18"/>
                <w:szCs w:val="18"/>
              </w:rPr>
            </w:pPr>
            <w:r>
              <w:rPr>
                <w:sz w:val="18"/>
                <w:szCs w:val="18"/>
              </w:rPr>
              <w:t>0.120</w:t>
            </w:r>
          </w:p>
        </w:tc>
        <w:tc>
          <w:tcPr>
            <w:tcW w:w="954" w:type="dxa"/>
            <w:vAlign w:val="center"/>
          </w:tcPr>
          <w:p>
            <w:pPr>
              <w:pStyle w:val="253"/>
              <w:ind w:firstLine="0" w:firstLineChars="0"/>
              <w:jc w:val="center"/>
              <w:rPr>
                <w:sz w:val="18"/>
                <w:szCs w:val="18"/>
              </w:rPr>
            </w:pPr>
            <w:r>
              <w:rPr>
                <w:sz w:val="18"/>
                <w:szCs w:val="18"/>
              </w:rPr>
              <w:t>0.119</w:t>
            </w:r>
          </w:p>
        </w:tc>
        <w:tc>
          <w:tcPr>
            <w:tcW w:w="0" w:type="auto"/>
            <w:vAlign w:val="center"/>
          </w:tcPr>
          <w:p>
            <w:pPr>
              <w:pStyle w:val="253"/>
              <w:ind w:firstLine="0" w:firstLineChars="0"/>
              <w:jc w:val="center"/>
              <w:rPr>
                <w:sz w:val="18"/>
                <w:szCs w:val="18"/>
              </w:rPr>
            </w:pPr>
            <w:r>
              <w:rPr>
                <w:sz w:val="18"/>
                <w:szCs w:val="18"/>
              </w:rPr>
              <w:t>0.118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48" w:type="dxa"/>
            <w:vAlign w:val="center"/>
          </w:tcPr>
          <w:p>
            <w:pPr>
              <w:pStyle w:val="253"/>
              <w:ind w:firstLine="0" w:firstLineChars="0"/>
              <w:jc w:val="center"/>
              <w:rPr>
                <w:sz w:val="18"/>
                <w:szCs w:val="18"/>
              </w:rPr>
            </w:pPr>
            <w:r>
              <w:rPr>
                <w:sz w:val="18"/>
                <w:szCs w:val="18"/>
              </w:rPr>
              <w:t>250</w:t>
            </w:r>
          </w:p>
        </w:tc>
        <w:tc>
          <w:tcPr>
            <w:tcW w:w="952" w:type="dxa"/>
            <w:vAlign w:val="center"/>
          </w:tcPr>
          <w:p>
            <w:pPr>
              <w:pStyle w:val="253"/>
              <w:ind w:firstLine="0" w:firstLineChars="0"/>
              <w:jc w:val="center"/>
              <w:rPr>
                <w:sz w:val="18"/>
                <w:szCs w:val="18"/>
              </w:rPr>
            </w:pPr>
            <w:r>
              <w:rPr>
                <w:sz w:val="18"/>
                <w:szCs w:val="18"/>
              </w:rPr>
              <w:t>0.117</w:t>
            </w:r>
          </w:p>
        </w:tc>
        <w:tc>
          <w:tcPr>
            <w:tcW w:w="953" w:type="dxa"/>
            <w:vAlign w:val="center"/>
          </w:tcPr>
          <w:p>
            <w:pPr>
              <w:pStyle w:val="253"/>
              <w:ind w:firstLine="0" w:firstLineChars="0"/>
              <w:jc w:val="center"/>
              <w:rPr>
                <w:sz w:val="18"/>
                <w:szCs w:val="18"/>
              </w:rPr>
            </w:pPr>
            <w:r>
              <w:rPr>
                <w:sz w:val="18"/>
                <w:szCs w:val="18"/>
              </w:rPr>
              <w:t>—</w:t>
            </w:r>
          </w:p>
        </w:tc>
        <w:tc>
          <w:tcPr>
            <w:tcW w:w="953" w:type="dxa"/>
            <w:vAlign w:val="center"/>
          </w:tcPr>
          <w:p>
            <w:pPr>
              <w:pStyle w:val="253"/>
              <w:ind w:firstLine="0" w:firstLineChars="0"/>
              <w:jc w:val="center"/>
              <w:rPr>
                <w:sz w:val="18"/>
                <w:szCs w:val="18"/>
              </w:rPr>
            </w:pPr>
            <w:r>
              <w:rPr>
                <w:sz w:val="18"/>
                <w:szCs w:val="18"/>
              </w:rPr>
              <w:t>—</w:t>
            </w:r>
          </w:p>
        </w:tc>
        <w:tc>
          <w:tcPr>
            <w:tcW w:w="953" w:type="dxa"/>
            <w:vAlign w:val="center"/>
          </w:tcPr>
          <w:p>
            <w:pPr>
              <w:pStyle w:val="253"/>
              <w:ind w:firstLine="0" w:firstLineChars="0"/>
              <w:jc w:val="center"/>
              <w:rPr>
                <w:sz w:val="18"/>
                <w:szCs w:val="18"/>
              </w:rPr>
            </w:pPr>
            <w:r>
              <w:rPr>
                <w:sz w:val="18"/>
                <w:szCs w:val="18"/>
              </w:rPr>
              <w:t>—</w:t>
            </w:r>
          </w:p>
        </w:tc>
        <w:tc>
          <w:tcPr>
            <w:tcW w:w="953" w:type="dxa"/>
            <w:vAlign w:val="center"/>
          </w:tcPr>
          <w:p>
            <w:pPr>
              <w:pStyle w:val="253"/>
              <w:ind w:firstLine="0" w:firstLineChars="0"/>
              <w:jc w:val="center"/>
              <w:rPr>
                <w:sz w:val="18"/>
                <w:szCs w:val="18"/>
              </w:rPr>
            </w:pPr>
            <w:r>
              <w:rPr>
                <w:sz w:val="18"/>
                <w:szCs w:val="18"/>
              </w:rPr>
              <w:t>—</w:t>
            </w:r>
          </w:p>
        </w:tc>
        <w:tc>
          <w:tcPr>
            <w:tcW w:w="953" w:type="dxa"/>
            <w:vAlign w:val="center"/>
          </w:tcPr>
          <w:p>
            <w:pPr>
              <w:pStyle w:val="253"/>
              <w:ind w:firstLine="0" w:firstLineChars="0"/>
              <w:jc w:val="center"/>
              <w:rPr>
                <w:sz w:val="18"/>
                <w:szCs w:val="18"/>
              </w:rPr>
            </w:pPr>
            <w:r>
              <w:rPr>
                <w:sz w:val="18"/>
                <w:szCs w:val="18"/>
              </w:rPr>
              <w:t>—</w:t>
            </w:r>
          </w:p>
        </w:tc>
        <w:tc>
          <w:tcPr>
            <w:tcW w:w="953" w:type="dxa"/>
            <w:vAlign w:val="center"/>
          </w:tcPr>
          <w:p>
            <w:pPr>
              <w:pStyle w:val="253"/>
              <w:ind w:firstLine="0" w:firstLineChars="0"/>
              <w:jc w:val="center"/>
              <w:rPr>
                <w:sz w:val="18"/>
                <w:szCs w:val="18"/>
              </w:rPr>
            </w:pPr>
            <w:r>
              <w:rPr>
                <w:sz w:val="18"/>
                <w:szCs w:val="18"/>
              </w:rPr>
              <w:t>—</w:t>
            </w:r>
          </w:p>
        </w:tc>
        <w:tc>
          <w:tcPr>
            <w:tcW w:w="953" w:type="dxa"/>
            <w:vAlign w:val="center"/>
          </w:tcPr>
          <w:p>
            <w:pPr>
              <w:pStyle w:val="253"/>
              <w:ind w:firstLine="0" w:firstLineChars="0"/>
              <w:jc w:val="center"/>
              <w:rPr>
                <w:sz w:val="18"/>
                <w:szCs w:val="18"/>
              </w:rPr>
            </w:pPr>
            <w:r>
              <w:rPr>
                <w:sz w:val="18"/>
                <w:szCs w:val="18"/>
              </w:rPr>
              <w:t>—</w:t>
            </w:r>
          </w:p>
        </w:tc>
        <w:tc>
          <w:tcPr>
            <w:tcW w:w="954" w:type="dxa"/>
            <w:vAlign w:val="center"/>
          </w:tcPr>
          <w:p>
            <w:pPr>
              <w:pStyle w:val="253"/>
              <w:ind w:firstLine="0" w:firstLineChars="0"/>
              <w:jc w:val="center"/>
              <w:rPr>
                <w:sz w:val="18"/>
                <w:szCs w:val="18"/>
              </w:rPr>
            </w:pPr>
            <w:r>
              <w:rPr>
                <w:sz w:val="18"/>
                <w:szCs w:val="18"/>
              </w:rPr>
              <w:t>—</w:t>
            </w:r>
          </w:p>
        </w:tc>
        <w:tc>
          <w:tcPr>
            <w:tcW w:w="0" w:type="auto"/>
            <w:vAlign w:val="center"/>
          </w:tcPr>
          <w:p>
            <w:pPr>
              <w:pStyle w:val="253"/>
              <w:ind w:firstLine="0" w:firstLineChars="0"/>
              <w:jc w:val="center"/>
              <w:rPr>
                <w:sz w:val="18"/>
                <w:szCs w:val="18"/>
              </w:rPr>
            </w:pPr>
            <w:r>
              <w:rPr>
                <w:sz w:val="18"/>
                <w:szCs w:val="18"/>
              </w:rPr>
              <w:t>—</w:t>
            </w:r>
          </w:p>
        </w:tc>
      </w:tr>
    </w:tbl>
    <w:p>
      <w:pPr>
        <w:pStyle w:val="79"/>
        <w:ind w:firstLine="420"/>
      </w:pPr>
    </w:p>
    <w:p>
      <w:pPr>
        <w:pStyle w:val="79"/>
        <w:ind w:firstLine="420"/>
      </w:pPr>
    </w:p>
    <w:p>
      <w:pPr>
        <w:pStyle w:val="79"/>
        <w:ind w:firstLine="420"/>
      </w:pPr>
    </w:p>
    <w:p>
      <w:pPr>
        <w:pStyle w:val="79"/>
        <w:ind w:firstLine="420"/>
        <w:sectPr>
          <w:pgSz w:w="11906" w:h="16838"/>
          <w:pgMar w:top="1928" w:right="1134" w:bottom="1134" w:left="1134" w:header="1418" w:footer="1134" w:gutter="284"/>
          <w:cols w:space="425" w:num="1"/>
          <w:formProt w:val="0"/>
          <w:docGrid w:type="lines" w:linePitch="312" w:charSpace="0"/>
        </w:sectPr>
      </w:pPr>
    </w:p>
    <w:p>
      <w:pPr>
        <w:pStyle w:val="221"/>
        <w:rPr>
          <w:vanish w:val="0"/>
        </w:rPr>
      </w:pPr>
    </w:p>
    <w:p>
      <w:pPr>
        <w:pStyle w:val="222"/>
        <w:rPr>
          <w:vanish w:val="0"/>
        </w:rPr>
      </w:pPr>
    </w:p>
    <w:p>
      <w:pPr>
        <w:pStyle w:val="99"/>
        <w:spacing w:after="156"/>
      </w:pPr>
      <w:r>
        <w:br w:type="textWrapping"/>
      </w:r>
      <w:bookmarkStart w:id="122" w:name="_Toc106095454"/>
      <w:r>
        <w:rPr>
          <w:rFonts w:hint="eastAsia"/>
        </w:rPr>
        <w:t>（资料性）</w:t>
      </w:r>
      <w:r>
        <w:br w:type="textWrapping"/>
      </w:r>
      <w:r>
        <w:rPr>
          <w:rFonts w:hint="eastAsia"/>
        </w:rPr>
        <w:t>悬挑式脚手架质量验收表</w:t>
      </w:r>
      <w:bookmarkEnd w:id="122"/>
    </w:p>
    <w:p>
      <w:pPr>
        <w:pStyle w:val="234"/>
      </w:pPr>
      <w:r>
        <w:rPr>
          <w:rFonts w:hint="eastAsia"/>
        </w:rPr>
        <w:t>悬挑式脚手架制作质量验收如表B.1所示。</w:t>
      </w:r>
    </w:p>
    <w:p>
      <w:pPr>
        <w:pStyle w:val="100"/>
        <w:spacing w:before="156" w:after="156"/>
      </w:pPr>
      <w:r>
        <w:rPr>
          <w:rFonts w:hint="eastAsia"/>
        </w:rPr>
        <w:t>悬挑式脚手架制作质量验收表</w:t>
      </w:r>
    </w:p>
    <w:tbl>
      <w:tblPr>
        <w:tblStyle w:val="46"/>
        <w:tblW w:w="0" w:type="auto"/>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583"/>
        <w:gridCol w:w="567"/>
        <w:gridCol w:w="1701"/>
        <w:gridCol w:w="1701"/>
        <w:gridCol w:w="1250"/>
        <w:gridCol w:w="1251"/>
        <w:gridCol w:w="1764"/>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649" w:hRule="atLeast"/>
          <w:jc w:val="center"/>
        </w:trPr>
        <w:tc>
          <w:tcPr>
            <w:tcW w:w="583"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序号</w:t>
            </w:r>
          </w:p>
        </w:tc>
        <w:tc>
          <w:tcPr>
            <w:tcW w:w="3969" w:type="dxa"/>
            <w:gridSpan w:val="3"/>
            <w:vAlign w:val="center"/>
          </w:tcPr>
          <w:p>
            <w:pPr>
              <w:spacing w:line="240" w:lineRule="auto"/>
              <w:jc w:val="center"/>
              <w:rPr>
                <w:rFonts w:ascii="宋体" w:hAnsi="宋体"/>
                <w:sz w:val="18"/>
                <w:szCs w:val="18"/>
              </w:rPr>
            </w:pPr>
            <w:r>
              <w:rPr>
                <w:rFonts w:hint="eastAsia" w:ascii="宋体" w:hAnsi="宋体"/>
                <w:sz w:val="18"/>
                <w:szCs w:val="18"/>
              </w:rPr>
              <w:t>验收项目</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技术要求</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验收方法与工具</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1</w:t>
            </w:r>
          </w:p>
        </w:tc>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原材料</w:t>
            </w: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钢材的品种、规格、型号、性能</w:t>
            </w:r>
          </w:p>
        </w:tc>
        <w:tc>
          <w:tcPr>
            <w:tcW w:w="2501" w:type="dxa"/>
            <w:gridSpan w:val="2"/>
            <w:vMerge w:val="restart"/>
            <w:vAlign w:val="center"/>
          </w:tcPr>
          <w:p>
            <w:pPr>
              <w:spacing w:line="240" w:lineRule="auto"/>
              <w:jc w:val="center"/>
              <w:rPr>
                <w:rFonts w:ascii="宋体" w:hAnsi="宋体"/>
                <w:sz w:val="18"/>
                <w:szCs w:val="18"/>
              </w:rPr>
            </w:pPr>
            <w:r>
              <w:rPr>
                <w:rFonts w:hint="eastAsia" w:ascii="宋体" w:hAnsi="宋体"/>
                <w:sz w:val="18"/>
                <w:szCs w:val="18"/>
              </w:rPr>
              <w:t>应符合现行国家标准规定和设计要求</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检查出厂合格证、中文标志及检验报告</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焊接材料的品种、规格、性能</w:t>
            </w:r>
          </w:p>
        </w:tc>
        <w:tc>
          <w:tcPr>
            <w:tcW w:w="2501" w:type="dxa"/>
            <w:gridSpan w:val="2"/>
            <w:vMerge w:val="continue"/>
            <w:vAlign w:val="center"/>
          </w:tcPr>
          <w:p>
            <w:pPr>
              <w:spacing w:line="240" w:lineRule="auto"/>
              <w:jc w:val="center"/>
              <w:rPr>
                <w:rFonts w:ascii="宋体" w:hAnsi="宋体"/>
                <w:sz w:val="18"/>
                <w:szCs w:val="18"/>
              </w:rPr>
            </w:pP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螺栓、螺母、垫圈等的品种、规格、性能</w:t>
            </w:r>
          </w:p>
        </w:tc>
        <w:tc>
          <w:tcPr>
            <w:tcW w:w="2501" w:type="dxa"/>
            <w:gridSpan w:val="2"/>
            <w:vMerge w:val="continue"/>
            <w:vAlign w:val="center"/>
          </w:tcPr>
          <w:p>
            <w:pPr>
              <w:spacing w:line="240" w:lineRule="auto"/>
              <w:jc w:val="center"/>
              <w:rPr>
                <w:rFonts w:ascii="宋体" w:hAnsi="宋体"/>
                <w:sz w:val="18"/>
                <w:szCs w:val="18"/>
              </w:rPr>
            </w:pP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2</w:t>
            </w:r>
          </w:p>
        </w:tc>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零部件加工</w:t>
            </w: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零件的长度、宽度（mm）</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±3.0</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观测，钢尺、塞尺等检查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型钢端部垂直度（mm）</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2.0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restart"/>
            <w:vAlign w:val="center"/>
          </w:tcPr>
          <w:p>
            <w:pPr>
              <w:spacing w:line="240" w:lineRule="auto"/>
              <w:jc w:val="center"/>
              <w:rPr>
                <w:rFonts w:ascii="宋体" w:hAnsi="宋体"/>
                <w:sz w:val="18"/>
                <w:szCs w:val="18"/>
              </w:rPr>
            </w:pPr>
            <w:r>
              <w:rPr>
                <w:rFonts w:hint="eastAsia" w:ascii="宋体" w:hAnsi="宋体"/>
                <w:sz w:val="18"/>
                <w:szCs w:val="18"/>
              </w:rPr>
              <w:t>螺栓孔制孔精度允许偏差（mm）</w:t>
            </w: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直径</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+1.0，0.0</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游标卡尺、孔径圆规等检查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continue"/>
            <w:vAlign w:val="center"/>
          </w:tcPr>
          <w:p>
            <w:pPr>
              <w:spacing w:line="240" w:lineRule="auto"/>
              <w:jc w:val="center"/>
              <w:rPr>
                <w:rFonts w:ascii="宋体" w:hAnsi="宋体"/>
                <w:sz w:val="18"/>
                <w:szCs w:val="18"/>
              </w:rPr>
            </w:pP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圆度</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2.0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restart"/>
            <w:vAlign w:val="center"/>
          </w:tcPr>
          <w:p>
            <w:pPr>
              <w:spacing w:line="240" w:lineRule="auto"/>
              <w:jc w:val="center"/>
              <w:rPr>
                <w:rFonts w:ascii="宋体" w:hAnsi="宋体"/>
                <w:sz w:val="18"/>
                <w:szCs w:val="18"/>
              </w:rPr>
            </w:pPr>
            <w:r>
              <w:rPr>
                <w:rFonts w:hint="eastAsia" w:ascii="宋体" w:hAnsi="宋体"/>
                <w:sz w:val="18"/>
                <w:szCs w:val="18"/>
              </w:rPr>
              <w:t>螺栓孔距允许偏差（mm）</w:t>
            </w: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孔距范围</w:t>
            </w:r>
          </w:p>
        </w:tc>
        <w:tc>
          <w:tcPr>
            <w:tcW w:w="1250" w:type="dxa"/>
            <w:vAlign w:val="center"/>
          </w:tcPr>
          <w:p>
            <w:pPr>
              <w:spacing w:line="240" w:lineRule="auto"/>
              <w:jc w:val="center"/>
              <w:rPr>
                <w:rFonts w:ascii="宋体" w:hAnsi="宋体"/>
                <w:sz w:val="18"/>
                <w:szCs w:val="18"/>
              </w:rPr>
            </w:pPr>
            <w:r>
              <w:rPr>
                <w:rFonts w:hint="eastAsia" w:ascii="宋体" w:hAnsi="宋体"/>
                <w:sz w:val="18"/>
                <w:szCs w:val="18"/>
              </w:rPr>
              <w:t>同一组任意两孔孔距</w:t>
            </w:r>
          </w:p>
        </w:tc>
        <w:tc>
          <w:tcPr>
            <w:tcW w:w="1251" w:type="dxa"/>
            <w:vAlign w:val="center"/>
          </w:tcPr>
          <w:p>
            <w:pPr>
              <w:spacing w:line="240" w:lineRule="auto"/>
              <w:jc w:val="center"/>
              <w:rPr>
                <w:rFonts w:ascii="宋体" w:hAnsi="宋体"/>
                <w:sz w:val="18"/>
                <w:szCs w:val="18"/>
              </w:rPr>
            </w:pPr>
            <w:r>
              <w:rPr>
                <w:rFonts w:hint="eastAsia" w:ascii="宋体" w:hAnsi="宋体"/>
                <w:sz w:val="18"/>
                <w:szCs w:val="18"/>
              </w:rPr>
              <w:t>相邻两组孔距</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钢尺检查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continue"/>
            <w:vAlign w:val="center"/>
          </w:tcPr>
          <w:p>
            <w:pPr>
              <w:spacing w:line="240" w:lineRule="auto"/>
              <w:jc w:val="center"/>
              <w:rPr>
                <w:rFonts w:ascii="宋体" w:hAnsi="宋体"/>
                <w:sz w:val="18"/>
                <w:szCs w:val="18"/>
              </w:rPr>
            </w:pP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≤500</w:t>
            </w:r>
          </w:p>
        </w:tc>
        <w:tc>
          <w:tcPr>
            <w:tcW w:w="1250" w:type="dxa"/>
            <w:vAlign w:val="center"/>
          </w:tcPr>
          <w:p>
            <w:pPr>
              <w:spacing w:line="240" w:lineRule="auto"/>
              <w:jc w:val="center"/>
              <w:rPr>
                <w:rFonts w:ascii="宋体" w:hAnsi="宋体"/>
                <w:sz w:val="18"/>
                <w:szCs w:val="18"/>
              </w:rPr>
            </w:pPr>
            <w:r>
              <w:rPr>
                <w:rFonts w:hint="eastAsia" w:ascii="宋体" w:hAnsi="宋体"/>
                <w:sz w:val="18"/>
                <w:szCs w:val="18"/>
              </w:rPr>
              <w:t>±1.0</w:t>
            </w:r>
          </w:p>
        </w:tc>
        <w:tc>
          <w:tcPr>
            <w:tcW w:w="1251" w:type="dxa"/>
            <w:vAlign w:val="center"/>
          </w:tcPr>
          <w:p>
            <w:pPr>
              <w:spacing w:line="240" w:lineRule="auto"/>
              <w:jc w:val="center"/>
              <w:rPr>
                <w:rFonts w:ascii="宋体" w:hAnsi="宋体"/>
                <w:sz w:val="18"/>
                <w:szCs w:val="18"/>
              </w:rPr>
            </w:pPr>
            <w:r>
              <w:rPr>
                <w:rFonts w:hint="eastAsia" w:ascii="宋体" w:hAnsi="宋体"/>
                <w:sz w:val="18"/>
                <w:szCs w:val="18"/>
              </w:rPr>
              <w:t>±1.5</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continue"/>
            <w:vAlign w:val="center"/>
          </w:tcPr>
          <w:p>
            <w:pPr>
              <w:spacing w:line="240" w:lineRule="auto"/>
              <w:jc w:val="center"/>
              <w:rPr>
                <w:rFonts w:ascii="宋体" w:hAnsi="宋体"/>
                <w:sz w:val="18"/>
                <w:szCs w:val="18"/>
              </w:rPr>
            </w:pP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500～1300</w:t>
            </w:r>
          </w:p>
        </w:tc>
        <w:tc>
          <w:tcPr>
            <w:tcW w:w="1250" w:type="dxa"/>
            <w:vAlign w:val="center"/>
          </w:tcPr>
          <w:p>
            <w:pPr>
              <w:spacing w:line="240" w:lineRule="auto"/>
              <w:jc w:val="center"/>
              <w:rPr>
                <w:rFonts w:ascii="宋体" w:hAnsi="宋体"/>
                <w:sz w:val="18"/>
                <w:szCs w:val="18"/>
              </w:rPr>
            </w:pPr>
            <w:r>
              <w:rPr>
                <w:rFonts w:hint="eastAsia" w:ascii="宋体" w:hAnsi="宋体"/>
                <w:sz w:val="18"/>
                <w:szCs w:val="18"/>
              </w:rPr>
              <w:t>±1.5</w:t>
            </w:r>
          </w:p>
        </w:tc>
        <w:tc>
          <w:tcPr>
            <w:tcW w:w="1251" w:type="dxa"/>
            <w:vAlign w:val="center"/>
          </w:tcPr>
          <w:p>
            <w:pPr>
              <w:spacing w:line="240" w:lineRule="auto"/>
              <w:jc w:val="center"/>
              <w:rPr>
                <w:rFonts w:ascii="宋体" w:hAnsi="宋体"/>
                <w:sz w:val="18"/>
                <w:szCs w:val="18"/>
              </w:rPr>
            </w:pPr>
            <w:r>
              <w:rPr>
                <w:rFonts w:hint="eastAsia" w:ascii="宋体" w:hAnsi="宋体"/>
                <w:sz w:val="18"/>
                <w:szCs w:val="18"/>
              </w:rPr>
              <w:t>±2.0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continue"/>
            <w:vAlign w:val="center"/>
          </w:tcPr>
          <w:p>
            <w:pPr>
              <w:spacing w:line="240" w:lineRule="auto"/>
              <w:jc w:val="center"/>
              <w:rPr>
                <w:rFonts w:ascii="宋体" w:hAnsi="宋体"/>
                <w:sz w:val="18"/>
                <w:szCs w:val="18"/>
              </w:rPr>
            </w:pP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1300～3000</w:t>
            </w:r>
          </w:p>
        </w:tc>
        <w:tc>
          <w:tcPr>
            <w:tcW w:w="1250" w:type="dxa"/>
            <w:vAlign w:val="center"/>
          </w:tcPr>
          <w:p>
            <w:pPr>
              <w:spacing w:line="240" w:lineRule="auto"/>
              <w:jc w:val="center"/>
              <w:rPr>
                <w:rFonts w:ascii="宋体" w:hAnsi="宋体"/>
                <w:sz w:val="18"/>
                <w:szCs w:val="18"/>
              </w:rPr>
            </w:pPr>
            <w:r>
              <w:rPr>
                <w:rFonts w:hint="eastAsia" w:ascii="宋体" w:hAnsi="宋体"/>
                <w:sz w:val="18"/>
                <w:szCs w:val="18"/>
              </w:rPr>
              <w:t>-</w:t>
            </w:r>
          </w:p>
        </w:tc>
        <w:tc>
          <w:tcPr>
            <w:tcW w:w="1251" w:type="dxa"/>
            <w:vAlign w:val="center"/>
          </w:tcPr>
          <w:p>
            <w:pPr>
              <w:spacing w:line="240" w:lineRule="auto"/>
              <w:jc w:val="center"/>
              <w:rPr>
                <w:rFonts w:ascii="宋体" w:hAnsi="宋体"/>
                <w:sz w:val="18"/>
                <w:szCs w:val="18"/>
              </w:rPr>
            </w:pPr>
            <w:r>
              <w:rPr>
                <w:rFonts w:hint="eastAsia" w:ascii="宋体" w:hAnsi="宋体"/>
                <w:sz w:val="18"/>
                <w:szCs w:val="18"/>
              </w:rPr>
              <w:t>±2.5</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1701" w:type="dxa"/>
            <w:vMerge w:val="continue"/>
            <w:vAlign w:val="center"/>
          </w:tcPr>
          <w:p>
            <w:pPr>
              <w:spacing w:line="240" w:lineRule="auto"/>
              <w:jc w:val="center"/>
              <w:rPr>
                <w:rFonts w:ascii="宋体" w:hAnsi="宋体"/>
                <w:sz w:val="18"/>
                <w:szCs w:val="18"/>
              </w:rPr>
            </w:pPr>
          </w:p>
        </w:tc>
        <w:tc>
          <w:tcPr>
            <w:tcW w:w="1701" w:type="dxa"/>
            <w:vAlign w:val="center"/>
          </w:tcPr>
          <w:p>
            <w:pPr>
              <w:spacing w:line="240" w:lineRule="auto"/>
              <w:jc w:val="center"/>
              <w:rPr>
                <w:rFonts w:ascii="宋体" w:hAnsi="宋体"/>
                <w:sz w:val="18"/>
                <w:szCs w:val="18"/>
              </w:rPr>
            </w:pPr>
            <w:r>
              <w:rPr>
                <w:rFonts w:hint="eastAsia" w:ascii="宋体" w:hAnsi="宋体"/>
                <w:sz w:val="18"/>
                <w:szCs w:val="18"/>
              </w:rPr>
              <w:t>≥3000</w:t>
            </w:r>
          </w:p>
        </w:tc>
        <w:tc>
          <w:tcPr>
            <w:tcW w:w="1250" w:type="dxa"/>
            <w:vAlign w:val="center"/>
          </w:tcPr>
          <w:p>
            <w:pPr>
              <w:spacing w:line="240" w:lineRule="auto"/>
              <w:jc w:val="center"/>
              <w:rPr>
                <w:rFonts w:ascii="宋体" w:hAnsi="宋体"/>
                <w:sz w:val="18"/>
                <w:szCs w:val="18"/>
              </w:rPr>
            </w:pPr>
            <w:r>
              <w:rPr>
                <w:rFonts w:hint="eastAsia" w:ascii="宋体" w:hAnsi="宋体"/>
                <w:sz w:val="18"/>
                <w:szCs w:val="18"/>
              </w:rPr>
              <w:t>-</w:t>
            </w:r>
          </w:p>
        </w:tc>
        <w:tc>
          <w:tcPr>
            <w:tcW w:w="1251" w:type="dxa"/>
            <w:vAlign w:val="center"/>
          </w:tcPr>
          <w:p>
            <w:pPr>
              <w:spacing w:line="240" w:lineRule="auto"/>
              <w:jc w:val="center"/>
              <w:rPr>
                <w:rFonts w:ascii="宋体" w:hAnsi="宋体"/>
                <w:sz w:val="18"/>
                <w:szCs w:val="18"/>
              </w:rPr>
            </w:pPr>
            <w:r>
              <w:rPr>
                <w:rFonts w:hint="eastAsia" w:ascii="宋体" w:hAnsi="宋体"/>
                <w:sz w:val="18"/>
                <w:szCs w:val="18"/>
              </w:rPr>
              <w:t>±3.0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3</w:t>
            </w:r>
          </w:p>
        </w:tc>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组装</w:t>
            </w: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杆件轴线交点错位（mm）</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≤3.0</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钢尺、塞尺、水平尺等检查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立杆定位件偏位（mm）</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≤5.0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567" w:type="dxa"/>
            <w:vMerge w:val="continue"/>
            <w:vAlign w:val="center"/>
          </w:tcPr>
          <w:p>
            <w:pPr>
              <w:spacing w:line="240" w:lineRule="auto"/>
              <w:jc w:val="center"/>
              <w:rPr>
                <w:rFonts w:ascii="宋体" w:hAnsi="宋体"/>
                <w:sz w:val="18"/>
                <w:szCs w:val="18"/>
              </w:rPr>
            </w:pP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受压杆件弯曲矢高（mm）</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L/1000，且≯10.0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579" w:hRule="atLeast"/>
          <w:jc w:val="center"/>
        </w:trPr>
        <w:tc>
          <w:tcPr>
            <w:tcW w:w="583"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4</w:t>
            </w:r>
          </w:p>
        </w:tc>
        <w:tc>
          <w:tcPr>
            <w:tcW w:w="567" w:type="dxa"/>
            <w:vAlign w:val="center"/>
          </w:tcPr>
          <w:p>
            <w:pPr>
              <w:spacing w:line="240" w:lineRule="auto"/>
              <w:jc w:val="center"/>
              <w:rPr>
                <w:rFonts w:ascii="宋体" w:hAnsi="宋体"/>
                <w:sz w:val="18"/>
                <w:szCs w:val="18"/>
              </w:rPr>
            </w:pPr>
            <w:r>
              <w:rPr>
                <w:rFonts w:hint="eastAsia" w:ascii="宋体" w:hAnsi="宋体"/>
                <w:sz w:val="18"/>
                <w:szCs w:val="18"/>
              </w:rPr>
              <w:t>焊接</w:t>
            </w:r>
          </w:p>
        </w:tc>
        <w:tc>
          <w:tcPr>
            <w:tcW w:w="3402" w:type="dxa"/>
            <w:gridSpan w:val="2"/>
            <w:vAlign w:val="center"/>
          </w:tcPr>
          <w:p>
            <w:pPr>
              <w:spacing w:line="240" w:lineRule="auto"/>
              <w:jc w:val="center"/>
              <w:rPr>
                <w:rFonts w:ascii="宋体" w:hAnsi="宋体"/>
                <w:sz w:val="18"/>
                <w:szCs w:val="18"/>
              </w:rPr>
            </w:pPr>
            <w:r>
              <w:rPr>
                <w:rFonts w:hint="eastAsia" w:ascii="宋体" w:hAnsi="宋体"/>
                <w:sz w:val="18"/>
                <w:szCs w:val="18"/>
              </w:rPr>
              <w:t>焊接质量</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焊缝尺寸需符合设计要求，焊缝表面应平整、无裂缝、气孔、夹渣、漏焊等明显缺陷</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观察，放大镜、焊缝量规、钢尺等检查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5</w:t>
            </w:r>
          </w:p>
        </w:tc>
        <w:tc>
          <w:tcPr>
            <w:tcW w:w="3969" w:type="dxa"/>
            <w:gridSpan w:val="3"/>
            <w:vAlign w:val="center"/>
          </w:tcPr>
          <w:p>
            <w:pPr>
              <w:spacing w:line="240" w:lineRule="auto"/>
              <w:jc w:val="center"/>
              <w:rPr>
                <w:rFonts w:ascii="宋体" w:hAnsi="宋体"/>
                <w:sz w:val="18"/>
                <w:szCs w:val="18"/>
              </w:rPr>
            </w:pPr>
            <w:r>
              <w:rPr>
                <w:rFonts w:hint="eastAsia" w:ascii="宋体" w:hAnsi="宋体"/>
                <w:sz w:val="18"/>
                <w:szCs w:val="18"/>
              </w:rPr>
              <w:t>油漆</w:t>
            </w:r>
          </w:p>
        </w:tc>
        <w:tc>
          <w:tcPr>
            <w:tcW w:w="2501" w:type="dxa"/>
            <w:gridSpan w:val="2"/>
            <w:vAlign w:val="center"/>
          </w:tcPr>
          <w:p>
            <w:pPr>
              <w:spacing w:line="240" w:lineRule="auto"/>
              <w:jc w:val="center"/>
              <w:rPr>
                <w:rFonts w:ascii="宋体" w:hAnsi="宋体"/>
                <w:sz w:val="18"/>
                <w:szCs w:val="18"/>
              </w:rPr>
            </w:pPr>
            <w:r>
              <w:rPr>
                <w:rFonts w:hint="eastAsia" w:ascii="宋体" w:hAnsi="宋体"/>
                <w:sz w:val="18"/>
                <w:szCs w:val="18"/>
              </w:rPr>
              <w:t>除锈，二度涂防锈漆，不得漏漆，无透底、流坠、起皮</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w:t>
            </w:r>
          </w:p>
        </w:tc>
      </w:tr>
    </w:tbl>
    <w:p>
      <w:pPr>
        <w:pStyle w:val="79"/>
        <w:ind w:firstLine="420"/>
      </w:pPr>
    </w:p>
    <w:p>
      <w:pPr>
        <w:pStyle w:val="234"/>
      </w:pPr>
      <w:r>
        <w:rPr>
          <w:rFonts w:hint="eastAsia"/>
        </w:rPr>
        <w:t>悬挑梁安装质量验收如B.2所示。</w:t>
      </w:r>
    </w:p>
    <w:p>
      <w:pPr>
        <w:pStyle w:val="100"/>
        <w:spacing w:before="156" w:after="156"/>
      </w:pPr>
      <w:r>
        <w:rPr>
          <w:rFonts w:hint="eastAsia"/>
        </w:rPr>
        <w:t>悬挑梁安装质量验收表</w:t>
      </w:r>
    </w:p>
    <w:tbl>
      <w:tblPr>
        <w:tblStyle w:val="46"/>
        <w:tblW w:w="0" w:type="auto"/>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583"/>
        <w:gridCol w:w="1134"/>
        <w:gridCol w:w="1984"/>
        <w:gridCol w:w="3352"/>
        <w:gridCol w:w="1764"/>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649" w:hRule="atLeast"/>
          <w:jc w:val="center"/>
        </w:trPr>
        <w:tc>
          <w:tcPr>
            <w:tcW w:w="583"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序号</w:t>
            </w:r>
          </w:p>
        </w:tc>
        <w:tc>
          <w:tcPr>
            <w:tcW w:w="3118" w:type="dxa"/>
            <w:gridSpan w:val="2"/>
            <w:vAlign w:val="center"/>
          </w:tcPr>
          <w:p>
            <w:pPr>
              <w:spacing w:line="240" w:lineRule="auto"/>
              <w:jc w:val="center"/>
              <w:rPr>
                <w:rFonts w:ascii="宋体" w:hAnsi="宋体"/>
                <w:sz w:val="18"/>
                <w:szCs w:val="18"/>
              </w:rPr>
            </w:pPr>
            <w:r>
              <w:rPr>
                <w:rFonts w:hint="eastAsia" w:ascii="宋体" w:hAnsi="宋体"/>
                <w:sz w:val="18"/>
                <w:szCs w:val="18"/>
              </w:rPr>
              <w:t>验收项目</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技术要求</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验收方法与工具</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8" w:hRule="atLeast"/>
          <w:jc w:val="center"/>
        </w:trPr>
        <w:tc>
          <w:tcPr>
            <w:tcW w:w="583"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1</w:t>
            </w:r>
          </w:p>
        </w:tc>
        <w:tc>
          <w:tcPr>
            <w:tcW w:w="3118" w:type="dxa"/>
            <w:gridSpan w:val="2"/>
            <w:vAlign w:val="center"/>
          </w:tcPr>
          <w:p>
            <w:pPr>
              <w:spacing w:line="240" w:lineRule="auto"/>
              <w:jc w:val="center"/>
              <w:rPr>
                <w:rFonts w:ascii="宋体" w:hAnsi="宋体"/>
                <w:sz w:val="18"/>
                <w:szCs w:val="18"/>
              </w:rPr>
            </w:pPr>
            <w:r>
              <w:rPr>
                <w:rFonts w:hint="eastAsia" w:ascii="宋体" w:hAnsi="宋体"/>
                <w:sz w:val="18"/>
                <w:szCs w:val="18"/>
              </w:rPr>
              <w:t>进场验收</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悬挑梁制作应符合表B.1的规定</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观察，检查悬挑梁制作质量报告</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8"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2</w:t>
            </w:r>
          </w:p>
        </w:tc>
        <w:tc>
          <w:tcPr>
            <w:tcW w:w="3118" w:type="dxa"/>
            <w:gridSpan w:val="2"/>
            <w:vAlign w:val="center"/>
          </w:tcPr>
          <w:p>
            <w:pPr>
              <w:spacing w:line="240" w:lineRule="auto"/>
              <w:jc w:val="center"/>
              <w:rPr>
                <w:rFonts w:ascii="宋体" w:hAnsi="宋体"/>
                <w:sz w:val="18"/>
                <w:szCs w:val="18"/>
              </w:rPr>
            </w:pPr>
            <w:r>
              <w:rPr>
                <w:rFonts w:hint="eastAsia" w:ascii="宋体" w:hAnsi="宋体"/>
                <w:sz w:val="18"/>
                <w:szCs w:val="18"/>
              </w:rPr>
              <w:t>预埋组件、预埋螺栓规格、品种</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应符合设计要求</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检查预埋组件、预埋螺栓质量验收记录和隐蔽验收记录</w:t>
            </w:r>
          </w:p>
          <w:p>
            <w:pPr>
              <w:spacing w:line="240" w:lineRule="auto"/>
              <w:jc w:val="center"/>
              <w:rPr>
                <w:rFonts w:ascii="宋体" w:hAnsi="宋体"/>
                <w:sz w:val="18"/>
                <w:szCs w:val="18"/>
              </w:rPr>
            </w:pPr>
          </w:p>
          <w:p>
            <w:pPr>
              <w:spacing w:line="240" w:lineRule="auto"/>
              <w:jc w:val="center"/>
              <w:rPr>
                <w:rFonts w:ascii="宋体" w:hAnsi="宋体"/>
                <w:sz w:val="18"/>
                <w:szCs w:val="18"/>
              </w:rPr>
            </w:pPr>
            <w:r>
              <w:rPr>
                <w:rFonts w:hint="eastAsia" w:ascii="宋体" w:hAnsi="宋体"/>
                <w:sz w:val="18"/>
                <w:szCs w:val="18"/>
              </w:rPr>
              <w:t>钢尺、水平尺等检查</w:t>
            </w:r>
          </w:p>
        </w:tc>
      </w:tr>
      <w:tr>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restart"/>
            <w:vAlign w:val="center"/>
          </w:tcPr>
          <w:p>
            <w:pPr>
              <w:spacing w:line="240" w:lineRule="auto"/>
              <w:jc w:val="center"/>
              <w:rPr>
                <w:rFonts w:ascii="宋体" w:hAnsi="宋体"/>
                <w:sz w:val="18"/>
                <w:szCs w:val="18"/>
              </w:rPr>
            </w:pPr>
            <w:r>
              <w:rPr>
                <w:rFonts w:hint="eastAsia" w:ascii="宋体" w:hAnsi="宋体"/>
                <w:sz w:val="18"/>
                <w:szCs w:val="18"/>
              </w:rPr>
              <w:t>支承面</w:t>
            </w: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标高（mm）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±10.0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水平度（mm）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L/500</w:t>
            </w:r>
          </w:p>
        </w:tc>
        <w:tc>
          <w:tcPr>
            <w:tcW w:w="1764" w:type="dxa"/>
            <w:vMerge w:val="continue"/>
            <w:vAlign w:val="center"/>
          </w:tcPr>
          <w:p>
            <w:pPr>
              <w:spacing w:line="240" w:lineRule="auto"/>
              <w:jc w:val="center"/>
              <w:rPr>
                <w:rFonts w:ascii="宋体" w:hAnsi="宋体"/>
                <w:sz w:val="18"/>
                <w:szCs w:val="18"/>
              </w:rPr>
            </w:pPr>
          </w:p>
        </w:tc>
      </w:tr>
      <w:tr>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Align w:val="center"/>
          </w:tcPr>
          <w:p>
            <w:pPr>
              <w:spacing w:line="240" w:lineRule="auto"/>
              <w:jc w:val="center"/>
              <w:rPr>
                <w:rFonts w:ascii="宋体" w:hAnsi="宋体"/>
                <w:sz w:val="18"/>
                <w:szCs w:val="18"/>
              </w:rPr>
            </w:pPr>
            <w:r>
              <w:rPr>
                <w:rFonts w:hint="eastAsia" w:ascii="宋体" w:hAnsi="宋体"/>
                <w:sz w:val="18"/>
                <w:szCs w:val="18"/>
              </w:rPr>
              <w:t>预埋件</w:t>
            </w: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中心偏移（mm）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15.0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Align w:val="center"/>
          </w:tcPr>
          <w:p>
            <w:pPr>
              <w:spacing w:line="240" w:lineRule="auto"/>
              <w:jc w:val="center"/>
              <w:rPr>
                <w:rFonts w:ascii="宋体" w:hAnsi="宋体"/>
                <w:sz w:val="18"/>
                <w:szCs w:val="18"/>
              </w:rPr>
            </w:pPr>
            <w:r>
              <w:rPr>
                <w:rFonts w:hint="eastAsia" w:ascii="宋体" w:hAnsi="宋体"/>
                <w:sz w:val="18"/>
                <w:szCs w:val="18"/>
              </w:rPr>
              <w:t>预留孔</w:t>
            </w: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中心偏移（mm）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10.0</w:t>
            </w:r>
          </w:p>
        </w:tc>
        <w:tc>
          <w:tcPr>
            <w:tcW w:w="1764" w:type="dxa"/>
            <w:vMerge w:val="continue"/>
            <w:vAlign w:val="center"/>
          </w:tcPr>
          <w:p>
            <w:pPr>
              <w:spacing w:line="240" w:lineRule="auto"/>
              <w:jc w:val="center"/>
              <w:rPr>
                <w:rFonts w:ascii="宋体" w:hAnsi="宋体"/>
                <w:sz w:val="18"/>
                <w:szCs w:val="18"/>
              </w:rPr>
            </w:pPr>
          </w:p>
        </w:tc>
      </w:tr>
      <w:tr>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restart"/>
            <w:vAlign w:val="center"/>
          </w:tcPr>
          <w:p>
            <w:pPr>
              <w:spacing w:line="240" w:lineRule="auto"/>
              <w:jc w:val="center"/>
              <w:rPr>
                <w:rFonts w:ascii="宋体" w:hAnsi="宋体"/>
                <w:sz w:val="18"/>
                <w:szCs w:val="18"/>
              </w:rPr>
            </w:pPr>
            <w:r>
              <w:rPr>
                <w:rFonts w:hint="eastAsia" w:ascii="宋体" w:hAnsi="宋体"/>
                <w:sz w:val="18"/>
                <w:szCs w:val="18"/>
              </w:rPr>
              <w:t>预埋螺栓</w:t>
            </w: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中心偏移（mm）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5.0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露出长度（mm）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+30.0，0.0</w:t>
            </w:r>
          </w:p>
        </w:tc>
        <w:tc>
          <w:tcPr>
            <w:tcW w:w="1764" w:type="dxa"/>
            <w:vMerge w:val="continue"/>
            <w:vAlign w:val="center"/>
          </w:tcPr>
          <w:p>
            <w:pPr>
              <w:spacing w:line="240" w:lineRule="auto"/>
              <w:jc w:val="center"/>
              <w:rPr>
                <w:rFonts w:ascii="宋体" w:hAnsi="宋体"/>
                <w:sz w:val="18"/>
                <w:szCs w:val="18"/>
              </w:rPr>
            </w:pPr>
          </w:p>
        </w:tc>
      </w:tr>
      <w:tr>
        <w:trPr>
          <w:cantSplit/>
          <w:trHeight w:val="48"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螺纹长度（mm）</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+30.0，0.0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8" w:hRule="atLeast"/>
          <w:jc w:val="center"/>
        </w:trPr>
        <w:tc>
          <w:tcPr>
            <w:tcW w:w="583"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3</w:t>
            </w:r>
          </w:p>
        </w:tc>
        <w:tc>
          <w:tcPr>
            <w:tcW w:w="3118" w:type="dxa"/>
            <w:gridSpan w:val="2"/>
            <w:vAlign w:val="center"/>
          </w:tcPr>
          <w:p>
            <w:pPr>
              <w:spacing w:line="240" w:lineRule="auto"/>
              <w:jc w:val="center"/>
              <w:rPr>
                <w:rFonts w:ascii="宋体" w:hAnsi="宋体"/>
                <w:sz w:val="18"/>
                <w:szCs w:val="18"/>
              </w:rPr>
            </w:pPr>
            <w:r>
              <w:rPr>
                <w:rFonts w:hint="eastAsia" w:ascii="宋体" w:hAnsi="宋体"/>
                <w:sz w:val="18"/>
                <w:szCs w:val="18"/>
              </w:rPr>
              <w:t>不同部位悬挑梁的选型</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应符合专项施工方案的要求</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现场检查核对悬挑梁平面布置图</w:t>
            </w:r>
          </w:p>
        </w:tc>
      </w:tr>
      <w:tr>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4</w:t>
            </w:r>
          </w:p>
        </w:tc>
        <w:tc>
          <w:tcPr>
            <w:tcW w:w="1134" w:type="dxa"/>
            <w:vMerge w:val="restart"/>
            <w:vAlign w:val="center"/>
          </w:tcPr>
          <w:p>
            <w:pPr>
              <w:spacing w:line="240" w:lineRule="auto"/>
              <w:jc w:val="center"/>
              <w:rPr>
                <w:rFonts w:ascii="宋体" w:hAnsi="宋体"/>
                <w:sz w:val="18"/>
                <w:szCs w:val="18"/>
              </w:rPr>
            </w:pPr>
            <w:r>
              <w:rPr>
                <w:rFonts w:hint="eastAsia" w:ascii="宋体" w:hAnsi="宋体"/>
                <w:sz w:val="18"/>
                <w:szCs w:val="18"/>
              </w:rPr>
              <w:t>安装允许偏差（mm）</w:t>
            </w: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横向轴线</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±20.0</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钢尺、水平尺等检查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纵向轴线</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±20.0</w:t>
            </w:r>
          </w:p>
        </w:tc>
        <w:tc>
          <w:tcPr>
            <w:tcW w:w="1764" w:type="dxa"/>
            <w:vMerge w:val="continue"/>
            <w:vAlign w:val="center"/>
          </w:tcPr>
          <w:p>
            <w:pPr>
              <w:spacing w:line="240" w:lineRule="auto"/>
              <w:jc w:val="center"/>
              <w:rPr>
                <w:rFonts w:ascii="宋体" w:hAnsi="宋体"/>
                <w:sz w:val="18"/>
                <w:szCs w:val="18"/>
              </w:rPr>
            </w:pPr>
          </w:p>
        </w:tc>
      </w:tr>
      <w:tr>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悬挑架垂直度</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h/250，且≯15.0</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悬挑梁水平度</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L/500，且≯20.0</w:t>
            </w:r>
          </w:p>
        </w:tc>
        <w:tc>
          <w:tcPr>
            <w:tcW w:w="1764" w:type="dxa"/>
            <w:vMerge w:val="continue"/>
            <w:vAlign w:val="center"/>
          </w:tcPr>
          <w:p>
            <w:pPr>
              <w:spacing w:line="240" w:lineRule="auto"/>
              <w:jc w:val="center"/>
              <w:rPr>
                <w:rFonts w:ascii="宋体" w:hAnsi="宋体"/>
                <w:sz w:val="18"/>
                <w:szCs w:val="18"/>
              </w:rPr>
            </w:pPr>
          </w:p>
        </w:tc>
      </w:tr>
      <w:tr>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5</w:t>
            </w:r>
          </w:p>
        </w:tc>
        <w:tc>
          <w:tcPr>
            <w:tcW w:w="1134" w:type="dxa"/>
            <w:vMerge w:val="restart"/>
            <w:vAlign w:val="center"/>
          </w:tcPr>
          <w:p>
            <w:pPr>
              <w:spacing w:line="240" w:lineRule="auto"/>
              <w:jc w:val="center"/>
              <w:rPr>
                <w:rFonts w:ascii="宋体" w:hAnsi="宋体"/>
                <w:sz w:val="18"/>
                <w:szCs w:val="18"/>
              </w:rPr>
            </w:pPr>
            <w:r>
              <w:rPr>
                <w:rFonts w:hint="eastAsia" w:ascii="宋体" w:hAnsi="宋体"/>
                <w:sz w:val="18"/>
                <w:szCs w:val="18"/>
              </w:rPr>
              <w:t>与主体结构连接</w:t>
            </w:r>
          </w:p>
        </w:tc>
        <w:tc>
          <w:tcPr>
            <w:tcW w:w="1984" w:type="dxa"/>
            <w:vAlign w:val="center"/>
          </w:tcPr>
          <w:p>
            <w:pPr>
              <w:spacing w:line="240" w:lineRule="auto"/>
              <w:jc w:val="center"/>
              <w:rPr>
                <w:rFonts w:ascii="宋体" w:hAnsi="宋体"/>
                <w:sz w:val="18"/>
                <w:szCs w:val="18"/>
              </w:rPr>
            </w:pPr>
            <w:r>
              <w:rPr>
                <w:rFonts w:hint="eastAsia" w:ascii="宋体" w:hAnsi="宋体"/>
                <w:sz w:val="18"/>
                <w:szCs w:val="18"/>
              </w:rPr>
              <w:t>焊接</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焊缝尺寸需符合设计要求，焊缝表面应平整、无裂缝、气孔、夹渣、漏焊等明显缺陷</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观察，钢尺、塞尺等检查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Merge w:val="restart"/>
            <w:vAlign w:val="center"/>
          </w:tcPr>
          <w:p>
            <w:pPr>
              <w:spacing w:line="240" w:lineRule="auto"/>
              <w:jc w:val="center"/>
              <w:rPr>
                <w:rFonts w:ascii="宋体" w:hAnsi="宋体"/>
                <w:sz w:val="18"/>
                <w:szCs w:val="18"/>
              </w:rPr>
            </w:pPr>
            <w:r>
              <w:rPr>
                <w:rFonts w:hint="eastAsia" w:ascii="宋体" w:hAnsi="宋体"/>
                <w:sz w:val="18"/>
                <w:szCs w:val="18"/>
              </w:rPr>
              <w:t>螺栓连接</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螺栓、螺母、垫圈（板）的品种、规格、性能、数量应符合要求</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观察，钢尺等检查</w:t>
            </w:r>
          </w:p>
        </w:tc>
      </w:tr>
      <w:tr>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1134" w:type="dxa"/>
            <w:vMerge w:val="continue"/>
            <w:vAlign w:val="center"/>
          </w:tcPr>
          <w:p>
            <w:pPr>
              <w:spacing w:line="240" w:lineRule="auto"/>
              <w:jc w:val="center"/>
              <w:rPr>
                <w:rFonts w:ascii="宋体" w:hAnsi="宋体"/>
                <w:sz w:val="18"/>
                <w:szCs w:val="18"/>
              </w:rPr>
            </w:pPr>
          </w:p>
        </w:tc>
        <w:tc>
          <w:tcPr>
            <w:tcW w:w="1984" w:type="dxa"/>
            <w:vMerge w:val="continue"/>
            <w:vAlign w:val="center"/>
          </w:tcPr>
          <w:p>
            <w:pPr>
              <w:spacing w:line="240" w:lineRule="auto"/>
              <w:jc w:val="center"/>
              <w:rPr>
                <w:rFonts w:ascii="宋体" w:hAnsi="宋体"/>
                <w:sz w:val="18"/>
                <w:szCs w:val="18"/>
              </w:rPr>
            </w:pP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螺栓应紧固，并有锁定措施，外露丝扣不少于2扣</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观察，小锤轻击或扭力扳手等检查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6</w:t>
            </w:r>
          </w:p>
        </w:tc>
        <w:tc>
          <w:tcPr>
            <w:tcW w:w="3118" w:type="dxa"/>
            <w:gridSpan w:val="2"/>
            <w:vMerge w:val="restart"/>
            <w:vAlign w:val="center"/>
          </w:tcPr>
          <w:p>
            <w:pPr>
              <w:spacing w:line="240" w:lineRule="auto"/>
              <w:jc w:val="center"/>
              <w:rPr>
                <w:rFonts w:ascii="宋体" w:hAnsi="宋体"/>
                <w:sz w:val="18"/>
                <w:szCs w:val="18"/>
              </w:rPr>
            </w:pPr>
            <w:r>
              <w:rPr>
                <w:rFonts w:hint="eastAsia" w:ascii="宋体" w:hAnsi="宋体"/>
                <w:sz w:val="18"/>
                <w:szCs w:val="18"/>
              </w:rPr>
              <w:t>锚环、拉环</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数量、规格、做法、预埋位置应符合设计要求</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观察，小锤轻击检查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3118" w:type="dxa"/>
            <w:gridSpan w:val="2"/>
            <w:vMerge w:val="continue"/>
            <w:vAlign w:val="center"/>
          </w:tcPr>
          <w:p>
            <w:pPr>
              <w:spacing w:line="240" w:lineRule="auto"/>
              <w:jc w:val="center"/>
              <w:rPr>
                <w:rFonts w:ascii="宋体" w:hAnsi="宋体"/>
                <w:sz w:val="18"/>
                <w:szCs w:val="18"/>
              </w:rPr>
            </w:pP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应有预紧装置并预紧</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restart"/>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7</w:t>
            </w:r>
          </w:p>
        </w:tc>
        <w:tc>
          <w:tcPr>
            <w:tcW w:w="3118" w:type="dxa"/>
            <w:gridSpan w:val="2"/>
            <w:vMerge w:val="restart"/>
            <w:vAlign w:val="center"/>
          </w:tcPr>
          <w:p>
            <w:pPr>
              <w:spacing w:line="240" w:lineRule="auto"/>
              <w:jc w:val="center"/>
              <w:rPr>
                <w:rFonts w:ascii="宋体" w:hAnsi="宋体"/>
                <w:sz w:val="18"/>
                <w:szCs w:val="18"/>
              </w:rPr>
            </w:pPr>
            <w:r>
              <w:rPr>
                <w:rFonts w:hint="eastAsia" w:ascii="宋体" w:hAnsi="宋体"/>
                <w:sz w:val="18"/>
                <w:szCs w:val="18"/>
              </w:rPr>
              <w:t>钢丝绳</w:t>
            </w: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数量、规格应符合设计要求</w:t>
            </w:r>
          </w:p>
        </w:tc>
        <w:tc>
          <w:tcPr>
            <w:tcW w:w="1764" w:type="dxa"/>
            <w:vMerge w:val="restart"/>
            <w:vAlign w:val="center"/>
          </w:tcPr>
          <w:p>
            <w:pPr>
              <w:spacing w:line="240" w:lineRule="auto"/>
              <w:jc w:val="center"/>
              <w:rPr>
                <w:rFonts w:ascii="宋体" w:hAnsi="宋体"/>
                <w:sz w:val="18"/>
                <w:szCs w:val="18"/>
              </w:rPr>
            </w:pPr>
            <w:r>
              <w:rPr>
                <w:rFonts w:hint="eastAsia" w:ascii="宋体" w:hAnsi="宋体"/>
                <w:sz w:val="18"/>
                <w:szCs w:val="18"/>
              </w:rPr>
              <w:t>观察</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3118" w:type="dxa"/>
            <w:gridSpan w:val="2"/>
            <w:vMerge w:val="continue"/>
            <w:vAlign w:val="center"/>
          </w:tcPr>
          <w:p>
            <w:pPr>
              <w:spacing w:line="240" w:lineRule="auto"/>
              <w:jc w:val="center"/>
              <w:rPr>
                <w:rFonts w:ascii="宋体" w:hAnsi="宋体"/>
                <w:sz w:val="18"/>
                <w:szCs w:val="18"/>
              </w:rPr>
            </w:pP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端部应设置鸡心环、绳卡，规格、数量、安装方法符合设计及相关规范</w:t>
            </w:r>
          </w:p>
        </w:tc>
        <w:tc>
          <w:tcPr>
            <w:tcW w:w="1764"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31" w:hRule="atLeast"/>
          <w:jc w:val="center"/>
        </w:trPr>
        <w:tc>
          <w:tcPr>
            <w:tcW w:w="583" w:type="dxa"/>
            <w:vMerge w:val="continue"/>
            <w:vAlign w:val="center"/>
          </w:tcPr>
          <w:p>
            <w:pPr>
              <w:pStyle w:val="344"/>
              <w:widowControl w:val="0"/>
              <w:spacing w:beforeLines="0" w:afterLines="0"/>
              <w:rPr>
                <w:rFonts w:ascii="宋体" w:hAnsi="宋体" w:eastAsia="宋体"/>
                <w:kern w:val="2"/>
                <w:sz w:val="18"/>
                <w:szCs w:val="18"/>
              </w:rPr>
            </w:pPr>
          </w:p>
        </w:tc>
        <w:tc>
          <w:tcPr>
            <w:tcW w:w="3118" w:type="dxa"/>
            <w:gridSpan w:val="2"/>
            <w:vMerge w:val="continue"/>
            <w:vAlign w:val="center"/>
          </w:tcPr>
          <w:p>
            <w:pPr>
              <w:spacing w:line="240" w:lineRule="auto"/>
              <w:jc w:val="center"/>
              <w:rPr>
                <w:rFonts w:ascii="宋体" w:hAnsi="宋体"/>
                <w:sz w:val="18"/>
                <w:szCs w:val="18"/>
              </w:rPr>
            </w:pPr>
          </w:p>
        </w:tc>
        <w:tc>
          <w:tcPr>
            <w:tcW w:w="3352" w:type="dxa"/>
            <w:vAlign w:val="center"/>
          </w:tcPr>
          <w:p>
            <w:pPr>
              <w:spacing w:line="240" w:lineRule="auto"/>
              <w:jc w:val="center"/>
              <w:rPr>
                <w:rFonts w:ascii="宋体" w:hAnsi="宋体"/>
                <w:sz w:val="18"/>
                <w:szCs w:val="18"/>
              </w:rPr>
            </w:pPr>
            <w:r>
              <w:rPr>
                <w:rFonts w:hint="eastAsia" w:ascii="宋体" w:hAnsi="宋体"/>
                <w:sz w:val="18"/>
                <w:szCs w:val="18"/>
              </w:rPr>
              <w:t>应设置调紧装置，并调紧、锁定，调紧装置应有足够调节空间</w:t>
            </w:r>
          </w:p>
        </w:tc>
        <w:tc>
          <w:tcPr>
            <w:tcW w:w="1764" w:type="dxa"/>
            <w:vAlign w:val="center"/>
          </w:tcPr>
          <w:p>
            <w:pPr>
              <w:spacing w:line="240" w:lineRule="auto"/>
              <w:jc w:val="center"/>
              <w:rPr>
                <w:rFonts w:ascii="宋体" w:hAnsi="宋体"/>
                <w:sz w:val="18"/>
                <w:szCs w:val="18"/>
              </w:rPr>
            </w:pPr>
            <w:r>
              <w:rPr>
                <w:rFonts w:hint="eastAsia" w:ascii="宋体" w:hAnsi="宋体"/>
                <w:sz w:val="18"/>
                <w:szCs w:val="18"/>
              </w:rPr>
              <w:t>观察、扭力扳手检查</w:t>
            </w:r>
          </w:p>
        </w:tc>
      </w:tr>
    </w:tbl>
    <w:p>
      <w:pPr>
        <w:pStyle w:val="79"/>
        <w:ind w:firstLine="420"/>
      </w:pPr>
    </w:p>
    <w:p>
      <w:pPr>
        <w:pStyle w:val="234"/>
      </w:pPr>
      <w:r>
        <w:rPr>
          <w:rFonts w:hint="eastAsia"/>
        </w:rPr>
        <w:t>悬挑架架体搭设质量验收如B.3所示。</w:t>
      </w:r>
    </w:p>
    <w:p>
      <w:pPr>
        <w:pStyle w:val="100"/>
        <w:spacing w:before="156" w:after="156"/>
      </w:pPr>
      <w:r>
        <w:rPr>
          <w:rFonts w:hint="eastAsia"/>
        </w:rPr>
        <w:t>悬挑架架体搭设质量验收表</w:t>
      </w:r>
    </w:p>
    <w:tbl>
      <w:tblPr>
        <w:tblStyle w:val="46"/>
        <w:tblW w:w="0" w:type="auto"/>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567"/>
        <w:gridCol w:w="683"/>
        <w:gridCol w:w="708"/>
        <w:gridCol w:w="851"/>
        <w:gridCol w:w="992"/>
        <w:gridCol w:w="3402"/>
        <w:gridCol w:w="1531"/>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66" w:hRule="atLeast"/>
          <w:jc w:val="center"/>
        </w:trPr>
        <w:tc>
          <w:tcPr>
            <w:tcW w:w="567"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t>序号</w:t>
            </w:r>
          </w:p>
        </w:tc>
        <w:tc>
          <w:tcPr>
            <w:tcW w:w="2242" w:type="dxa"/>
            <w:gridSpan w:val="3"/>
            <w:vAlign w:val="center"/>
          </w:tcPr>
          <w:p>
            <w:pPr>
              <w:spacing w:line="240" w:lineRule="auto"/>
              <w:jc w:val="center"/>
              <w:rPr>
                <w:rFonts w:ascii="宋体" w:hAnsi="宋体"/>
                <w:sz w:val="18"/>
                <w:szCs w:val="18"/>
              </w:rPr>
            </w:pPr>
            <w:r>
              <w:rPr>
                <w:rFonts w:hint="eastAsia" w:ascii="宋体" w:hAnsi="宋体"/>
                <w:sz w:val="18"/>
                <w:szCs w:val="18"/>
              </w:rPr>
              <w:t>验收项目</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技术要求</w:t>
            </w:r>
          </w:p>
        </w:tc>
        <w:tc>
          <w:tcPr>
            <w:tcW w:w="1531" w:type="dxa"/>
            <w:vAlign w:val="center"/>
          </w:tcPr>
          <w:p>
            <w:pPr>
              <w:spacing w:line="240" w:lineRule="auto"/>
              <w:rPr>
                <w:rFonts w:ascii="宋体" w:hAnsi="宋体"/>
                <w:sz w:val="18"/>
                <w:szCs w:val="18"/>
              </w:rPr>
            </w:pPr>
            <w:r>
              <w:rPr>
                <w:rFonts w:hint="eastAsia" w:ascii="宋体" w:hAnsi="宋体"/>
                <w:sz w:val="18"/>
                <w:szCs w:val="18"/>
              </w:rPr>
              <w:t>验收方法与工具</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4" w:hRule="atLeast"/>
          <w:jc w:val="center"/>
        </w:trPr>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1</w:t>
            </w:r>
          </w:p>
        </w:tc>
        <w:tc>
          <w:tcPr>
            <w:tcW w:w="683" w:type="dxa"/>
            <w:vMerge w:val="restart"/>
            <w:vAlign w:val="center"/>
          </w:tcPr>
          <w:p>
            <w:pPr>
              <w:spacing w:line="240" w:lineRule="auto"/>
              <w:jc w:val="center"/>
              <w:rPr>
                <w:rFonts w:ascii="宋体" w:hAnsi="宋体"/>
                <w:sz w:val="18"/>
                <w:szCs w:val="18"/>
              </w:rPr>
            </w:pPr>
            <w:r>
              <w:rPr>
                <w:rFonts w:hint="eastAsia" w:ascii="宋体" w:hAnsi="宋体"/>
                <w:sz w:val="18"/>
                <w:szCs w:val="18"/>
              </w:rPr>
              <w:t>立杆垂直度</w:t>
            </w: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最后验收垂直度</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±100</w:t>
            </w:r>
          </w:p>
        </w:tc>
        <w:tc>
          <w:tcPr>
            <w:tcW w:w="1531" w:type="dxa"/>
            <w:vMerge w:val="restart"/>
            <w:vAlign w:val="center"/>
          </w:tcPr>
          <w:p>
            <w:pPr>
              <w:spacing w:line="240" w:lineRule="auto"/>
              <w:jc w:val="center"/>
              <w:rPr>
                <w:rFonts w:ascii="宋体" w:hAnsi="宋体"/>
                <w:sz w:val="18"/>
                <w:szCs w:val="18"/>
              </w:rPr>
            </w:pPr>
            <w:r>
              <w:rPr>
                <w:rFonts w:hint="eastAsia" w:ascii="宋体" w:hAnsi="宋体"/>
                <w:sz w:val="18"/>
                <w:szCs w:val="18"/>
              </w:rPr>
              <w:t>经纬仪检查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restart"/>
            <w:vAlign w:val="center"/>
          </w:tcPr>
          <w:p>
            <w:pPr>
              <w:spacing w:line="240" w:lineRule="auto"/>
              <w:jc w:val="center"/>
              <w:rPr>
                <w:rFonts w:ascii="宋体" w:hAnsi="宋体"/>
                <w:sz w:val="18"/>
                <w:szCs w:val="18"/>
              </w:rPr>
            </w:pPr>
            <w:r>
              <w:rPr>
                <w:rFonts w:hint="eastAsia" w:ascii="宋体" w:hAnsi="宋体"/>
                <w:sz w:val="18"/>
                <w:szCs w:val="18"/>
              </w:rPr>
              <w:t>搭设中检查的垂直度</w:t>
            </w:r>
          </w:p>
        </w:tc>
        <w:tc>
          <w:tcPr>
            <w:tcW w:w="851" w:type="dxa"/>
            <w:vAlign w:val="center"/>
          </w:tcPr>
          <w:p>
            <w:pPr>
              <w:spacing w:line="240" w:lineRule="auto"/>
              <w:jc w:val="center"/>
              <w:rPr>
                <w:rFonts w:ascii="宋体" w:hAnsi="宋体"/>
                <w:sz w:val="18"/>
                <w:szCs w:val="18"/>
              </w:rPr>
            </w:pPr>
            <w:r>
              <w:rPr>
                <w:rFonts w:hint="eastAsia" w:ascii="宋体" w:hAnsi="宋体"/>
                <w:sz w:val="18"/>
                <w:szCs w:val="18"/>
              </w:rPr>
              <w:t>H=2</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±7</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continue"/>
            <w:vAlign w:val="center"/>
          </w:tcPr>
          <w:p>
            <w:pPr>
              <w:spacing w:line="240" w:lineRule="auto"/>
              <w:jc w:val="center"/>
              <w:rPr>
                <w:rFonts w:ascii="宋体" w:hAnsi="宋体"/>
                <w:sz w:val="18"/>
                <w:szCs w:val="18"/>
              </w:rPr>
            </w:pPr>
          </w:p>
        </w:tc>
        <w:tc>
          <w:tcPr>
            <w:tcW w:w="851" w:type="dxa"/>
            <w:vAlign w:val="center"/>
          </w:tcPr>
          <w:p>
            <w:pPr>
              <w:spacing w:line="240" w:lineRule="auto"/>
              <w:jc w:val="center"/>
              <w:rPr>
                <w:rFonts w:ascii="宋体" w:hAnsi="宋体"/>
                <w:sz w:val="18"/>
                <w:szCs w:val="18"/>
              </w:rPr>
            </w:pPr>
            <w:r>
              <w:rPr>
                <w:rFonts w:hint="eastAsia" w:ascii="宋体" w:hAnsi="宋体"/>
                <w:sz w:val="18"/>
                <w:szCs w:val="18"/>
              </w:rPr>
              <w:t>H=10</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±14</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continue"/>
            <w:vAlign w:val="center"/>
          </w:tcPr>
          <w:p>
            <w:pPr>
              <w:spacing w:line="240" w:lineRule="auto"/>
              <w:jc w:val="center"/>
              <w:rPr>
                <w:rFonts w:ascii="宋体" w:hAnsi="宋体"/>
                <w:sz w:val="18"/>
                <w:szCs w:val="18"/>
              </w:rPr>
            </w:pPr>
          </w:p>
        </w:tc>
        <w:tc>
          <w:tcPr>
            <w:tcW w:w="851" w:type="dxa"/>
            <w:vAlign w:val="center"/>
          </w:tcPr>
          <w:p>
            <w:pPr>
              <w:spacing w:line="240" w:lineRule="auto"/>
              <w:jc w:val="center"/>
              <w:rPr>
                <w:rFonts w:ascii="宋体" w:hAnsi="宋体"/>
                <w:sz w:val="18"/>
                <w:szCs w:val="18"/>
              </w:rPr>
            </w:pPr>
            <w:r>
              <w:rPr>
                <w:rFonts w:hint="eastAsia" w:ascii="宋体" w:hAnsi="宋体"/>
                <w:sz w:val="18"/>
                <w:szCs w:val="18"/>
              </w:rPr>
              <w:t>H=20</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±28</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continue"/>
            <w:vAlign w:val="center"/>
          </w:tcPr>
          <w:p>
            <w:pPr>
              <w:spacing w:line="240" w:lineRule="auto"/>
              <w:jc w:val="center"/>
              <w:rPr>
                <w:rFonts w:ascii="宋体" w:hAnsi="宋体"/>
                <w:sz w:val="18"/>
                <w:szCs w:val="18"/>
              </w:rPr>
            </w:pPr>
          </w:p>
        </w:tc>
        <w:tc>
          <w:tcPr>
            <w:tcW w:w="851" w:type="dxa"/>
            <w:vAlign w:val="center"/>
          </w:tcPr>
          <w:p>
            <w:pPr>
              <w:spacing w:line="240" w:lineRule="auto"/>
              <w:jc w:val="center"/>
              <w:rPr>
                <w:rFonts w:ascii="宋体" w:hAnsi="宋体"/>
                <w:sz w:val="18"/>
                <w:szCs w:val="18"/>
              </w:rPr>
            </w:pPr>
            <w:r>
              <w:rPr>
                <w:rFonts w:hint="eastAsia" w:ascii="宋体" w:hAnsi="宋体"/>
                <w:sz w:val="18"/>
                <w:szCs w:val="18"/>
              </w:rPr>
              <w:t>H=30</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±42</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continue"/>
            <w:vAlign w:val="center"/>
          </w:tcPr>
          <w:p>
            <w:pPr>
              <w:spacing w:line="240" w:lineRule="auto"/>
              <w:jc w:val="center"/>
              <w:rPr>
                <w:rFonts w:ascii="宋体" w:hAnsi="宋体"/>
                <w:sz w:val="18"/>
                <w:szCs w:val="18"/>
              </w:rPr>
            </w:pPr>
          </w:p>
        </w:tc>
        <w:tc>
          <w:tcPr>
            <w:tcW w:w="851" w:type="dxa"/>
            <w:vAlign w:val="center"/>
          </w:tcPr>
          <w:p>
            <w:pPr>
              <w:spacing w:line="240" w:lineRule="auto"/>
              <w:jc w:val="center"/>
              <w:rPr>
                <w:rFonts w:ascii="宋体" w:hAnsi="宋体"/>
                <w:sz w:val="18"/>
                <w:szCs w:val="18"/>
              </w:rPr>
            </w:pPr>
            <w:r>
              <w:rPr>
                <w:rFonts w:hint="eastAsia" w:ascii="宋体" w:hAnsi="宋体"/>
                <w:sz w:val="18"/>
                <w:szCs w:val="18"/>
              </w:rPr>
              <w:t>H=40</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±55</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continue"/>
            <w:vAlign w:val="center"/>
          </w:tcPr>
          <w:p>
            <w:pPr>
              <w:spacing w:line="240" w:lineRule="auto"/>
              <w:jc w:val="center"/>
              <w:rPr>
                <w:rFonts w:ascii="宋体" w:hAnsi="宋体"/>
                <w:sz w:val="18"/>
                <w:szCs w:val="18"/>
              </w:rPr>
            </w:pPr>
          </w:p>
        </w:tc>
        <w:tc>
          <w:tcPr>
            <w:tcW w:w="851" w:type="dxa"/>
            <w:vAlign w:val="center"/>
          </w:tcPr>
          <w:p>
            <w:pPr>
              <w:spacing w:line="240" w:lineRule="auto"/>
              <w:jc w:val="center"/>
              <w:rPr>
                <w:rFonts w:ascii="宋体" w:hAnsi="宋体"/>
                <w:sz w:val="18"/>
                <w:szCs w:val="18"/>
              </w:rPr>
            </w:pPr>
            <w:r>
              <w:rPr>
                <w:rFonts w:hint="eastAsia" w:ascii="宋体" w:hAnsi="宋体"/>
                <w:sz w:val="18"/>
                <w:szCs w:val="18"/>
              </w:rPr>
              <w:t>H=50</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±70</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708" w:type="dxa"/>
            <w:vMerge w:val="continue"/>
            <w:vAlign w:val="center"/>
          </w:tcPr>
          <w:p>
            <w:pPr>
              <w:spacing w:line="240" w:lineRule="auto"/>
              <w:jc w:val="center"/>
              <w:rPr>
                <w:rFonts w:ascii="宋体" w:hAnsi="宋体"/>
                <w:sz w:val="18"/>
                <w:szCs w:val="18"/>
              </w:rPr>
            </w:pPr>
          </w:p>
        </w:tc>
        <w:tc>
          <w:tcPr>
            <w:tcW w:w="5245" w:type="dxa"/>
            <w:gridSpan w:val="3"/>
            <w:vAlign w:val="center"/>
          </w:tcPr>
          <w:p>
            <w:pPr>
              <w:spacing w:line="240" w:lineRule="auto"/>
              <w:jc w:val="center"/>
              <w:rPr>
                <w:rFonts w:ascii="宋体" w:hAnsi="宋体"/>
                <w:sz w:val="18"/>
                <w:szCs w:val="18"/>
              </w:rPr>
            </w:pPr>
            <w:r>
              <w:rPr>
                <w:rFonts w:hint="eastAsia" w:ascii="宋体" w:hAnsi="宋体"/>
                <w:sz w:val="18"/>
                <w:szCs w:val="18"/>
              </w:rPr>
              <w:t>中间档次采用插值法</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4" w:hRule="atLeast"/>
          <w:jc w:val="center"/>
        </w:trPr>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2</w:t>
            </w:r>
          </w:p>
        </w:tc>
        <w:tc>
          <w:tcPr>
            <w:tcW w:w="683" w:type="dxa"/>
            <w:vMerge w:val="restart"/>
            <w:vAlign w:val="center"/>
          </w:tcPr>
          <w:p>
            <w:pPr>
              <w:spacing w:line="240" w:lineRule="auto"/>
              <w:jc w:val="center"/>
              <w:rPr>
                <w:rFonts w:ascii="宋体" w:hAnsi="宋体"/>
                <w:sz w:val="18"/>
                <w:szCs w:val="18"/>
              </w:rPr>
            </w:pPr>
            <w:r>
              <w:rPr>
                <w:rFonts w:hint="eastAsia" w:ascii="宋体" w:hAnsi="宋体"/>
                <w:sz w:val="18"/>
                <w:szCs w:val="18"/>
              </w:rPr>
              <w:t>间距</w:t>
            </w: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步距</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±20</w:t>
            </w:r>
          </w:p>
        </w:tc>
        <w:tc>
          <w:tcPr>
            <w:tcW w:w="1531" w:type="dxa"/>
            <w:vMerge w:val="restart"/>
            <w:vAlign w:val="center"/>
          </w:tcPr>
          <w:p>
            <w:pPr>
              <w:spacing w:line="240" w:lineRule="auto"/>
              <w:jc w:val="center"/>
              <w:rPr>
                <w:rFonts w:ascii="宋体" w:hAnsi="宋体"/>
                <w:sz w:val="18"/>
                <w:szCs w:val="18"/>
              </w:rPr>
            </w:pPr>
            <w:r>
              <w:rPr>
                <w:rFonts w:hint="eastAsia" w:ascii="宋体" w:hAnsi="宋体"/>
                <w:sz w:val="18"/>
                <w:szCs w:val="18"/>
              </w:rPr>
              <w:t>钢板尺检查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纵距</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±50</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横距</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±20</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4" w:hRule="atLeast"/>
          <w:jc w:val="center"/>
        </w:trPr>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3</w:t>
            </w:r>
          </w:p>
        </w:tc>
        <w:tc>
          <w:tcPr>
            <w:tcW w:w="683" w:type="dxa"/>
            <w:vMerge w:val="restart"/>
            <w:vAlign w:val="center"/>
          </w:tcPr>
          <w:p>
            <w:pPr>
              <w:spacing w:line="240" w:lineRule="auto"/>
              <w:jc w:val="center"/>
              <w:rPr>
                <w:rFonts w:ascii="宋体" w:hAnsi="宋体"/>
                <w:sz w:val="18"/>
                <w:szCs w:val="18"/>
              </w:rPr>
            </w:pPr>
            <w:r>
              <w:rPr>
                <w:rFonts w:hint="eastAsia" w:ascii="宋体" w:hAnsi="宋体"/>
                <w:sz w:val="18"/>
                <w:szCs w:val="18"/>
              </w:rPr>
              <w:t>纵向水平杆高差</w:t>
            </w: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一根杆的两端</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±20</w:t>
            </w:r>
          </w:p>
        </w:tc>
        <w:tc>
          <w:tcPr>
            <w:tcW w:w="1531" w:type="dxa"/>
            <w:vMerge w:val="restart"/>
            <w:vAlign w:val="center"/>
          </w:tcPr>
          <w:p>
            <w:pPr>
              <w:spacing w:line="240" w:lineRule="auto"/>
              <w:jc w:val="center"/>
              <w:rPr>
                <w:rFonts w:ascii="宋体" w:hAnsi="宋体"/>
                <w:sz w:val="18"/>
                <w:szCs w:val="18"/>
              </w:rPr>
            </w:pPr>
            <w:r>
              <w:rPr>
                <w:rFonts w:hint="eastAsia" w:ascii="宋体" w:hAnsi="宋体"/>
                <w:sz w:val="18"/>
                <w:szCs w:val="18"/>
              </w:rPr>
              <w:t>水平仪检查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68"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同跨内两根纵向水平杆高差</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±10</w:t>
            </w:r>
          </w:p>
        </w:tc>
        <w:tc>
          <w:tcPr>
            <w:tcW w:w="1531" w:type="dxa"/>
            <w:vMerge w:val="continue"/>
            <w:vAlign w:val="center"/>
          </w:tcPr>
          <w:p>
            <w:pPr>
              <w:spacing w:line="240" w:lineRule="auto"/>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34" w:hRule="atLeast"/>
          <w:jc w:val="center"/>
        </w:trPr>
        <w:tc>
          <w:tcPr>
            <w:tcW w:w="567" w:type="dxa"/>
            <w:vAlign w:val="center"/>
          </w:tcPr>
          <w:p>
            <w:pPr>
              <w:spacing w:line="240" w:lineRule="auto"/>
              <w:jc w:val="center"/>
              <w:rPr>
                <w:rFonts w:ascii="宋体" w:hAnsi="宋体"/>
                <w:sz w:val="18"/>
                <w:szCs w:val="18"/>
              </w:rPr>
            </w:pPr>
            <w:r>
              <w:rPr>
                <w:rFonts w:hint="eastAsia" w:ascii="宋体" w:hAnsi="宋体"/>
                <w:sz w:val="18"/>
                <w:szCs w:val="18"/>
              </w:rPr>
              <w:t>4</w:t>
            </w:r>
          </w:p>
        </w:tc>
        <w:tc>
          <w:tcPr>
            <w:tcW w:w="2242" w:type="dxa"/>
            <w:gridSpan w:val="3"/>
            <w:vAlign w:val="center"/>
          </w:tcPr>
          <w:p>
            <w:pPr>
              <w:spacing w:line="240" w:lineRule="auto"/>
              <w:jc w:val="center"/>
              <w:rPr>
                <w:rFonts w:ascii="宋体" w:hAnsi="宋体"/>
                <w:sz w:val="18"/>
                <w:szCs w:val="18"/>
              </w:rPr>
            </w:pPr>
            <w:r>
              <w:rPr>
                <w:rFonts w:hint="eastAsia" w:ascii="宋体" w:hAnsi="宋体"/>
                <w:sz w:val="18"/>
                <w:szCs w:val="18"/>
              </w:rPr>
              <w:t>双排脚手架横向水平杆外伸长度偏差</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-50</w: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钢板尺检查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PrEx>
        <w:trPr>
          <w:cantSplit/>
          <w:trHeight w:val="135" w:hRule="atLeast"/>
          <w:jc w:val="center"/>
        </w:trPr>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5</w:t>
            </w:r>
          </w:p>
        </w:tc>
        <w:tc>
          <w:tcPr>
            <w:tcW w:w="683" w:type="dxa"/>
            <w:vMerge w:val="restart"/>
            <w:vAlign w:val="center"/>
          </w:tcPr>
          <w:p>
            <w:pPr>
              <w:spacing w:line="240" w:lineRule="auto"/>
              <w:rPr>
                <w:rFonts w:ascii="宋体" w:hAnsi="宋体"/>
                <w:sz w:val="18"/>
                <w:szCs w:val="18"/>
              </w:rPr>
            </w:pPr>
            <w:r>
              <w:rPr>
                <w:rFonts w:hint="eastAsia" w:ascii="宋体" w:hAnsi="宋体"/>
                <w:sz w:val="18"/>
                <w:szCs w:val="18"/>
              </w:rPr>
              <w:t>扣件</w:t>
            </w:r>
          </w:p>
        </w:tc>
        <w:tc>
          <w:tcPr>
            <w:tcW w:w="1559" w:type="dxa"/>
            <w:gridSpan w:val="2"/>
            <w:vAlign w:val="center"/>
          </w:tcPr>
          <w:p>
            <w:pPr>
              <w:spacing w:line="240" w:lineRule="auto"/>
              <w:rPr>
                <w:rFonts w:ascii="宋体" w:hAnsi="宋体"/>
                <w:sz w:val="18"/>
                <w:szCs w:val="18"/>
              </w:rPr>
            </w:pPr>
            <w:r>
              <w:rPr>
                <w:rFonts w:hint="eastAsia" w:ascii="宋体" w:hAnsi="宋体"/>
                <w:sz w:val="18"/>
                <w:szCs w:val="18"/>
              </w:rPr>
              <w:t>主节点处各扣件中心点相互距离</w:t>
            </w:r>
          </w:p>
        </w:tc>
        <w:tc>
          <w:tcPr>
            <w:tcW w:w="992" w:type="dxa"/>
            <w:vAlign w:val="center"/>
          </w:tcPr>
          <w:p>
            <w:pPr>
              <w:spacing w:line="240" w:lineRule="auto"/>
              <w:rPr>
                <w:rFonts w:ascii="宋体" w:hAnsi="宋体"/>
                <w:sz w:val="18"/>
                <w:szCs w:val="18"/>
              </w:rPr>
            </w:pPr>
            <w:r>
              <w:rPr>
                <w:rFonts w:hint="eastAsia" w:ascii="宋体" w:hAnsi="宋体"/>
                <w:sz w:val="18"/>
                <w:szCs w:val="18"/>
              </w:rPr>
              <w:t>a≤150mm</w:t>
            </w:r>
          </w:p>
        </w:tc>
        <w:tc>
          <w:tcPr>
            <w:tcW w:w="3402" w:type="dxa"/>
            <w:vAlign w:val="center"/>
          </w:tcPr>
          <w:p>
            <w:pPr>
              <w:spacing w:line="240" w:lineRule="auto"/>
              <w:jc w:val="center"/>
              <w:rPr>
                <w:rFonts w:ascii="宋体" w:hAnsi="宋体"/>
                <w:sz w:val="18"/>
                <w:szCs w:val="18"/>
              </w:rPr>
            </w:pPr>
            <w:r>
              <w:rPr>
                <w:rFonts w:ascii="宋体" w:hAnsi="宋体"/>
                <w:sz w:val="18"/>
                <w:szCs w:val="18"/>
              </w:rPr>
              <w:object>
                <v:shape id="_x0000_i1071" o:spt="75" type="#_x0000_t75" style="height:139.5pt;width:147pt;" o:ole="t" filled="f" o:preferrelative="t" stroked="f" coordsize="21600,21600">
                  <v:path/>
                  <v:fill on="f" focussize="0,0"/>
                  <v:stroke on="f" joinstyle="miter"/>
                  <v:imagedata r:id="rId116" cropleft="3699f" croptop="27825f" cropright="39183f" cropbottom="9619f" o:title=""/>
                  <o:lock v:ext="edit" aspectratio="t"/>
                  <w10:wrap type="none"/>
                  <w10:anchorlock/>
                </v:shape>
                <o:OLEObject Type="Embed" ProgID="AutoCAD.Drawing.15" ShapeID="_x0000_i1071" DrawAspect="Content" ObjectID="_1468075771" r:id="rId115">
                  <o:LockedField>false</o:LockedField>
                </o:OLEObject>
              </w:objec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钢卷尺检查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rPr>
                <w:rFonts w:ascii="宋体" w:hAnsi="宋体"/>
                <w:sz w:val="18"/>
                <w:szCs w:val="18"/>
              </w:rPr>
            </w:pPr>
            <w:r>
              <w:rPr>
                <w:rFonts w:hint="eastAsia" w:ascii="宋体" w:hAnsi="宋体"/>
                <w:sz w:val="18"/>
                <w:szCs w:val="18"/>
              </w:rPr>
              <w:t>同步立杆上两个相隔对接扣件的高差</w:t>
            </w:r>
          </w:p>
        </w:tc>
        <w:tc>
          <w:tcPr>
            <w:tcW w:w="992" w:type="dxa"/>
            <w:vAlign w:val="center"/>
          </w:tcPr>
          <w:p>
            <w:pPr>
              <w:spacing w:line="240" w:lineRule="auto"/>
              <w:rPr>
                <w:rFonts w:ascii="宋体" w:hAnsi="宋体"/>
                <w:sz w:val="18"/>
                <w:szCs w:val="18"/>
              </w:rPr>
            </w:pPr>
            <w:r>
              <w:rPr>
                <w:rFonts w:hint="eastAsia" w:ascii="宋体" w:hAnsi="宋体"/>
                <w:sz w:val="18"/>
                <w:szCs w:val="18"/>
              </w:rPr>
              <w:t>a≥500mm</w:t>
            </w:r>
          </w:p>
        </w:tc>
        <w:tc>
          <w:tcPr>
            <w:tcW w:w="3402" w:type="dxa"/>
            <w:vMerge w:val="restart"/>
            <w:vAlign w:val="center"/>
          </w:tcPr>
          <w:p>
            <w:pPr>
              <w:spacing w:line="240" w:lineRule="auto"/>
              <w:jc w:val="center"/>
              <w:rPr>
                <w:rFonts w:ascii="宋体" w:hAnsi="宋体"/>
                <w:sz w:val="18"/>
                <w:szCs w:val="18"/>
              </w:rPr>
            </w:pPr>
            <w:r>
              <w:rPr>
                <w:rFonts w:ascii="宋体" w:hAnsi="宋体"/>
                <w:sz w:val="18"/>
                <w:szCs w:val="18"/>
              </w:rPr>
              <w:object>
                <v:shape id="_x0000_i1072" o:spt="75" type="#_x0000_t75" style="height:146.25pt;width:135pt;" o:ole="t" filled="f" o:preferrelative="t" stroked="f" coordsize="21600,21600">
                  <v:path/>
                  <v:fill on="f" focussize="0,0"/>
                  <v:stroke on="f" joinstyle="miter"/>
                  <v:imagedata r:id="rId118" cropleft="38374f" croptop="27099f" cropright="6357f" cropbottom="9171f" o:title=""/>
                  <o:lock v:ext="edit" aspectratio="t"/>
                  <w10:wrap type="none"/>
                  <w10:anchorlock/>
                </v:shape>
                <o:OLEObject Type="Embed" ProgID="AutoCAD.Drawing.15" ShapeID="_x0000_i1072" DrawAspect="Content" ObjectID="_1468075772" r:id="rId117">
                  <o:LockedField>false</o:LockedField>
                </o:OLEObject>
              </w:objec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钢卷尺检查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rPr>
                <w:rFonts w:ascii="宋体" w:hAnsi="宋体"/>
                <w:sz w:val="18"/>
                <w:szCs w:val="18"/>
              </w:rPr>
            </w:pPr>
            <w:r>
              <w:rPr>
                <w:rFonts w:hint="eastAsia" w:ascii="宋体" w:hAnsi="宋体"/>
                <w:sz w:val="18"/>
                <w:szCs w:val="18"/>
              </w:rPr>
              <w:t>立杆上的对接扣件置主节点的距离</w:t>
            </w:r>
          </w:p>
        </w:tc>
        <w:tc>
          <w:tcPr>
            <w:tcW w:w="992" w:type="dxa"/>
            <w:vAlign w:val="center"/>
          </w:tcPr>
          <w:p>
            <w:pPr>
              <w:spacing w:line="240" w:lineRule="auto"/>
              <w:rPr>
                <w:rFonts w:ascii="宋体" w:hAnsi="宋体"/>
                <w:sz w:val="18"/>
                <w:szCs w:val="18"/>
              </w:rPr>
            </w:pPr>
            <w:r>
              <w:rPr>
                <w:rFonts w:hint="eastAsia" w:ascii="宋体" w:hAnsi="宋体"/>
                <w:sz w:val="18"/>
                <w:szCs w:val="18"/>
              </w:rPr>
              <w:t>a≤h/3</w:t>
            </w:r>
          </w:p>
          <w:p>
            <w:pPr>
              <w:spacing w:line="240" w:lineRule="auto"/>
              <w:rPr>
                <w:rFonts w:ascii="宋体" w:hAnsi="宋体"/>
                <w:sz w:val="18"/>
                <w:szCs w:val="18"/>
              </w:rPr>
            </w:pPr>
            <w:r>
              <w:rPr>
                <w:rFonts w:hint="eastAsia" w:ascii="宋体" w:hAnsi="宋体"/>
                <w:sz w:val="18"/>
                <w:szCs w:val="18"/>
              </w:rPr>
              <w:t>(600mm)</w:t>
            </w:r>
          </w:p>
        </w:tc>
        <w:tc>
          <w:tcPr>
            <w:tcW w:w="3402" w:type="dxa"/>
            <w:vMerge w:val="continue"/>
            <w:vAlign w:val="center"/>
          </w:tcPr>
          <w:p>
            <w:pPr>
              <w:spacing w:line="240" w:lineRule="auto"/>
              <w:jc w:val="center"/>
              <w:rPr>
                <w:rFonts w:ascii="宋体" w:hAnsi="宋体"/>
                <w:sz w:val="18"/>
                <w:szCs w:val="18"/>
              </w:rPr>
            </w:pP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钢卷尺检查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rPr>
                <w:rFonts w:ascii="宋体" w:hAnsi="宋体"/>
                <w:sz w:val="18"/>
                <w:szCs w:val="18"/>
              </w:rPr>
            </w:pPr>
            <w:r>
              <w:rPr>
                <w:rFonts w:hint="eastAsia" w:ascii="宋体" w:hAnsi="宋体"/>
                <w:sz w:val="18"/>
                <w:szCs w:val="18"/>
              </w:rPr>
              <w:t>纵向水平杆的对接扣件置主节点的距离</w:t>
            </w:r>
          </w:p>
        </w:tc>
        <w:tc>
          <w:tcPr>
            <w:tcW w:w="992" w:type="dxa"/>
            <w:vAlign w:val="center"/>
          </w:tcPr>
          <w:p>
            <w:pPr>
              <w:spacing w:line="240" w:lineRule="auto"/>
              <w:rPr>
                <w:rFonts w:ascii="宋体" w:hAnsi="宋体"/>
                <w:sz w:val="18"/>
                <w:szCs w:val="18"/>
              </w:rPr>
            </w:pPr>
            <w:r>
              <w:rPr>
                <w:rFonts w:hint="eastAsia" w:ascii="宋体" w:hAnsi="宋体"/>
                <w:sz w:val="18"/>
                <w:szCs w:val="18"/>
              </w:rPr>
              <w:t>a≤l</w:t>
            </w:r>
            <w:r>
              <w:rPr>
                <w:rFonts w:hint="eastAsia" w:ascii="宋体" w:hAnsi="宋体"/>
                <w:sz w:val="18"/>
                <w:szCs w:val="18"/>
                <w:vertAlign w:val="subscript"/>
              </w:rPr>
              <w:t>a</w:t>
            </w:r>
            <w:r>
              <w:rPr>
                <w:rFonts w:hint="eastAsia" w:ascii="宋体" w:hAnsi="宋体"/>
                <w:sz w:val="18"/>
                <w:szCs w:val="18"/>
              </w:rPr>
              <w:t>/3</w:t>
            </w:r>
          </w:p>
          <w:p>
            <w:pPr>
              <w:spacing w:line="240" w:lineRule="auto"/>
              <w:rPr>
                <w:rFonts w:ascii="宋体" w:hAnsi="宋体"/>
                <w:sz w:val="18"/>
                <w:szCs w:val="18"/>
              </w:rPr>
            </w:pPr>
            <w:r>
              <w:rPr>
                <w:rFonts w:hint="eastAsia" w:ascii="宋体" w:hAnsi="宋体"/>
                <w:sz w:val="18"/>
                <w:szCs w:val="18"/>
              </w:rPr>
              <w:t>(150mm)</w:t>
            </w:r>
          </w:p>
        </w:tc>
        <w:tc>
          <w:tcPr>
            <w:tcW w:w="3402" w:type="dxa"/>
            <w:vAlign w:val="center"/>
          </w:tcPr>
          <w:p>
            <w:pPr>
              <w:pStyle w:val="344"/>
              <w:widowControl w:val="0"/>
              <w:spacing w:beforeLines="0" w:afterLines="0"/>
              <w:rPr>
                <w:rFonts w:ascii="宋体" w:hAnsi="宋体" w:eastAsia="宋体"/>
                <w:kern w:val="2"/>
                <w:sz w:val="18"/>
                <w:szCs w:val="18"/>
              </w:rPr>
            </w:pPr>
            <w:r>
              <w:rPr>
                <w:rFonts w:hint="eastAsia" w:ascii="宋体" w:hAnsi="宋体" w:eastAsia="宋体"/>
                <w:kern w:val="2"/>
                <w:sz w:val="18"/>
                <w:szCs w:val="18"/>
              </w:rPr>
              <w:drawing>
                <wp:inline distT="0" distB="0" distL="0" distR="0">
                  <wp:extent cx="1737360" cy="1005840"/>
                  <wp:effectExtent l="0" t="0" r="0" b="3810"/>
                  <wp:docPr id="40" name="图片 33" descr="Drawing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33" descr="Drawing2"/>
                          <pic:cNvPicPr>
                            <a:picLocks noChangeAspect="true" noChangeArrowheads="true"/>
                          </pic:cNvPicPr>
                        </pic:nvPicPr>
                        <pic:blipFill>
                          <a:blip r:embed="rId119" cstate="print">
                            <a:extLst>
                              <a:ext uri="{28A0092B-C50C-407E-A947-70E740481C1C}">
                                <a14:useLocalDpi xmlns:a14="http://schemas.microsoft.com/office/drawing/2010/main" val="false"/>
                              </a:ext>
                            </a:extLst>
                          </a:blip>
                          <a:srcRect l="16356" b="17104"/>
                          <a:stretch>
                            <a:fillRect/>
                          </a:stretch>
                        </pic:blipFill>
                        <pic:spPr>
                          <a:xfrm>
                            <a:off x="0" y="0"/>
                            <a:ext cx="1737360" cy="1005840"/>
                          </a:xfrm>
                          <a:prstGeom prst="rect">
                            <a:avLst/>
                          </a:prstGeom>
                          <a:noFill/>
                          <a:ln>
                            <a:noFill/>
                          </a:ln>
                        </pic:spPr>
                      </pic:pic>
                    </a:graphicData>
                  </a:graphic>
                </wp:inline>
              </w:drawing>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钢卷尺检查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rPr>
                <w:rFonts w:ascii="宋体" w:hAnsi="宋体"/>
                <w:sz w:val="18"/>
                <w:szCs w:val="18"/>
              </w:rPr>
            </w:pPr>
            <w:r>
              <w:rPr>
                <w:rFonts w:hint="eastAsia" w:ascii="宋体" w:hAnsi="宋体"/>
                <w:sz w:val="18"/>
                <w:szCs w:val="18"/>
              </w:rPr>
              <w:t>扣件螺栓拧紧扭力矩</w:t>
            </w:r>
          </w:p>
        </w:tc>
        <w:tc>
          <w:tcPr>
            <w:tcW w:w="992" w:type="dxa"/>
            <w:vAlign w:val="center"/>
          </w:tcPr>
          <w:p>
            <w:pPr>
              <w:spacing w:line="240" w:lineRule="auto"/>
              <w:rPr>
                <w:rFonts w:ascii="宋体" w:hAnsi="宋体"/>
                <w:sz w:val="18"/>
                <w:szCs w:val="18"/>
              </w:rPr>
            </w:pPr>
            <w:r>
              <w:rPr>
                <w:rFonts w:hint="eastAsia" w:ascii="宋体" w:hAnsi="宋体"/>
                <w:sz w:val="18"/>
                <w:szCs w:val="18"/>
              </w:rPr>
              <w:t>40～60Nm</w:t>
            </w:r>
          </w:p>
        </w:tc>
        <w:tc>
          <w:tcPr>
            <w:tcW w:w="3402" w:type="dxa"/>
            <w:vAlign w:val="center"/>
          </w:tcPr>
          <w:p>
            <w:pPr>
              <w:spacing w:line="240" w:lineRule="auto"/>
              <w:jc w:val="center"/>
              <w:rPr>
                <w:rFonts w:ascii="宋体" w:hAnsi="宋体"/>
                <w:sz w:val="18"/>
                <w:szCs w:val="18"/>
              </w:rPr>
            </w:pPr>
            <w:r>
              <w:rPr>
                <w:rFonts w:hint="eastAsia" w:ascii="宋体" w:hAnsi="宋体"/>
                <w:sz w:val="18"/>
                <w:szCs w:val="18"/>
              </w:rPr>
              <w:t>—</w: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扭力扳手检查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Align w:val="center"/>
          </w:tcPr>
          <w:p>
            <w:pPr>
              <w:spacing w:line="240" w:lineRule="auto"/>
              <w:jc w:val="center"/>
              <w:rPr>
                <w:rFonts w:ascii="宋体" w:hAnsi="宋体"/>
                <w:sz w:val="18"/>
                <w:szCs w:val="18"/>
              </w:rPr>
            </w:pPr>
            <w:r>
              <w:rPr>
                <w:rFonts w:hint="eastAsia" w:ascii="宋体" w:hAnsi="宋体"/>
                <w:sz w:val="18"/>
                <w:szCs w:val="18"/>
              </w:rPr>
              <w:t>6</w:t>
            </w:r>
          </w:p>
        </w:tc>
        <w:tc>
          <w:tcPr>
            <w:tcW w:w="2242" w:type="dxa"/>
            <w:gridSpan w:val="3"/>
            <w:vAlign w:val="center"/>
          </w:tcPr>
          <w:p>
            <w:pPr>
              <w:spacing w:line="240" w:lineRule="auto"/>
              <w:jc w:val="center"/>
              <w:rPr>
                <w:rFonts w:ascii="宋体" w:hAnsi="宋体"/>
                <w:sz w:val="18"/>
                <w:szCs w:val="18"/>
              </w:rPr>
            </w:pPr>
            <w:r>
              <w:rPr>
                <w:rFonts w:hint="eastAsia" w:ascii="宋体" w:hAnsi="宋体"/>
                <w:sz w:val="18"/>
                <w:szCs w:val="18"/>
              </w:rPr>
              <w:t>剪刀撑斜杆与地面的倾角</w:t>
            </w:r>
          </w:p>
        </w:tc>
        <w:tc>
          <w:tcPr>
            <w:tcW w:w="4394" w:type="dxa"/>
            <w:gridSpan w:val="2"/>
            <w:vAlign w:val="center"/>
          </w:tcPr>
          <w:p>
            <w:pPr>
              <w:spacing w:line="240" w:lineRule="auto"/>
              <w:jc w:val="center"/>
              <w:rPr>
                <w:rFonts w:ascii="宋体" w:hAnsi="宋体"/>
                <w:sz w:val="18"/>
                <w:szCs w:val="18"/>
              </w:rPr>
            </w:pPr>
            <w:r>
              <w:rPr>
                <w:rFonts w:hint="eastAsia" w:ascii="宋体" w:hAnsi="宋体"/>
                <w:sz w:val="18"/>
                <w:szCs w:val="18"/>
              </w:rPr>
              <w:t>45</w:t>
            </w:r>
            <w:r>
              <w:rPr>
                <w:rFonts w:hint="eastAsia" w:ascii="宋体" w:hAnsi="宋体"/>
                <w:sz w:val="18"/>
                <w:szCs w:val="18"/>
                <w:vertAlign w:val="superscript"/>
              </w:rPr>
              <w:t>o</w:t>
            </w:r>
            <w:r>
              <w:rPr>
                <w:rFonts w:hint="eastAsia" w:ascii="宋体" w:hAnsi="宋体"/>
                <w:sz w:val="18"/>
                <w:szCs w:val="18"/>
              </w:rPr>
              <w:t>～60</w:t>
            </w:r>
            <w:r>
              <w:rPr>
                <w:rFonts w:hint="eastAsia" w:ascii="宋体" w:hAnsi="宋体"/>
                <w:sz w:val="18"/>
                <w:szCs w:val="18"/>
                <w:vertAlign w:val="superscript"/>
              </w:rPr>
              <w:t>o</w: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角尺检查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Merge w:val="restart"/>
            <w:vAlign w:val="center"/>
          </w:tcPr>
          <w:p>
            <w:pPr>
              <w:spacing w:line="240" w:lineRule="auto"/>
              <w:jc w:val="center"/>
              <w:rPr>
                <w:rFonts w:ascii="宋体" w:hAnsi="宋体"/>
                <w:sz w:val="18"/>
                <w:szCs w:val="18"/>
              </w:rPr>
            </w:pPr>
            <w:r>
              <w:rPr>
                <w:rFonts w:hint="eastAsia" w:ascii="宋体" w:hAnsi="宋体"/>
                <w:sz w:val="18"/>
                <w:szCs w:val="18"/>
              </w:rPr>
              <w:t>7</w:t>
            </w:r>
          </w:p>
        </w:tc>
        <w:tc>
          <w:tcPr>
            <w:tcW w:w="683" w:type="dxa"/>
            <w:vMerge w:val="restart"/>
            <w:vAlign w:val="center"/>
          </w:tcPr>
          <w:p>
            <w:pPr>
              <w:spacing w:line="240" w:lineRule="auto"/>
              <w:rPr>
                <w:rFonts w:ascii="宋体" w:hAnsi="宋体"/>
                <w:sz w:val="18"/>
                <w:szCs w:val="18"/>
              </w:rPr>
            </w:pPr>
            <w:r>
              <w:rPr>
                <w:rFonts w:hint="eastAsia" w:ascii="宋体" w:hAnsi="宋体"/>
                <w:sz w:val="18"/>
                <w:szCs w:val="18"/>
              </w:rPr>
              <w:t>脚手板外伸长度</w:t>
            </w: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对接</w:t>
            </w:r>
          </w:p>
        </w:tc>
        <w:tc>
          <w:tcPr>
            <w:tcW w:w="992" w:type="dxa"/>
            <w:vAlign w:val="center"/>
          </w:tcPr>
          <w:p>
            <w:pPr>
              <w:spacing w:line="240" w:lineRule="auto"/>
              <w:rPr>
                <w:rFonts w:ascii="宋体" w:hAnsi="宋体"/>
                <w:sz w:val="18"/>
                <w:szCs w:val="18"/>
              </w:rPr>
            </w:pPr>
            <w:r>
              <w:rPr>
                <w:rFonts w:hint="eastAsia" w:ascii="宋体" w:hAnsi="宋体"/>
                <w:sz w:val="18"/>
                <w:szCs w:val="18"/>
              </w:rPr>
              <w:t>a=130～150mm</w:t>
            </w:r>
          </w:p>
          <w:p>
            <w:pPr>
              <w:spacing w:line="240" w:lineRule="auto"/>
              <w:rPr>
                <w:rFonts w:ascii="宋体" w:hAnsi="宋体"/>
                <w:sz w:val="18"/>
                <w:szCs w:val="18"/>
              </w:rPr>
            </w:pPr>
            <w:r>
              <w:rPr>
                <w:rFonts w:hint="eastAsia" w:ascii="宋体" w:hAnsi="宋体"/>
                <w:sz w:val="18"/>
                <w:szCs w:val="18"/>
              </w:rPr>
              <w:t>l≤300mm</w:t>
            </w:r>
          </w:p>
        </w:tc>
        <w:tc>
          <w:tcPr>
            <w:tcW w:w="3402" w:type="dxa"/>
            <w:vAlign w:val="center"/>
          </w:tcPr>
          <w:p>
            <w:pPr>
              <w:spacing w:line="240" w:lineRule="auto"/>
              <w:jc w:val="center"/>
              <w:rPr>
                <w:rFonts w:ascii="宋体" w:hAnsi="宋体"/>
                <w:sz w:val="18"/>
                <w:szCs w:val="18"/>
              </w:rPr>
            </w:pPr>
            <w:r>
              <w:rPr>
                <w:rFonts w:ascii="宋体" w:hAnsi="宋体"/>
                <w:sz w:val="18"/>
                <w:szCs w:val="18"/>
              </w:rPr>
              <w:object>
                <v:shape id="_x0000_i1073" o:spt="75" type="#_x0000_t75" style="height:67.5pt;width:138pt;" o:ole="t" filled="f" o:preferrelative="t" stroked="f" coordsize="21600,21600">
                  <v:path/>
                  <v:fill on="f" focussize="0,0"/>
                  <v:stroke on="f" joinstyle="miter"/>
                  <v:imagedata r:id="rId121" cropleft="44384f" cropright="3121f" cropbottom="54012f" o:title=""/>
                  <o:lock v:ext="edit" aspectratio="t"/>
                  <w10:wrap type="none"/>
                  <w10:anchorlock/>
                </v:shape>
                <o:OLEObject Type="Embed" ProgID="AutoCAD.Drawing.15" ShapeID="_x0000_i1073" DrawAspect="Content" ObjectID="_1468075773" r:id="rId120">
                  <o:LockedField>false</o:LockedField>
                </o:OLEObject>
              </w:objec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钢卷尺检查</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67" w:type="dxa"/>
            <w:vMerge w:val="continue"/>
            <w:vAlign w:val="center"/>
          </w:tcPr>
          <w:p>
            <w:pPr>
              <w:spacing w:line="240" w:lineRule="auto"/>
              <w:jc w:val="center"/>
              <w:rPr>
                <w:rFonts w:ascii="宋体" w:hAnsi="宋体"/>
                <w:sz w:val="18"/>
                <w:szCs w:val="18"/>
              </w:rPr>
            </w:pPr>
          </w:p>
        </w:tc>
        <w:tc>
          <w:tcPr>
            <w:tcW w:w="683" w:type="dxa"/>
            <w:vMerge w:val="continue"/>
            <w:vAlign w:val="center"/>
          </w:tcPr>
          <w:p>
            <w:pPr>
              <w:spacing w:line="240" w:lineRule="auto"/>
              <w:jc w:val="center"/>
              <w:rPr>
                <w:rFonts w:ascii="宋体" w:hAnsi="宋体"/>
                <w:sz w:val="18"/>
                <w:szCs w:val="18"/>
              </w:rPr>
            </w:pPr>
          </w:p>
        </w:tc>
        <w:tc>
          <w:tcPr>
            <w:tcW w:w="1559" w:type="dxa"/>
            <w:gridSpan w:val="2"/>
            <w:vAlign w:val="center"/>
          </w:tcPr>
          <w:p>
            <w:pPr>
              <w:spacing w:line="240" w:lineRule="auto"/>
              <w:jc w:val="center"/>
              <w:rPr>
                <w:rFonts w:ascii="宋体" w:hAnsi="宋体"/>
                <w:sz w:val="18"/>
                <w:szCs w:val="18"/>
              </w:rPr>
            </w:pPr>
            <w:r>
              <w:rPr>
                <w:rFonts w:hint="eastAsia" w:ascii="宋体" w:hAnsi="宋体"/>
                <w:sz w:val="18"/>
                <w:szCs w:val="18"/>
              </w:rPr>
              <w:t>搭接</w:t>
            </w:r>
          </w:p>
        </w:tc>
        <w:tc>
          <w:tcPr>
            <w:tcW w:w="992" w:type="dxa"/>
            <w:vAlign w:val="center"/>
          </w:tcPr>
          <w:p>
            <w:pPr>
              <w:spacing w:line="240" w:lineRule="auto"/>
              <w:rPr>
                <w:rFonts w:ascii="宋体" w:hAnsi="宋体"/>
                <w:sz w:val="18"/>
                <w:szCs w:val="18"/>
              </w:rPr>
            </w:pPr>
            <w:r>
              <w:rPr>
                <w:rFonts w:hint="eastAsia" w:ascii="宋体" w:hAnsi="宋体"/>
                <w:sz w:val="18"/>
                <w:szCs w:val="18"/>
              </w:rPr>
              <w:t>a≥100mm</w:t>
            </w:r>
          </w:p>
          <w:p>
            <w:pPr>
              <w:spacing w:line="240" w:lineRule="auto"/>
              <w:rPr>
                <w:rFonts w:ascii="宋体" w:hAnsi="宋体"/>
                <w:sz w:val="18"/>
                <w:szCs w:val="18"/>
              </w:rPr>
            </w:pPr>
            <w:r>
              <w:rPr>
                <w:rFonts w:hint="eastAsia" w:ascii="宋体" w:hAnsi="宋体"/>
                <w:sz w:val="18"/>
                <w:szCs w:val="18"/>
              </w:rPr>
              <w:t>l≥200mm</w:t>
            </w:r>
          </w:p>
        </w:tc>
        <w:tc>
          <w:tcPr>
            <w:tcW w:w="3402" w:type="dxa"/>
            <w:vAlign w:val="center"/>
          </w:tcPr>
          <w:p>
            <w:pPr>
              <w:spacing w:line="240" w:lineRule="auto"/>
              <w:jc w:val="center"/>
              <w:rPr>
                <w:rFonts w:ascii="宋体" w:hAnsi="宋体"/>
                <w:sz w:val="18"/>
                <w:szCs w:val="18"/>
              </w:rPr>
            </w:pPr>
            <w:r>
              <w:rPr>
                <w:rFonts w:ascii="宋体" w:hAnsi="宋体"/>
                <w:sz w:val="18"/>
                <w:szCs w:val="18"/>
              </w:rPr>
              <w:object>
                <v:shape id="_x0000_i1074" o:spt="75" type="#_x0000_t75" style="height:66.75pt;width:133.5pt;" o:ole="t" filled="f" o:preferrelative="t" stroked="f" coordsize="21600,21600">
                  <v:path/>
                  <v:fill on="f" focussize="0,0"/>
                  <v:stroke on="f" joinstyle="miter"/>
                  <v:imagedata r:id="rId123" cropleft="45194f" croptop="15595f" cropright="3814f" cropbottom="39054f" o:title=""/>
                  <o:lock v:ext="edit" aspectratio="t"/>
                  <w10:wrap type="none"/>
                  <w10:anchorlock/>
                </v:shape>
                <o:OLEObject Type="Embed" ProgID="AutoCAD.Drawing.15" ShapeID="_x0000_i1074" DrawAspect="Content" ObjectID="_1468075774" r:id="rId122">
                  <o:LockedField>false</o:LockedField>
                </o:OLEObject>
              </w:object>
            </w:r>
          </w:p>
        </w:tc>
        <w:tc>
          <w:tcPr>
            <w:tcW w:w="1531" w:type="dxa"/>
            <w:vAlign w:val="center"/>
          </w:tcPr>
          <w:p>
            <w:pPr>
              <w:spacing w:line="240" w:lineRule="auto"/>
              <w:jc w:val="center"/>
              <w:rPr>
                <w:rFonts w:ascii="宋体" w:hAnsi="宋体"/>
                <w:sz w:val="18"/>
                <w:szCs w:val="18"/>
              </w:rPr>
            </w:pPr>
            <w:r>
              <w:rPr>
                <w:rFonts w:hint="eastAsia" w:ascii="宋体" w:hAnsi="宋体"/>
                <w:sz w:val="18"/>
                <w:szCs w:val="18"/>
              </w:rPr>
              <w:t>钢卷尺检查</w:t>
            </w:r>
          </w:p>
        </w:tc>
      </w:tr>
    </w:tbl>
    <w:p>
      <w:pPr>
        <w:pStyle w:val="79"/>
        <w:ind w:firstLine="420"/>
      </w:pPr>
    </w:p>
    <w:bookmarkEnd w:id="120"/>
    <w:p>
      <w:pPr>
        <w:pStyle w:val="79"/>
        <w:ind w:firstLine="0" w:firstLineChars="0"/>
        <w:jc w:val="center"/>
      </w:pPr>
      <w:bookmarkStart w:id="123" w:name="BookMark8"/>
      <w:r>
        <w:drawing>
          <wp:inline distT="0" distB="0" distL="0" distR="0">
            <wp:extent cx="1485900" cy="317500"/>
            <wp:effectExtent l="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4">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123"/>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仿宋"/>
    <w:panose1 w:val="00000000000000000000"/>
    <w:charset w:val="86"/>
    <w:family w:val="auto"/>
    <w:pitch w:val="default"/>
    <w:sig w:usb0="00000000" w:usb1="00000000" w:usb2="00000016" w:usb3="00000000" w:csb0="0004000F" w:csb1="00000000"/>
  </w:font>
  <w:font w:name="等线 Light">
    <w:altName w:val="仿宋"/>
    <w:panose1 w:val="00000000000000000000"/>
    <w:charset w:val="86"/>
    <w:family w:val="auto"/>
    <w:pitch w:val="default"/>
    <w:sig w:usb0="00000000" w:usb1="00000000" w:usb2="00000016" w:usb3="00000000" w:csb0="0004000F" w:csb1="00000000"/>
  </w:font>
  <w:font w:name="MingLiU">
    <w:altName w:val="方正书宋_GBK"/>
    <w:panose1 w:val="02020509000000000000"/>
    <w:charset w:val="88"/>
    <w:family w:val="moder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0" w:usb3="00000000" w:csb0="0000019F" w:csb1="00000000"/>
  </w:font>
  <w:font w:name="微软雅黑">
    <w:altName w:val="黑体"/>
    <w:panose1 w:val="020B0503020204020204"/>
    <w:charset w:val="86"/>
    <w:family w:val="swiss"/>
    <w:pitch w:val="default"/>
    <w:sig w:usb0="00000000" w:usb1="00000000" w:usb2="00000016" w:usb3="00000000" w:csb0="0004001F" w:csb1="00000000"/>
  </w:font>
  <w:font w:name="Cambria Math">
    <w:altName w:val="DejaVu Math TeX Gyre"/>
    <w:panose1 w:val="02040503050406030204"/>
    <w:charset w:val="00"/>
    <w:family w:val="roman"/>
    <w:pitch w:val="default"/>
    <w:sig w:usb0="00000000" w:usb1="00000000" w:usb2="00000000" w:usb3="00000000" w:csb0="0000019F" w:csb1="00000000"/>
  </w:font>
  <w:font w:name="CWIBKC+SimSun-Identity-H">
    <w:altName w:val="Noto Serif CJK JP"/>
    <w:panose1 w:val="00000000000000000000"/>
    <w:charset w:val="00"/>
    <w:family w:val="auto"/>
    <w:pitch w:val="default"/>
    <w:sig w:usb0="00000000" w:usb1="00000000" w:usb2="00000000" w:usb3="00000000" w:csb0="00040001" w:csb1="00000000"/>
  </w:font>
  <w:font w:name="QEPDFQ+SimSun-Identity-H">
    <w:altName w:val="Noto Serif CJK JP"/>
    <w:panose1 w:val="00000000000000000000"/>
    <w:charset w:val="00"/>
    <w:family w:val="auto"/>
    <w:pitch w:val="default"/>
    <w:sig w:usb0="00000000" w:usb1="00000000" w:usb2="00000000" w:usb3="00000000" w:csb0="00040001" w:csb1="00000000"/>
  </w:font>
  <w:font w:name="PMHLHH+SimSun-Identity-H">
    <w:altName w:val="Noto Serif CJK JP"/>
    <w:panose1 w:val="00000000000000000000"/>
    <w:charset w:val="00"/>
    <w:family w:val="auto"/>
    <w:pitch w:val="default"/>
    <w:sig w:usb0="00000000" w:usb1="00000000" w:usb2="00000000" w:usb3="00000000" w:csb0="00040001" w:csb1="00000000"/>
  </w:font>
  <w:font w:name="FPVBSG+SimSun-Identity-H">
    <w:altName w:val="Noto Serif CJK JP"/>
    <w:panose1 w:val="00000000000000000000"/>
    <w:charset w:val="00"/>
    <w:family w:val="auto"/>
    <w:pitch w:val="default"/>
    <w:sig w:usb0="00000000" w:usb1="00000000" w:usb2="00000000" w:usb3="00000000" w:csb0="00040001" w:csb1="00000000"/>
  </w:font>
  <w:font w:name="TNFRJM+SimSun-Identity-H">
    <w:altName w:val="Noto Serif CJK JP"/>
    <w:panose1 w:val="00000000000000000000"/>
    <w:charset w:val="00"/>
    <w:family w:val="auto"/>
    <w:pitch w:val="default"/>
    <w:sig w:usb0="00000000" w:usb1="00000000" w:usb2="00000000" w:usb3="00000000" w:csb0="00040001" w:csb1="00000000"/>
  </w:font>
  <w:font w:name="HTFHQB+SymbolMT-Identity-H">
    <w:altName w:val="Noto Serif CJK JP"/>
    <w:panose1 w:val="00000000000000000000"/>
    <w:charset w:val="00"/>
    <w:family w:val="auto"/>
    <w:pitch w:val="default"/>
    <w:sig w:usb0="00000000" w:usb1="00000000" w:usb2="00000000"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5"/>
    </w:pPr>
    <w:r>
      <w:fldChar w:fldCharType="begin"/>
    </w:r>
    <w:r>
      <w:instrText xml:space="preserve">PAGE   \* MERGEFORMAT</w:instrText>
    </w:r>
    <w:r>
      <w:fldChar w:fldCharType="separate"/>
    </w:r>
    <w:r>
      <w:rPr>
        <w:lang w:val="zh-CN"/>
      </w:rPr>
      <w:t>III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4"/>
    </w:pPr>
    <w:r>
      <w:fldChar w:fldCharType="begin"/>
    </w:r>
    <w:r>
      <w:instrText xml:space="preserve"> STYLEREF  标准文件_文件编号  \* MERGEFORMAT </w:instrText>
    </w:r>
    <w:r>
      <w:fldChar w:fldCharType="separate"/>
    </w:r>
    <w:r>
      <w:t>DB42/TXXXX—2022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rPr>
        <w:lang w:val="fr-FR"/>
      </w:rPr>
    </w:pPr>
    <w:r>
      <w:fldChar w:fldCharType="begin"/>
    </w:r>
    <w:r>
      <w:instrText xml:space="preserve"> STYLEREF  标准文件_文件编号  \* MERGEFORMAT </w:instrText>
    </w:r>
    <w:r>
      <w:fldChar w:fldCharType="separate"/>
    </w:r>
    <w:r>
      <w:t>DB42/TXXXX—2022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8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82"/>
      <w:suff w:val="nothing"/>
      <w:lvlText w:val="%1%2.%3　"/>
      <w:lvlJc w:val="left"/>
      <w:pPr>
        <w:ind w:left="0" w:firstLine="0"/>
      </w:pPr>
    </w:lvl>
    <w:lvl w:ilvl="3" w:tentative="0">
      <w:start w:val="1"/>
      <w:numFmt w:val="decimal"/>
      <w:pStyle w:val="141"/>
      <w:suff w:val="nothing"/>
      <w:lvlText w:val="%1%2.%3.%4　"/>
      <w:lvlJc w:val="left"/>
      <w:pPr>
        <w:ind w:left="0" w:firstLine="0"/>
      </w:pPr>
    </w:lvl>
    <w:lvl w:ilvl="4" w:tentative="0">
      <w:start w:val="1"/>
      <w:numFmt w:val="decimal"/>
      <w:pStyle w:val="176"/>
      <w:suff w:val="nothing"/>
      <w:lvlText w:val="%1%2.%3.%4.%5　"/>
      <w:lvlJc w:val="left"/>
      <w:pPr>
        <w:ind w:left="0" w:firstLine="0"/>
      </w:pPr>
    </w:lvl>
    <w:lvl w:ilvl="5" w:tentative="0">
      <w:start w:val="1"/>
      <w:numFmt w:val="decimal"/>
      <w:pStyle w:val="178"/>
      <w:suff w:val="nothing"/>
      <w:lvlText w:val="%1%2.%3.%4.%5.%6　"/>
      <w:lvlJc w:val="left"/>
      <w:pPr>
        <w:ind w:left="0" w:firstLine="0"/>
      </w:pPr>
    </w:lvl>
    <w:lvl w:ilvl="6" w:tentative="0">
      <w:start w:val="1"/>
      <w:numFmt w:val="decimal"/>
      <w:pStyle w:val="18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20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112"/>
      <w:lvlText w:val="%1"/>
      <w:lvlJc w:val="left"/>
      <w:pPr>
        <w:ind w:left="425" w:hanging="425"/>
      </w:pPr>
      <w:rPr>
        <w:rFonts w:hint="eastAsia"/>
      </w:rPr>
    </w:lvl>
    <w:lvl w:ilvl="1" w:tentative="0">
      <w:start w:val="1"/>
      <w:numFmt w:val="decimal"/>
      <w:pStyle w:val="223"/>
      <w:suff w:val="nothing"/>
      <w:lvlText w:val="%10.%2 "/>
      <w:lvlJc w:val="left"/>
      <w:pPr>
        <w:ind w:left="0" w:firstLine="0"/>
      </w:pPr>
      <w:rPr>
        <w:rFonts w:hint="eastAsia" w:ascii="黑体" w:eastAsia="黑体" w:hAnsiTheme="minorHAnsi"/>
        <w:b w:val="0"/>
        <w:i w:val="0"/>
        <w:sz w:val="21"/>
      </w:rPr>
    </w:lvl>
    <w:lvl w:ilvl="2" w:tentative="0">
      <w:start w:val="1"/>
      <w:numFmt w:val="decimal"/>
      <w:pStyle w:val="224"/>
      <w:suff w:val="nothing"/>
      <w:lvlText w:val="%10.%2.%3 "/>
      <w:lvlJc w:val="left"/>
      <w:pPr>
        <w:ind w:left="0" w:firstLine="0"/>
      </w:pPr>
      <w:rPr>
        <w:rFonts w:hint="eastAsia" w:ascii="黑体" w:eastAsia="黑体" w:hAnsiTheme="minorHAnsi"/>
        <w:b w:val="0"/>
        <w:i w:val="0"/>
        <w:sz w:val="21"/>
      </w:rPr>
    </w:lvl>
    <w:lvl w:ilvl="3" w:tentative="0">
      <w:start w:val="1"/>
      <w:numFmt w:val="decimal"/>
      <w:pStyle w:val="225"/>
      <w:suff w:val="nothing"/>
      <w:lvlText w:val="%10.%2.%3.%4 "/>
      <w:lvlJc w:val="left"/>
      <w:pPr>
        <w:ind w:left="0" w:firstLine="0"/>
      </w:pPr>
      <w:rPr>
        <w:rFonts w:hint="eastAsia" w:ascii="黑体" w:eastAsia="黑体" w:hAnsiTheme="minorHAnsi"/>
        <w:b w:val="0"/>
        <w:i w:val="0"/>
        <w:sz w:val="21"/>
      </w:rPr>
    </w:lvl>
    <w:lvl w:ilvl="4" w:tentative="0">
      <w:start w:val="1"/>
      <w:numFmt w:val="decimal"/>
      <w:pStyle w:val="226"/>
      <w:suff w:val="nothing"/>
      <w:lvlText w:val="%10.%2.%3.%4.%5 "/>
      <w:lvlJc w:val="left"/>
      <w:pPr>
        <w:ind w:left="0" w:firstLine="0"/>
      </w:pPr>
      <w:rPr>
        <w:rFonts w:hint="eastAsia" w:ascii="黑体" w:eastAsia="黑体" w:hAnsiTheme="minorHAnsi"/>
        <w:b w:val="0"/>
        <w:i w:val="0"/>
        <w:sz w:val="21"/>
      </w:rPr>
    </w:lvl>
    <w:lvl w:ilvl="5" w:tentative="0">
      <w:start w:val="1"/>
      <w:numFmt w:val="decimal"/>
      <w:pStyle w:val="22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204"/>
      <w:suff w:val="nothing"/>
      <w:lvlText w:val="%1示例："/>
      <w:lvlJc w:val="left"/>
      <w:pPr>
        <w:ind w:left="0" w:firstLine="363"/>
      </w:pPr>
      <w:rPr>
        <w:rFonts w:hint="eastAsia" w:ascii="黑体" w:eastAsia="黑体"/>
        <w:b w:val="0"/>
        <w:i w:val="0"/>
        <w:sz w:val="18"/>
      </w:rPr>
    </w:lvl>
    <w:lvl w:ilvl="1" w:tentative="0">
      <w:start w:val="1"/>
      <w:numFmt w:val="lowerLetter"/>
      <w:pStyle w:val="340"/>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90"/>
      <w:lvlText w:val="[%1]"/>
      <w:lvlJc w:val="left"/>
      <w:pPr>
        <w:ind w:left="823" w:hanging="420"/>
      </w:pPr>
    </w:lvl>
    <w:lvl w:ilvl="1" w:tentative="0">
      <w:start w:val="1"/>
      <w:numFmt w:val="lowerLetter"/>
      <w:pStyle w:val="286"/>
      <w:lvlText w:val="%2)"/>
      <w:lvlJc w:val="left"/>
      <w:pPr>
        <w:tabs>
          <w:tab w:val="left" w:pos="840"/>
        </w:tabs>
        <w:ind w:left="840" w:hanging="420"/>
      </w:pPr>
    </w:lvl>
    <w:lvl w:ilvl="2" w:tentative="0">
      <w:start w:val="1"/>
      <w:numFmt w:val="lowerRoman"/>
      <w:pStyle w:val="305"/>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9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3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108"/>
      <w:suff w:val="nothing"/>
      <w:lvlText w:val="附 录(Annex) %1"/>
      <w:lvlJc w:val="left"/>
      <w:pPr>
        <w:ind w:left="0" w:firstLine="0"/>
      </w:pPr>
    </w:lvl>
    <w:lvl w:ilvl="1" w:tentative="0">
      <w:start w:val="1"/>
      <w:numFmt w:val="decimal"/>
      <w:pStyle w:val="339"/>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115"/>
      <w:suff w:val="nothing"/>
      <w:lvlText w:val="——"/>
      <w:lvlJc w:val="left"/>
      <w:pPr>
        <w:ind w:left="794" w:hanging="397"/>
      </w:pPr>
    </w:lvl>
    <w:lvl w:ilvl="1" w:tentative="0">
      <w:start w:val="1"/>
      <w:numFmt w:val="decimal"/>
      <w:pStyle w:val="285"/>
      <w:suff w:val="nothing"/>
      <w:lvlText w:val="%1.%2　"/>
      <w:lvlJc w:val="left"/>
      <w:pPr>
        <w:ind w:left="397" w:firstLine="0"/>
      </w:pPr>
    </w:lvl>
    <w:lvl w:ilvl="2" w:tentative="0">
      <w:start w:val="1"/>
      <w:numFmt w:val="decimal"/>
      <w:pStyle w:val="324"/>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993"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255"/>
      <w:suff w:val="nothing"/>
      <w:lvlText w:val="%1.%2.%3　"/>
      <w:lvlJc w:val="left"/>
      <w:pPr>
        <w:ind w:left="284"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C5917C3"/>
    <w:multiLevelType w:val="multilevel"/>
    <w:tmpl w:val="2C5917C3"/>
    <w:lvl w:ilvl="0" w:tentative="0">
      <w:start w:val="1"/>
      <w:numFmt w:val="none"/>
      <w:pStyle w:val="15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210"/>
      <w:lvlText w:val=""/>
      <w:lvlJc w:val="left"/>
      <w:pPr>
        <w:ind w:left="851" w:hanging="431"/>
      </w:pPr>
      <w:rPr>
        <w:rFonts w:hint="default" w:ascii="Symbol" w:hAnsi="Symbol"/>
        <w:sz w:val="21"/>
      </w:rPr>
    </w:lvl>
    <w:lvl w:ilvl="2" w:tentative="0">
      <w:start w:val="1"/>
      <w:numFmt w:val="bullet"/>
      <w:pStyle w:val="19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2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97"/>
      <w:lvlText w:val="%1)"/>
      <w:lvlJc w:val="left"/>
      <w:pPr>
        <w:tabs>
          <w:tab w:val="left" w:pos="851"/>
        </w:tabs>
        <w:ind w:left="851" w:hanging="426"/>
      </w:pPr>
      <w:rPr>
        <w:rFonts w:hint="eastAsia" w:ascii="宋体" w:hAnsi="Times New Roman" w:eastAsia="宋体"/>
        <w:sz w:val="21"/>
      </w:rPr>
    </w:lvl>
    <w:lvl w:ilvl="1" w:tentative="0">
      <w:start w:val="1"/>
      <w:numFmt w:val="decimal"/>
      <w:pStyle w:val="132"/>
      <w:lvlText w:val="%2)"/>
      <w:lvlJc w:val="left"/>
      <w:pPr>
        <w:tabs>
          <w:tab w:val="left" w:pos="1276"/>
        </w:tabs>
        <w:ind w:left="1276" w:hanging="425"/>
      </w:pPr>
      <w:rPr>
        <w:rFonts w:hint="eastAsia" w:ascii="宋体" w:hAnsi="Times New Roman" w:eastAsia="宋体"/>
        <w:sz w:val="21"/>
      </w:rPr>
    </w:lvl>
    <w:lvl w:ilvl="2" w:tentative="0">
      <w:start w:val="1"/>
      <w:numFmt w:val="decimal"/>
      <w:pStyle w:val="14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21"/>
      <w:lvlText w:val="%1"/>
      <w:lvlJc w:val="left"/>
      <w:pPr>
        <w:ind w:left="420" w:hanging="420"/>
      </w:pPr>
      <w:rPr>
        <w:rFonts w:hint="eastAsia"/>
      </w:rPr>
    </w:lvl>
    <w:lvl w:ilvl="1" w:tentative="0">
      <w:start w:val="1"/>
      <w:numFmt w:val="decimal"/>
      <w:pStyle w:val="10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20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3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11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37"/>
      <w:suff w:val="nothing"/>
      <w:lvlText w:val="图%1　"/>
      <w:lvlJc w:val="left"/>
      <w:pPr>
        <w:ind w:left="5528"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22"/>
      <w:suff w:val="space"/>
      <w:lvlText w:val="%1"/>
      <w:lvlJc w:val="left"/>
      <w:pPr>
        <w:ind w:left="425" w:hanging="425"/>
      </w:pPr>
      <w:rPr>
        <w:rFonts w:hint="eastAsia"/>
      </w:rPr>
    </w:lvl>
    <w:lvl w:ilvl="1" w:tentative="0">
      <w:start w:val="1"/>
      <w:numFmt w:val="decimal"/>
      <w:pStyle w:val="10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3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2">
    <w:nsid w:val="644622F9"/>
    <w:multiLevelType w:val="multilevel"/>
    <w:tmpl w:val="644622F9"/>
    <w:lvl w:ilvl="0" w:tentative="0">
      <w:start w:val="1"/>
      <w:numFmt w:val="upperRoman"/>
      <w:pStyle w:val="19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3">
    <w:nsid w:val="646260FA"/>
    <w:multiLevelType w:val="multilevel"/>
    <w:tmpl w:val="646260FA"/>
    <w:lvl w:ilvl="0" w:tentative="0">
      <w:start w:val="1"/>
      <w:numFmt w:val="decimal"/>
      <w:pStyle w:val="135"/>
      <w:suff w:val="nothing"/>
      <w:lvlText w:val="表%1　"/>
      <w:lvlJc w:val="left"/>
      <w:pPr>
        <w:ind w:left="0" w:firstLine="0"/>
      </w:pPr>
      <w:rPr>
        <w:rFonts w:ascii="黑体" w:hAnsi="黑体" w:eastAsia="黑体"/>
        <w:lang w:val="en-US"/>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4">
    <w:nsid w:val="654A26C9"/>
    <w:multiLevelType w:val="multilevel"/>
    <w:tmpl w:val="654A26C9"/>
    <w:lvl w:ilvl="0" w:tentative="0">
      <w:start w:val="1"/>
      <w:numFmt w:val="none"/>
      <w:pStyle w:val="21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5">
    <w:nsid w:val="657D3FBC"/>
    <w:multiLevelType w:val="multilevel"/>
    <w:tmpl w:val="657D3FBC"/>
    <w:lvl w:ilvl="0" w:tentative="0">
      <w:start w:val="1"/>
      <w:numFmt w:val="upperLetter"/>
      <w:pStyle w:val="99"/>
      <w:suff w:val="nothing"/>
      <w:lvlText w:val="附录%1"/>
      <w:lvlJc w:val="left"/>
      <w:pPr>
        <w:ind w:left="0" w:firstLine="0"/>
      </w:pPr>
      <w:rPr>
        <w:rFonts w:hint="eastAsia"/>
        <w:spacing w:val="100"/>
      </w:rPr>
    </w:lvl>
    <w:lvl w:ilvl="1" w:tentative="0">
      <w:start w:val="1"/>
      <w:numFmt w:val="decimal"/>
      <w:pStyle w:val="101"/>
      <w:suff w:val="nothing"/>
      <w:lvlText w:val="%1.%2　"/>
      <w:lvlJc w:val="left"/>
      <w:pPr>
        <w:ind w:left="142" w:firstLine="0"/>
      </w:pPr>
      <w:rPr>
        <w:rFonts w:hint="eastAsia" w:ascii="黑体" w:eastAsia="黑体"/>
        <w:b w:val="0"/>
        <w:i w:val="0"/>
        <w:sz w:val="21"/>
      </w:rPr>
    </w:lvl>
    <w:lvl w:ilvl="2" w:tentative="0">
      <w:start w:val="1"/>
      <w:numFmt w:val="decimal"/>
      <w:pStyle w:val="102"/>
      <w:suff w:val="nothing"/>
      <w:lvlText w:val="%1.%2.%3　"/>
      <w:lvlJc w:val="left"/>
      <w:pPr>
        <w:ind w:left="0" w:firstLine="0"/>
      </w:pPr>
      <w:rPr>
        <w:rFonts w:hint="eastAsia" w:ascii="黑体" w:eastAsia="黑体"/>
        <w:b w:val="0"/>
        <w:i w:val="0"/>
        <w:sz w:val="21"/>
      </w:rPr>
    </w:lvl>
    <w:lvl w:ilvl="3" w:tentative="0">
      <w:start w:val="1"/>
      <w:numFmt w:val="decimal"/>
      <w:pStyle w:val="104"/>
      <w:suff w:val="nothing"/>
      <w:lvlText w:val="%1.%2.%3.%4　"/>
      <w:lvlJc w:val="left"/>
      <w:pPr>
        <w:ind w:left="0" w:firstLine="0"/>
      </w:pPr>
      <w:rPr>
        <w:rFonts w:hint="eastAsia" w:ascii="黑体" w:eastAsia="黑体"/>
        <w:b w:val="0"/>
        <w:i w:val="0"/>
        <w:sz w:val="21"/>
      </w:rPr>
    </w:lvl>
    <w:lvl w:ilvl="4" w:tentative="0">
      <w:start w:val="1"/>
      <w:numFmt w:val="decimal"/>
      <w:pStyle w:val="105"/>
      <w:suff w:val="nothing"/>
      <w:lvlText w:val="%1.%2.%3.%4.%5　"/>
      <w:lvlJc w:val="left"/>
      <w:pPr>
        <w:ind w:left="0" w:firstLine="0"/>
      </w:pPr>
      <w:rPr>
        <w:rFonts w:hint="eastAsia" w:ascii="黑体" w:eastAsia="黑体"/>
        <w:b w:val="0"/>
        <w:i w:val="0"/>
        <w:sz w:val="21"/>
      </w:rPr>
    </w:lvl>
    <w:lvl w:ilvl="5" w:tentative="0">
      <w:start w:val="1"/>
      <w:numFmt w:val="decimal"/>
      <w:pStyle w:val="10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69506ABF"/>
    <w:multiLevelType w:val="multilevel"/>
    <w:tmpl w:val="69506ABF"/>
    <w:lvl w:ilvl="0" w:tentative="0">
      <w:start w:val="1"/>
      <w:numFmt w:val="bullet"/>
      <w:pStyle w:val="211"/>
      <w:lvlText w:val=""/>
      <w:lvlJc w:val="left"/>
      <w:pPr>
        <w:ind w:left="851" w:firstLine="0"/>
      </w:pPr>
      <w:rPr>
        <w:rFonts w:hint="default" w:ascii="Wingdings" w:hAnsi="Wingdings"/>
        <w:color w:val="auto"/>
      </w:rPr>
    </w:lvl>
    <w:lvl w:ilvl="1" w:tentative="0">
      <w:start w:val="1"/>
      <w:numFmt w:val="lowerLetter"/>
      <w:pStyle w:val="296"/>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7">
    <w:nsid w:val="6CA41985"/>
    <w:multiLevelType w:val="multilevel"/>
    <w:tmpl w:val="6CA41985"/>
    <w:lvl w:ilvl="0" w:tentative="0">
      <w:start w:val="1"/>
      <w:numFmt w:val="decimal"/>
      <w:pStyle w:val="12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CE42AC1"/>
    <w:multiLevelType w:val="multilevel"/>
    <w:tmpl w:val="6CE42AC1"/>
    <w:lvl w:ilvl="0" w:tentative="0">
      <w:start w:val="1"/>
      <w:numFmt w:val="lowerLetter"/>
      <w:pStyle w:val="19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6CEA2025"/>
    <w:multiLevelType w:val="multilevel"/>
    <w:tmpl w:val="6CEA2025"/>
    <w:lvl w:ilvl="0" w:tentative="0">
      <w:start w:val="1"/>
      <w:numFmt w:val="none"/>
      <w:pStyle w:val="175"/>
      <w:suff w:val="nothing"/>
      <w:lvlText w:val="%1"/>
      <w:lvlJc w:val="left"/>
      <w:pPr>
        <w:ind w:left="0" w:firstLine="0"/>
      </w:pPr>
      <w:rPr>
        <w:rFonts w:hint="eastAsia"/>
      </w:rPr>
    </w:lvl>
    <w:lvl w:ilvl="1" w:tentative="0">
      <w:start w:val="1"/>
      <w:numFmt w:val="decimal"/>
      <w:pStyle w:val="127"/>
      <w:suff w:val="nothing"/>
      <w:lvlText w:val="%1%2　"/>
      <w:lvlJc w:val="left"/>
      <w:pPr>
        <w:ind w:left="0" w:firstLine="0"/>
      </w:pPr>
      <w:rPr>
        <w:rFonts w:hint="eastAsia" w:ascii="黑体" w:eastAsia="黑体"/>
        <w:b w:val="0"/>
        <w:i w:val="0"/>
        <w:sz w:val="21"/>
      </w:rPr>
    </w:lvl>
    <w:lvl w:ilvl="2" w:tentative="0">
      <w:start w:val="1"/>
      <w:numFmt w:val="decimal"/>
      <w:pStyle w:val="12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88"/>
      <w:suff w:val="nothing"/>
      <w:lvlText w:val="%1%2.%3.%4　"/>
      <w:lvlJc w:val="left"/>
      <w:pPr>
        <w:ind w:left="2552" w:firstLine="0"/>
      </w:pPr>
      <w:rPr>
        <w:rFonts w:hint="eastAsia" w:ascii="黑体" w:eastAsia="黑体"/>
        <w:b w:val="0"/>
        <w:i w:val="0"/>
        <w:strike w:val="0"/>
        <w:sz w:val="21"/>
      </w:rPr>
    </w:lvl>
    <w:lvl w:ilvl="4" w:tentative="0">
      <w:start w:val="1"/>
      <w:numFmt w:val="decimal"/>
      <w:pStyle w:val="117"/>
      <w:suff w:val="nothing"/>
      <w:lvlText w:val="%1%2.%3.%4.%5　"/>
      <w:lvlJc w:val="left"/>
      <w:pPr>
        <w:ind w:left="0" w:firstLine="0"/>
      </w:pPr>
      <w:rPr>
        <w:rFonts w:hint="eastAsia" w:ascii="黑体" w:eastAsia="黑体"/>
        <w:b w:val="0"/>
        <w:i w:val="0"/>
        <w:sz w:val="21"/>
      </w:rPr>
    </w:lvl>
    <w:lvl w:ilvl="5" w:tentative="0">
      <w:start w:val="1"/>
      <w:numFmt w:val="decimal"/>
      <w:pStyle w:val="121"/>
      <w:suff w:val="nothing"/>
      <w:lvlText w:val="%1%2.%3.%4.%5.%6　"/>
      <w:lvlJc w:val="left"/>
      <w:pPr>
        <w:ind w:left="0" w:firstLine="0"/>
      </w:pPr>
      <w:rPr>
        <w:rFonts w:hint="eastAsia" w:ascii="黑体" w:eastAsia="黑体"/>
        <w:b w:val="0"/>
        <w:i w:val="0"/>
        <w:sz w:val="21"/>
      </w:rPr>
    </w:lvl>
    <w:lvl w:ilvl="6" w:tentative="0">
      <w:start w:val="1"/>
      <w:numFmt w:val="decimal"/>
      <w:pStyle w:val="12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0">
    <w:nsid w:val="6DBF04F4"/>
    <w:multiLevelType w:val="multilevel"/>
    <w:tmpl w:val="6DBF04F4"/>
    <w:lvl w:ilvl="0" w:tentative="0">
      <w:start w:val="1"/>
      <w:numFmt w:val="none"/>
      <w:pStyle w:val="202"/>
      <w:lvlText w:val="%1注："/>
      <w:lvlJc w:val="left"/>
      <w:pPr>
        <w:ind w:left="737" w:hanging="374"/>
      </w:pPr>
      <w:rPr>
        <w:rFonts w:hint="eastAsia" w:ascii="黑体" w:eastAsia="黑体"/>
        <w:b w:val="0"/>
        <w:i w:val="0"/>
        <w:sz w:val="18"/>
        <w:lang w:val="en-US"/>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1">
    <w:nsid w:val="6DF35F19"/>
    <w:multiLevelType w:val="multilevel"/>
    <w:tmpl w:val="6DF35F19"/>
    <w:lvl w:ilvl="0" w:tentative="0">
      <w:start w:val="1"/>
      <w:numFmt w:val="decimal"/>
      <w:pStyle w:val="13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2">
    <w:nsid w:val="76933334"/>
    <w:multiLevelType w:val="multilevel"/>
    <w:tmpl w:val="76933334"/>
    <w:lvl w:ilvl="0" w:tentative="0">
      <w:start w:val="1"/>
      <w:numFmt w:val="none"/>
      <w:pStyle w:val="16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9"/>
  </w:num>
  <w:num w:numId="3">
    <w:abstractNumId w:val="5"/>
  </w:num>
  <w:num w:numId="4">
    <w:abstractNumId w:val="25"/>
  </w:num>
  <w:num w:numId="5">
    <w:abstractNumId w:val="19"/>
  </w:num>
  <w:num w:numId="6">
    <w:abstractNumId w:val="14"/>
  </w:num>
  <w:num w:numId="7">
    <w:abstractNumId w:val="8"/>
  </w:num>
  <w:num w:numId="8">
    <w:abstractNumId w:val="3"/>
  </w:num>
  <w:num w:numId="9">
    <w:abstractNumId w:val="9"/>
  </w:num>
  <w:num w:numId="10">
    <w:abstractNumId w:val="17"/>
  </w:num>
  <w:num w:numId="11">
    <w:abstractNumId w:val="27"/>
  </w:num>
  <w:num w:numId="12">
    <w:abstractNumId w:val="12"/>
  </w:num>
  <w:num w:numId="13">
    <w:abstractNumId w:val="13"/>
  </w:num>
  <w:num w:numId="14">
    <w:abstractNumId w:val="7"/>
  </w:num>
  <w:num w:numId="15">
    <w:abstractNumId w:val="20"/>
  </w:num>
  <w:num w:numId="16">
    <w:abstractNumId w:val="23"/>
  </w:num>
  <w:num w:numId="17">
    <w:abstractNumId w:val="18"/>
  </w:num>
  <w:num w:numId="18">
    <w:abstractNumId w:val="31"/>
  </w:num>
  <w:num w:numId="19">
    <w:abstractNumId w:val="16"/>
  </w:num>
  <w:num w:numId="20">
    <w:abstractNumId w:val="1"/>
  </w:num>
  <w:num w:numId="21">
    <w:abstractNumId w:val="11"/>
  </w:num>
  <w:num w:numId="22">
    <w:abstractNumId w:val="32"/>
  </w:num>
  <w:num w:numId="23">
    <w:abstractNumId w:val="22"/>
  </w:num>
  <w:num w:numId="24">
    <w:abstractNumId w:val="6"/>
  </w:num>
  <w:num w:numId="25">
    <w:abstractNumId w:val="28"/>
  </w:num>
  <w:num w:numId="26">
    <w:abstractNumId w:val="30"/>
  </w:num>
  <w:num w:numId="27">
    <w:abstractNumId w:val="2"/>
  </w:num>
  <w:num w:numId="28">
    <w:abstractNumId w:val="4"/>
  </w:num>
  <w:num w:numId="29">
    <w:abstractNumId w:val="15"/>
  </w:num>
  <w:num w:numId="30">
    <w:abstractNumId w:val="26"/>
  </w:num>
  <w:num w:numId="31">
    <w:abstractNumId w:val="24"/>
  </w:num>
  <w:num w:numId="32">
    <w:abstractNumId w:val="10"/>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attachedTemplate r:id="rId1"/>
  <w:documentProtection w:edit="forms" w:enforcement="1"/>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hY2U5MTlhMjMwOWRhMzc1ZDVlMjljYWYyMzNhOWMifQ=="/>
  </w:docVars>
  <w:rsids>
    <w:rsidRoot w:val="00FF0D1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2739C"/>
    <w:rsid w:val="000303C3"/>
    <w:rsid w:val="000331D3"/>
    <w:rsid w:val="000346A5"/>
    <w:rsid w:val="000359C3"/>
    <w:rsid w:val="00035A7D"/>
    <w:rsid w:val="000365ED"/>
    <w:rsid w:val="00036E00"/>
    <w:rsid w:val="0004249A"/>
    <w:rsid w:val="00043282"/>
    <w:rsid w:val="00044286"/>
    <w:rsid w:val="00047F28"/>
    <w:rsid w:val="000503AA"/>
    <w:rsid w:val="000506A1"/>
    <w:rsid w:val="000509F8"/>
    <w:rsid w:val="000515DD"/>
    <w:rsid w:val="0005265A"/>
    <w:rsid w:val="000539DD"/>
    <w:rsid w:val="00053BD3"/>
    <w:rsid w:val="000556ED"/>
    <w:rsid w:val="00055FE2"/>
    <w:rsid w:val="0005616F"/>
    <w:rsid w:val="00060C2E"/>
    <w:rsid w:val="00061033"/>
    <w:rsid w:val="000619E9"/>
    <w:rsid w:val="000622D4"/>
    <w:rsid w:val="00062BEC"/>
    <w:rsid w:val="0006357D"/>
    <w:rsid w:val="00067F1E"/>
    <w:rsid w:val="00071CC0"/>
    <w:rsid w:val="00073BB2"/>
    <w:rsid w:val="00073C8C"/>
    <w:rsid w:val="0007515A"/>
    <w:rsid w:val="000758F9"/>
    <w:rsid w:val="00077B64"/>
    <w:rsid w:val="00080A1C"/>
    <w:rsid w:val="00082317"/>
    <w:rsid w:val="00083D2C"/>
    <w:rsid w:val="00084393"/>
    <w:rsid w:val="0008538E"/>
    <w:rsid w:val="00085C22"/>
    <w:rsid w:val="00086AA1"/>
    <w:rsid w:val="00087A77"/>
    <w:rsid w:val="00090CA6"/>
    <w:rsid w:val="00092B8A"/>
    <w:rsid w:val="00092FB0"/>
    <w:rsid w:val="000934C5"/>
    <w:rsid w:val="00093D25"/>
    <w:rsid w:val="00093DAB"/>
    <w:rsid w:val="00094413"/>
    <w:rsid w:val="00094D73"/>
    <w:rsid w:val="00096D63"/>
    <w:rsid w:val="000A0B60"/>
    <w:rsid w:val="000A0EB8"/>
    <w:rsid w:val="000A19FC"/>
    <w:rsid w:val="000A296B"/>
    <w:rsid w:val="000A7311"/>
    <w:rsid w:val="000A7A87"/>
    <w:rsid w:val="000B060F"/>
    <w:rsid w:val="000B1592"/>
    <w:rsid w:val="000B16E2"/>
    <w:rsid w:val="000B1FF2"/>
    <w:rsid w:val="000B3CDA"/>
    <w:rsid w:val="000B6A0B"/>
    <w:rsid w:val="000C0F6C"/>
    <w:rsid w:val="000C11DB"/>
    <w:rsid w:val="000C1492"/>
    <w:rsid w:val="000C278A"/>
    <w:rsid w:val="000C2FBD"/>
    <w:rsid w:val="000C423B"/>
    <w:rsid w:val="000C4B41"/>
    <w:rsid w:val="000C57D6"/>
    <w:rsid w:val="000C6362"/>
    <w:rsid w:val="000C7666"/>
    <w:rsid w:val="000D0A9C"/>
    <w:rsid w:val="000D1795"/>
    <w:rsid w:val="000D329A"/>
    <w:rsid w:val="000D4B9C"/>
    <w:rsid w:val="000D4EB6"/>
    <w:rsid w:val="000D4F0F"/>
    <w:rsid w:val="000D753B"/>
    <w:rsid w:val="000E4C9E"/>
    <w:rsid w:val="000E6FD7"/>
    <w:rsid w:val="000E7DEB"/>
    <w:rsid w:val="000F06E1"/>
    <w:rsid w:val="000F0E3C"/>
    <w:rsid w:val="000F19D5"/>
    <w:rsid w:val="000F4AEA"/>
    <w:rsid w:val="000F633F"/>
    <w:rsid w:val="000F67E9"/>
    <w:rsid w:val="001004A5"/>
    <w:rsid w:val="00103991"/>
    <w:rsid w:val="00104926"/>
    <w:rsid w:val="00107647"/>
    <w:rsid w:val="00113B1E"/>
    <w:rsid w:val="0011711C"/>
    <w:rsid w:val="0012059C"/>
    <w:rsid w:val="00122329"/>
    <w:rsid w:val="001231C0"/>
    <w:rsid w:val="00124A92"/>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3F0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5D7F"/>
    <w:rsid w:val="00176DFD"/>
    <w:rsid w:val="001852C9"/>
    <w:rsid w:val="00190087"/>
    <w:rsid w:val="001913C4"/>
    <w:rsid w:val="0019348F"/>
    <w:rsid w:val="00193A07"/>
    <w:rsid w:val="00194C95"/>
    <w:rsid w:val="00195C34"/>
    <w:rsid w:val="00196EF5"/>
    <w:rsid w:val="00197067"/>
    <w:rsid w:val="001A1A53"/>
    <w:rsid w:val="001A234A"/>
    <w:rsid w:val="001A29F5"/>
    <w:rsid w:val="001A4ADA"/>
    <w:rsid w:val="001A4CF3"/>
    <w:rsid w:val="001B06E8"/>
    <w:rsid w:val="001B4FDE"/>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5F78"/>
    <w:rsid w:val="001E73AB"/>
    <w:rsid w:val="001F092D"/>
    <w:rsid w:val="001F143A"/>
    <w:rsid w:val="001F1605"/>
    <w:rsid w:val="001F2508"/>
    <w:rsid w:val="001F4816"/>
    <w:rsid w:val="001F4EE9"/>
    <w:rsid w:val="001F69B4"/>
    <w:rsid w:val="001F77C7"/>
    <w:rsid w:val="001F7FED"/>
    <w:rsid w:val="00200183"/>
    <w:rsid w:val="00200333"/>
    <w:rsid w:val="0020107D"/>
    <w:rsid w:val="00202AA4"/>
    <w:rsid w:val="002031F7"/>
    <w:rsid w:val="002040E6"/>
    <w:rsid w:val="0020527B"/>
    <w:rsid w:val="00205F2C"/>
    <w:rsid w:val="00206816"/>
    <w:rsid w:val="00207EA2"/>
    <w:rsid w:val="00210B15"/>
    <w:rsid w:val="002142EA"/>
    <w:rsid w:val="00216F0B"/>
    <w:rsid w:val="002204BB"/>
    <w:rsid w:val="00221707"/>
    <w:rsid w:val="00221B79"/>
    <w:rsid w:val="00221C6B"/>
    <w:rsid w:val="002253A1"/>
    <w:rsid w:val="00225CF8"/>
    <w:rsid w:val="0022794E"/>
    <w:rsid w:val="00227B33"/>
    <w:rsid w:val="00233D64"/>
    <w:rsid w:val="00234553"/>
    <w:rsid w:val="0023482A"/>
    <w:rsid w:val="002359CB"/>
    <w:rsid w:val="00243540"/>
    <w:rsid w:val="0024497B"/>
    <w:rsid w:val="0024515B"/>
    <w:rsid w:val="00246021"/>
    <w:rsid w:val="0024666E"/>
    <w:rsid w:val="00247F52"/>
    <w:rsid w:val="00250B25"/>
    <w:rsid w:val="00250BBE"/>
    <w:rsid w:val="00250BDD"/>
    <w:rsid w:val="002515C2"/>
    <w:rsid w:val="0025194F"/>
    <w:rsid w:val="0025405E"/>
    <w:rsid w:val="002608B9"/>
    <w:rsid w:val="0026148A"/>
    <w:rsid w:val="00262696"/>
    <w:rsid w:val="00263D25"/>
    <w:rsid w:val="002643C3"/>
    <w:rsid w:val="00264A0C"/>
    <w:rsid w:val="00266EEB"/>
    <w:rsid w:val="00267EF4"/>
    <w:rsid w:val="00270CB8"/>
    <w:rsid w:val="00272B08"/>
    <w:rsid w:val="00272FC1"/>
    <w:rsid w:val="00274EBF"/>
    <w:rsid w:val="002771AC"/>
    <w:rsid w:val="00281BB8"/>
    <w:rsid w:val="00281E9E"/>
    <w:rsid w:val="00282405"/>
    <w:rsid w:val="00282478"/>
    <w:rsid w:val="002834FD"/>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0AF"/>
    <w:rsid w:val="002B7332"/>
    <w:rsid w:val="002B7735"/>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7AB"/>
    <w:rsid w:val="00317988"/>
    <w:rsid w:val="003221B4"/>
    <w:rsid w:val="0032258D"/>
    <w:rsid w:val="00322E62"/>
    <w:rsid w:val="00324D13"/>
    <w:rsid w:val="00324D2A"/>
    <w:rsid w:val="00324EDD"/>
    <w:rsid w:val="00325E00"/>
    <w:rsid w:val="00327ED1"/>
    <w:rsid w:val="0033042F"/>
    <w:rsid w:val="003331E4"/>
    <w:rsid w:val="00334DE9"/>
    <w:rsid w:val="00336C64"/>
    <w:rsid w:val="00337162"/>
    <w:rsid w:val="0034194F"/>
    <w:rsid w:val="00344605"/>
    <w:rsid w:val="003474AA"/>
    <w:rsid w:val="00350D1D"/>
    <w:rsid w:val="00352C83"/>
    <w:rsid w:val="003544FD"/>
    <w:rsid w:val="003615D2"/>
    <w:rsid w:val="0036429C"/>
    <w:rsid w:val="00364A53"/>
    <w:rsid w:val="003654CB"/>
    <w:rsid w:val="00365AA9"/>
    <w:rsid w:val="00365F86"/>
    <w:rsid w:val="00365F87"/>
    <w:rsid w:val="00366E89"/>
    <w:rsid w:val="003705F4"/>
    <w:rsid w:val="00370D58"/>
    <w:rsid w:val="00371316"/>
    <w:rsid w:val="003723F0"/>
    <w:rsid w:val="00376162"/>
    <w:rsid w:val="00376713"/>
    <w:rsid w:val="00380375"/>
    <w:rsid w:val="00381815"/>
    <w:rsid w:val="003819AF"/>
    <w:rsid w:val="003820E9"/>
    <w:rsid w:val="00382DE7"/>
    <w:rsid w:val="00384FFC"/>
    <w:rsid w:val="003872FC"/>
    <w:rsid w:val="00387ADC"/>
    <w:rsid w:val="00390020"/>
    <w:rsid w:val="003903D6"/>
    <w:rsid w:val="003907B9"/>
    <w:rsid w:val="00390EE6"/>
    <w:rsid w:val="0039118F"/>
    <w:rsid w:val="00392609"/>
    <w:rsid w:val="00392AD7"/>
    <w:rsid w:val="003938D9"/>
    <w:rsid w:val="00394376"/>
    <w:rsid w:val="003943FF"/>
    <w:rsid w:val="00395700"/>
    <w:rsid w:val="00395ED7"/>
    <w:rsid w:val="003974EB"/>
    <w:rsid w:val="00397CC5"/>
    <w:rsid w:val="003A1582"/>
    <w:rsid w:val="003A4077"/>
    <w:rsid w:val="003A7F6C"/>
    <w:rsid w:val="003B09AD"/>
    <w:rsid w:val="003B1F18"/>
    <w:rsid w:val="003B3090"/>
    <w:rsid w:val="003B5BF0"/>
    <w:rsid w:val="003B60BF"/>
    <w:rsid w:val="003B6BE3"/>
    <w:rsid w:val="003C010C"/>
    <w:rsid w:val="003C0A6C"/>
    <w:rsid w:val="003C14F8"/>
    <w:rsid w:val="003C5A43"/>
    <w:rsid w:val="003C6CC8"/>
    <w:rsid w:val="003D0519"/>
    <w:rsid w:val="003D0FF6"/>
    <w:rsid w:val="003D1DC8"/>
    <w:rsid w:val="003D262C"/>
    <w:rsid w:val="003D6D61"/>
    <w:rsid w:val="003D79C6"/>
    <w:rsid w:val="003E091D"/>
    <w:rsid w:val="003E1C53"/>
    <w:rsid w:val="003E1E8E"/>
    <w:rsid w:val="003E2A69"/>
    <w:rsid w:val="003E2D49"/>
    <w:rsid w:val="003E2FD4"/>
    <w:rsid w:val="003E49F6"/>
    <w:rsid w:val="003E660F"/>
    <w:rsid w:val="003F0841"/>
    <w:rsid w:val="003F14A3"/>
    <w:rsid w:val="003F23D3"/>
    <w:rsid w:val="003F3F08"/>
    <w:rsid w:val="003F49F1"/>
    <w:rsid w:val="003F6272"/>
    <w:rsid w:val="003F6D83"/>
    <w:rsid w:val="00400E72"/>
    <w:rsid w:val="00401400"/>
    <w:rsid w:val="00404869"/>
    <w:rsid w:val="0040571B"/>
    <w:rsid w:val="00405884"/>
    <w:rsid w:val="00407D39"/>
    <w:rsid w:val="00411731"/>
    <w:rsid w:val="0041477A"/>
    <w:rsid w:val="004167A3"/>
    <w:rsid w:val="00417552"/>
    <w:rsid w:val="00420DDB"/>
    <w:rsid w:val="00427B3B"/>
    <w:rsid w:val="00432DAA"/>
    <w:rsid w:val="00434305"/>
    <w:rsid w:val="00434934"/>
    <w:rsid w:val="00435DF7"/>
    <w:rsid w:val="0044083F"/>
    <w:rsid w:val="00441AE7"/>
    <w:rsid w:val="00445574"/>
    <w:rsid w:val="004467FB"/>
    <w:rsid w:val="00452D6B"/>
    <w:rsid w:val="00453DA0"/>
    <w:rsid w:val="00453F6E"/>
    <w:rsid w:val="00454484"/>
    <w:rsid w:val="0045517B"/>
    <w:rsid w:val="004554D4"/>
    <w:rsid w:val="004607B7"/>
    <w:rsid w:val="00463B77"/>
    <w:rsid w:val="00463C7B"/>
    <w:rsid w:val="004644A6"/>
    <w:rsid w:val="004659BD"/>
    <w:rsid w:val="00466811"/>
    <w:rsid w:val="00470775"/>
    <w:rsid w:val="004729EE"/>
    <w:rsid w:val="004746B1"/>
    <w:rsid w:val="0047583F"/>
    <w:rsid w:val="00475DE8"/>
    <w:rsid w:val="00476CA0"/>
    <w:rsid w:val="00480D6D"/>
    <w:rsid w:val="00481C44"/>
    <w:rsid w:val="00484936"/>
    <w:rsid w:val="00485C89"/>
    <w:rsid w:val="00486BE3"/>
    <w:rsid w:val="004905E4"/>
    <w:rsid w:val="00490A89"/>
    <w:rsid w:val="00490AB4"/>
    <w:rsid w:val="00492A6E"/>
    <w:rsid w:val="00492F02"/>
    <w:rsid w:val="004939AE"/>
    <w:rsid w:val="00495FD9"/>
    <w:rsid w:val="004A12DF"/>
    <w:rsid w:val="004A17E6"/>
    <w:rsid w:val="004A1BA8"/>
    <w:rsid w:val="004A222D"/>
    <w:rsid w:val="004A4B57"/>
    <w:rsid w:val="004A63FA"/>
    <w:rsid w:val="004A74CB"/>
    <w:rsid w:val="004B0272"/>
    <w:rsid w:val="004B2701"/>
    <w:rsid w:val="004B2E1B"/>
    <w:rsid w:val="004B3AA8"/>
    <w:rsid w:val="004B3E93"/>
    <w:rsid w:val="004B4D80"/>
    <w:rsid w:val="004C1FBC"/>
    <w:rsid w:val="004C3F1D"/>
    <w:rsid w:val="004C458D"/>
    <w:rsid w:val="004C4AFC"/>
    <w:rsid w:val="004C5A27"/>
    <w:rsid w:val="004C7556"/>
    <w:rsid w:val="004C7E8B"/>
    <w:rsid w:val="004C7E9D"/>
    <w:rsid w:val="004C7F67"/>
    <w:rsid w:val="004D0485"/>
    <w:rsid w:val="004D076D"/>
    <w:rsid w:val="004D0EF1"/>
    <w:rsid w:val="004D2253"/>
    <w:rsid w:val="004D4406"/>
    <w:rsid w:val="004D7C42"/>
    <w:rsid w:val="004E0465"/>
    <w:rsid w:val="004E127B"/>
    <w:rsid w:val="004E1C0A"/>
    <w:rsid w:val="004E2B06"/>
    <w:rsid w:val="004E30C5"/>
    <w:rsid w:val="004E4AA5"/>
    <w:rsid w:val="004E4AEE"/>
    <w:rsid w:val="004E59E3"/>
    <w:rsid w:val="004E676C"/>
    <w:rsid w:val="004E67C0"/>
    <w:rsid w:val="004F391A"/>
    <w:rsid w:val="004F3CFB"/>
    <w:rsid w:val="004F4590"/>
    <w:rsid w:val="004F6456"/>
    <w:rsid w:val="004F696E"/>
    <w:rsid w:val="004F6C71"/>
    <w:rsid w:val="00501139"/>
    <w:rsid w:val="00502CFB"/>
    <w:rsid w:val="0050363E"/>
    <w:rsid w:val="005039BC"/>
    <w:rsid w:val="005043BB"/>
    <w:rsid w:val="00504A3D"/>
    <w:rsid w:val="00505767"/>
    <w:rsid w:val="005073F0"/>
    <w:rsid w:val="00510A7B"/>
    <w:rsid w:val="00512F6E"/>
    <w:rsid w:val="00513038"/>
    <w:rsid w:val="00514174"/>
    <w:rsid w:val="00514D4E"/>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36D91"/>
    <w:rsid w:val="005413E4"/>
    <w:rsid w:val="00541853"/>
    <w:rsid w:val="00543BDA"/>
    <w:rsid w:val="005441CC"/>
    <w:rsid w:val="005479DA"/>
    <w:rsid w:val="00547BCC"/>
    <w:rsid w:val="0055013B"/>
    <w:rsid w:val="00551F6F"/>
    <w:rsid w:val="00553AFF"/>
    <w:rsid w:val="005544FD"/>
    <w:rsid w:val="00555044"/>
    <w:rsid w:val="00561475"/>
    <w:rsid w:val="00562328"/>
    <w:rsid w:val="00562A78"/>
    <w:rsid w:val="0056487B"/>
    <w:rsid w:val="00564FB9"/>
    <w:rsid w:val="00573D9E"/>
    <w:rsid w:val="00575BA7"/>
    <w:rsid w:val="005801E3"/>
    <w:rsid w:val="00581802"/>
    <w:rsid w:val="005836A8"/>
    <w:rsid w:val="0058409C"/>
    <w:rsid w:val="00584262"/>
    <w:rsid w:val="00586630"/>
    <w:rsid w:val="0058670A"/>
    <w:rsid w:val="00587977"/>
    <w:rsid w:val="00587ADD"/>
    <w:rsid w:val="00591E27"/>
    <w:rsid w:val="00596160"/>
    <w:rsid w:val="005966E2"/>
    <w:rsid w:val="00597007"/>
    <w:rsid w:val="005A0966"/>
    <w:rsid w:val="005A11B7"/>
    <w:rsid w:val="005A260B"/>
    <w:rsid w:val="005A4A1B"/>
    <w:rsid w:val="005A7830"/>
    <w:rsid w:val="005A7FCE"/>
    <w:rsid w:val="005B0F3F"/>
    <w:rsid w:val="005B1BDC"/>
    <w:rsid w:val="005B23F9"/>
    <w:rsid w:val="005B4903"/>
    <w:rsid w:val="005B4ECB"/>
    <w:rsid w:val="005B51CE"/>
    <w:rsid w:val="005B5885"/>
    <w:rsid w:val="005B5CD7"/>
    <w:rsid w:val="005B6CF6"/>
    <w:rsid w:val="005B7422"/>
    <w:rsid w:val="005C29B8"/>
    <w:rsid w:val="005C5F21"/>
    <w:rsid w:val="005C7156"/>
    <w:rsid w:val="005C7DA9"/>
    <w:rsid w:val="005D0C75"/>
    <w:rsid w:val="005D1AD9"/>
    <w:rsid w:val="005D4171"/>
    <w:rsid w:val="005D55CA"/>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0DD"/>
    <w:rsid w:val="006171F5"/>
    <w:rsid w:val="00617387"/>
    <w:rsid w:val="006205D6"/>
    <w:rsid w:val="006252D8"/>
    <w:rsid w:val="006259BC"/>
    <w:rsid w:val="0062636B"/>
    <w:rsid w:val="00632182"/>
    <w:rsid w:val="00632A67"/>
    <w:rsid w:val="00632AE0"/>
    <w:rsid w:val="00633C17"/>
    <w:rsid w:val="00634D9E"/>
    <w:rsid w:val="00636E3E"/>
    <w:rsid w:val="006379F7"/>
    <w:rsid w:val="00637E4D"/>
    <w:rsid w:val="00640620"/>
    <w:rsid w:val="00641A1F"/>
    <w:rsid w:val="00645904"/>
    <w:rsid w:val="00651ACB"/>
    <w:rsid w:val="00651C47"/>
    <w:rsid w:val="00652AB2"/>
    <w:rsid w:val="00653221"/>
    <w:rsid w:val="00653FED"/>
    <w:rsid w:val="00654EC0"/>
    <w:rsid w:val="0065525B"/>
    <w:rsid w:val="00655D4F"/>
    <w:rsid w:val="00656D29"/>
    <w:rsid w:val="00660BD7"/>
    <w:rsid w:val="00660C91"/>
    <w:rsid w:val="006640E5"/>
    <w:rsid w:val="006646F1"/>
    <w:rsid w:val="00664929"/>
    <w:rsid w:val="00664F62"/>
    <w:rsid w:val="006655E1"/>
    <w:rsid w:val="0067105B"/>
    <w:rsid w:val="00672060"/>
    <w:rsid w:val="00672BFD"/>
    <w:rsid w:val="00675996"/>
    <w:rsid w:val="00675F6E"/>
    <w:rsid w:val="006770F4"/>
    <w:rsid w:val="00677A84"/>
    <w:rsid w:val="0068026D"/>
    <w:rsid w:val="00680A27"/>
    <w:rsid w:val="006816A4"/>
    <w:rsid w:val="006819B8"/>
    <w:rsid w:val="006840A6"/>
    <w:rsid w:val="006850CD"/>
    <w:rsid w:val="00685AAB"/>
    <w:rsid w:val="006909E3"/>
    <w:rsid w:val="00692CDE"/>
    <w:rsid w:val="00695D22"/>
    <w:rsid w:val="006A07AA"/>
    <w:rsid w:val="006A25E5"/>
    <w:rsid w:val="006A2B46"/>
    <w:rsid w:val="006A336D"/>
    <w:rsid w:val="006A37B9"/>
    <w:rsid w:val="006A66B8"/>
    <w:rsid w:val="006B2672"/>
    <w:rsid w:val="006B4A14"/>
    <w:rsid w:val="006B5393"/>
    <w:rsid w:val="006B54BF"/>
    <w:rsid w:val="006B5F44"/>
    <w:rsid w:val="006B5F90"/>
    <w:rsid w:val="006B62E4"/>
    <w:rsid w:val="006B6887"/>
    <w:rsid w:val="006C1277"/>
    <w:rsid w:val="006C1BBA"/>
    <w:rsid w:val="006C2079"/>
    <w:rsid w:val="006C412D"/>
    <w:rsid w:val="006C5A62"/>
    <w:rsid w:val="006C5D68"/>
    <w:rsid w:val="006C6976"/>
    <w:rsid w:val="006C6DD0"/>
    <w:rsid w:val="006C718B"/>
    <w:rsid w:val="006D04EA"/>
    <w:rsid w:val="006D0AB7"/>
    <w:rsid w:val="006D16C4"/>
    <w:rsid w:val="006D3E96"/>
    <w:rsid w:val="006D4515"/>
    <w:rsid w:val="006D4BB1"/>
    <w:rsid w:val="006D6593"/>
    <w:rsid w:val="006E23EA"/>
    <w:rsid w:val="006E3A0E"/>
    <w:rsid w:val="006E69E9"/>
    <w:rsid w:val="006F03A8"/>
    <w:rsid w:val="006F2ACA"/>
    <w:rsid w:val="006F2ADC"/>
    <w:rsid w:val="006F2BFE"/>
    <w:rsid w:val="006F31E9"/>
    <w:rsid w:val="006F3201"/>
    <w:rsid w:val="006F39AA"/>
    <w:rsid w:val="006F6284"/>
    <w:rsid w:val="006F6AB9"/>
    <w:rsid w:val="006F7AF1"/>
    <w:rsid w:val="007002C5"/>
    <w:rsid w:val="007010B0"/>
    <w:rsid w:val="00704387"/>
    <w:rsid w:val="00707669"/>
    <w:rsid w:val="00711CBA"/>
    <w:rsid w:val="00711FB5"/>
    <w:rsid w:val="00712A01"/>
    <w:rsid w:val="00713889"/>
    <w:rsid w:val="00714F58"/>
    <w:rsid w:val="007160BA"/>
    <w:rsid w:val="00720087"/>
    <w:rsid w:val="00722FBF"/>
    <w:rsid w:val="00722FC2"/>
    <w:rsid w:val="00724879"/>
    <w:rsid w:val="00724E1B"/>
    <w:rsid w:val="00725949"/>
    <w:rsid w:val="00727AF1"/>
    <w:rsid w:val="00727FA2"/>
    <w:rsid w:val="007322D9"/>
    <w:rsid w:val="00732BC0"/>
    <w:rsid w:val="007334D5"/>
    <w:rsid w:val="0073686D"/>
    <w:rsid w:val="0073720F"/>
    <w:rsid w:val="00737796"/>
    <w:rsid w:val="00740798"/>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0C"/>
    <w:rsid w:val="0078413A"/>
    <w:rsid w:val="007959E8"/>
    <w:rsid w:val="00795E9C"/>
    <w:rsid w:val="007A0521"/>
    <w:rsid w:val="007A2E12"/>
    <w:rsid w:val="007A3475"/>
    <w:rsid w:val="007A41C8"/>
    <w:rsid w:val="007A54CE"/>
    <w:rsid w:val="007A6FD9"/>
    <w:rsid w:val="007A7FFA"/>
    <w:rsid w:val="007B04EB"/>
    <w:rsid w:val="007B0D4F"/>
    <w:rsid w:val="007B123D"/>
    <w:rsid w:val="007B2726"/>
    <w:rsid w:val="007B5A3D"/>
    <w:rsid w:val="007B5B95"/>
    <w:rsid w:val="007B68EA"/>
    <w:rsid w:val="007B7453"/>
    <w:rsid w:val="007C1E8B"/>
    <w:rsid w:val="007C2D89"/>
    <w:rsid w:val="007C4593"/>
    <w:rsid w:val="007C5309"/>
    <w:rsid w:val="007C6069"/>
    <w:rsid w:val="007D06C4"/>
    <w:rsid w:val="007D1352"/>
    <w:rsid w:val="007D22C4"/>
    <w:rsid w:val="007D2508"/>
    <w:rsid w:val="007D346A"/>
    <w:rsid w:val="007D6518"/>
    <w:rsid w:val="007D76BD"/>
    <w:rsid w:val="007E0BF1"/>
    <w:rsid w:val="007E72CB"/>
    <w:rsid w:val="007F03C8"/>
    <w:rsid w:val="007F0ED8"/>
    <w:rsid w:val="007F0F26"/>
    <w:rsid w:val="007F0F63"/>
    <w:rsid w:val="007F75CE"/>
    <w:rsid w:val="008013A4"/>
    <w:rsid w:val="008027CE"/>
    <w:rsid w:val="00802A37"/>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E"/>
    <w:rsid w:val="00823A9F"/>
    <w:rsid w:val="00823AD0"/>
    <w:rsid w:val="00823C85"/>
    <w:rsid w:val="00825138"/>
    <w:rsid w:val="008269DD"/>
    <w:rsid w:val="00830621"/>
    <w:rsid w:val="00831961"/>
    <w:rsid w:val="0083348C"/>
    <w:rsid w:val="008346A2"/>
    <w:rsid w:val="00836ED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67D1E"/>
    <w:rsid w:val="00870439"/>
    <w:rsid w:val="00870DA1"/>
    <w:rsid w:val="00873467"/>
    <w:rsid w:val="00880B88"/>
    <w:rsid w:val="00883F93"/>
    <w:rsid w:val="00884DB3"/>
    <w:rsid w:val="00885A9D"/>
    <w:rsid w:val="008864F6"/>
    <w:rsid w:val="0089049D"/>
    <w:rsid w:val="008928C9"/>
    <w:rsid w:val="008930CB"/>
    <w:rsid w:val="008938DC"/>
    <w:rsid w:val="00893FD1"/>
    <w:rsid w:val="00894836"/>
    <w:rsid w:val="00895172"/>
    <w:rsid w:val="00895680"/>
    <w:rsid w:val="00896D5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D7EFE"/>
    <w:rsid w:val="008E0C9D"/>
    <w:rsid w:val="008E12C3"/>
    <w:rsid w:val="008E1648"/>
    <w:rsid w:val="008E1B3E"/>
    <w:rsid w:val="008E2319"/>
    <w:rsid w:val="008E31C5"/>
    <w:rsid w:val="008E4BB6"/>
    <w:rsid w:val="008E5518"/>
    <w:rsid w:val="008E6A84"/>
    <w:rsid w:val="008F0CDC"/>
    <w:rsid w:val="008F17A3"/>
    <w:rsid w:val="008F1B31"/>
    <w:rsid w:val="008F1ED3"/>
    <w:rsid w:val="008F23A5"/>
    <w:rsid w:val="008F483B"/>
    <w:rsid w:val="008F4C29"/>
    <w:rsid w:val="008F6DB9"/>
    <w:rsid w:val="008F70BD"/>
    <w:rsid w:val="008F788F"/>
    <w:rsid w:val="008F7EA2"/>
    <w:rsid w:val="00902722"/>
    <w:rsid w:val="009027BC"/>
    <w:rsid w:val="00903E2E"/>
    <w:rsid w:val="009062E6"/>
    <w:rsid w:val="0090725F"/>
    <w:rsid w:val="00911BE5"/>
    <w:rsid w:val="00913CA9"/>
    <w:rsid w:val="009145AE"/>
    <w:rsid w:val="009146CE"/>
    <w:rsid w:val="00914CA7"/>
    <w:rsid w:val="00915C3E"/>
    <w:rsid w:val="009161A8"/>
    <w:rsid w:val="0092275B"/>
    <w:rsid w:val="009245F5"/>
    <w:rsid w:val="009249EC"/>
    <w:rsid w:val="00926BDE"/>
    <w:rsid w:val="009273B3"/>
    <w:rsid w:val="00927D16"/>
    <w:rsid w:val="009305B5"/>
    <w:rsid w:val="00933ECE"/>
    <w:rsid w:val="009429D5"/>
    <w:rsid w:val="00942BF1"/>
    <w:rsid w:val="00945180"/>
    <w:rsid w:val="00945428"/>
    <w:rsid w:val="0094607B"/>
    <w:rsid w:val="00950CBD"/>
    <w:rsid w:val="00952709"/>
    <w:rsid w:val="00953604"/>
    <w:rsid w:val="0095496B"/>
    <w:rsid w:val="009567F9"/>
    <w:rsid w:val="00960985"/>
    <w:rsid w:val="009610DC"/>
    <w:rsid w:val="00961490"/>
    <w:rsid w:val="0096381A"/>
    <w:rsid w:val="00965E04"/>
    <w:rsid w:val="0096609A"/>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36C0"/>
    <w:rsid w:val="009A4034"/>
    <w:rsid w:val="009A42C1"/>
    <w:rsid w:val="009A5429"/>
    <w:rsid w:val="009A72AD"/>
    <w:rsid w:val="009B09E0"/>
    <w:rsid w:val="009B0BC5"/>
    <w:rsid w:val="009B1247"/>
    <w:rsid w:val="009B320A"/>
    <w:rsid w:val="009B46F9"/>
    <w:rsid w:val="009B6029"/>
    <w:rsid w:val="009B6971"/>
    <w:rsid w:val="009C0D5A"/>
    <w:rsid w:val="009C27F1"/>
    <w:rsid w:val="009C3152"/>
    <w:rsid w:val="009C4CFA"/>
    <w:rsid w:val="009C5070"/>
    <w:rsid w:val="009C75D0"/>
    <w:rsid w:val="009D112C"/>
    <w:rsid w:val="009D3E52"/>
    <w:rsid w:val="009D40BF"/>
    <w:rsid w:val="009D47FA"/>
    <w:rsid w:val="009D4C5B"/>
    <w:rsid w:val="009D50D2"/>
    <w:rsid w:val="009D6BCA"/>
    <w:rsid w:val="009E0F62"/>
    <w:rsid w:val="009E2D4B"/>
    <w:rsid w:val="009E4A58"/>
    <w:rsid w:val="009E5A2D"/>
    <w:rsid w:val="009E5AB2"/>
    <w:rsid w:val="009E6219"/>
    <w:rsid w:val="009E6642"/>
    <w:rsid w:val="009F03B3"/>
    <w:rsid w:val="009F0D12"/>
    <w:rsid w:val="009F2FBC"/>
    <w:rsid w:val="00A0096C"/>
    <w:rsid w:val="00A01757"/>
    <w:rsid w:val="00A028C0"/>
    <w:rsid w:val="00A02BAE"/>
    <w:rsid w:val="00A06A6B"/>
    <w:rsid w:val="00A07E47"/>
    <w:rsid w:val="00A129D0"/>
    <w:rsid w:val="00A12C33"/>
    <w:rsid w:val="00A138BA"/>
    <w:rsid w:val="00A14C8E"/>
    <w:rsid w:val="00A153D9"/>
    <w:rsid w:val="00A15F09"/>
    <w:rsid w:val="00A169B6"/>
    <w:rsid w:val="00A16B87"/>
    <w:rsid w:val="00A2271D"/>
    <w:rsid w:val="00A237D5"/>
    <w:rsid w:val="00A30EFC"/>
    <w:rsid w:val="00A31984"/>
    <w:rsid w:val="00A32508"/>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3320"/>
    <w:rsid w:val="00A55BD6"/>
    <w:rsid w:val="00A55D50"/>
    <w:rsid w:val="00A57142"/>
    <w:rsid w:val="00A62AC4"/>
    <w:rsid w:val="00A648CD"/>
    <w:rsid w:val="00A6537A"/>
    <w:rsid w:val="00A67866"/>
    <w:rsid w:val="00A70B07"/>
    <w:rsid w:val="00A71E95"/>
    <w:rsid w:val="00A723F8"/>
    <w:rsid w:val="00A741B4"/>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2637"/>
    <w:rsid w:val="00AB41D5"/>
    <w:rsid w:val="00AB4571"/>
    <w:rsid w:val="00AB6309"/>
    <w:rsid w:val="00AB65E8"/>
    <w:rsid w:val="00AB6C5F"/>
    <w:rsid w:val="00AB7129"/>
    <w:rsid w:val="00AC27A6"/>
    <w:rsid w:val="00AC30F7"/>
    <w:rsid w:val="00AC3A5A"/>
    <w:rsid w:val="00AC47CA"/>
    <w:rsid w:val="00AC4D95"/>
    <w:rsid w:val="00AC5DF4"/>
    <w:rsid w:val="00AD02FB"/>
    <w:rsid w:val="00AD0AEF"/>
    <w:rsid w:val="00AD11B7"/>
    <w:rsid w:val="00AD1A94"/>
    <w:rsid w:val="00AD1C05"/>
    <w:rsid w:val="00AD30E2"/>
    <w:rsid w:val="00AD4126"/>
    <w:rsid w:val="00AD421C"/>
    <w:rsid w:val="00AD44FA"/>
    <w:rsid w:val="00AD6930"/>
    <w:rsid w:val="00AD69D1"/>
    <w:rsid w:val="00AE070A"/>
    <w:rsid w:val="00AE101C"/>
    <w:rsid w:val="00AE37E5"/>
    <w:rsid w:val="00AE4D35"/>
    <w:rsid w:val="00AE5EB4"/>
    <w:rsid w:val="00AE721B"/>
    <w:rsid w:val="00AF0C18"/>
    <w:rsid w:val="00AF1BB5"/>
    <w:rsid w:val="00AF47C5"/>
    <w:rsid w:val="00AF5398"/>
    <w:rsid w:val="00B049AF"/>
    <w:rsid w:val="00B07242"/>
    <w:rsid w:val="00B10534"/>
    <w:rsid w:val="00B113DB"/>
    <w:rsid w:val="00B11D8A"/>
    <w:rsid w:val="00B12981"/>
    <w:rsid w:val="00B1320B"/>
    <w:rsid w:val="00B140D0"/>
    <w:rsid w:val="00B147DD"/>
    <w:rsid w:val="00B156FD"/>
    <w:rsid w:val="00B21610"/>
    <w:rsid w:val="00B21F61"/>
    <w:rsid w:val="00B237A5"/>
    <w:rsid w:val="00B261F1"/>
    <w:rsid w:val="00B265BC"/>
    <w:rsid w:val="00B31FB1"/>
    <w:rsid w:val="00B33952"/>
    <w:rsid w:val="00B33C5E"/>
    <w:rsid w:val="00B342F4"/>
    <w:rsid w:val="00B34369"/>
    <w:rsid w:val="00B34DC2"/>
    <w:rsid w:val="00B36C9E"/>
    <w:rsid w:val="00B378E5"/>
    <w:rsid w:val="00B4346D"/>
    <w:rsid w:val="00B440F4"/>
    <w:rsid w:val="00B447A5"/>
    <w:rsid w:val="00B4654C"/>
    <w:rsid w:val="00B46AF0"/>
    <w:rsid w:val="00B47293"/>
    <w:rsid w:val="00B50E50"/>
    <w:rsid w:val="00B52120"/>
    <w:rsid w:val="00B52CE3"/>
    <w:rsid w:val="00B54ABC"/>
    <w:rsid w:val="00B54DDE"/>
    <w:rsid w:val="00B556BD"/>
    <w:rsid w:val="00B5633D"/>
    <w:rsid w:val="00B567B4"/>
    <w:rsid w:val="00B56FBE"/>
    <w:rsid w:val="00B60ACF"/>
    <w:rsid w:val="00B62B58"/>
    <w:rsid w:val="00B65149"/>
    <w:rsid w:val="00B66567"/>
    <w:rsid w:val="00B66F52"/>
    <w:rsid w:val="00B66FE5"/>
    <w:rsid w:val="00B72880"/>
    <w:rsid w:val="00B758BF"/>
    <w:rsid w:val="00B77EC8"/>
    <w:rsid w:val="00B827A6"/>
    <w:rsid w:val="00B82EF8"/>
    <w:rsid w:val="00B831CE"/>
    <w:rsid w:val="00B86677"/>
    <w:rsid w:val="00B86DAD"/>
    <w:rsid w:val="00B87131"/>
    <w:rsid w:val="00B91B35"/>
    <w:rsid w:val="00B939B1"/>
    <w:rsid w:val="00B9481C"/>
    <w:rsid w:val="00B95977"/>
    <w:rsid w:val="00B96D40"/>
    <w:rsid w:val="00B97386"/>
    <w:rsid w:val="00BA263B"/>
    <w:rsid w:val="00BA42B2"/>
    <w:rsid w:val="00BA58D4"/>
    <w:rsid w:val="00BA5B9E"/>
    <w:rsid w:val="00BA7C9A"/>
    <w:rsid w:val="00BB203B"/>
    <w:rsid w:val="00BB5F8F"/>
    <w:rsid w:val="00BB657A"/>
    <w:rsid w:val="00BC1A4E"/>
    <w:rsid w:val="00BC2843"/>
    <w:rsid w:val="00BC4790"/>
    <w:rsid w:val="00BC5DC7"/>
    <w:rsid w:val="00BC6B8B"/>
    <w:rsid w:val="00BC73D8"/>
    <w:rsid w:val="00BD52D7"/>
    <w:rsid w:val="00BD5AD2"/>
    <w:rsid w:val="00BD5FC9"/>
    <w:rsid w:val="00BD68E1"/>
    <w:rsid w:val="00BE076B"/>
    <w:rsid w:val="00BE22F3"/>
    <w:rsid w:val="00BE5B52"/>
    <w:rsid w:val="00BE7B8D"/>
    <w:rsid w:val="00BF0993"/>
    <w:rsid w:val="00BF10A9"/>
    <w:rsid w:val="00BF1703"/>
    <w:rsid w:val="00BF231C"/>
    <w:rsid w:val="00BF51E5"/>
    <w:rsid w:val="00BF74A6"/>
    <w:rsid w:val="00BF79B1"/>
    <w:rsid w:val="00C013AD"/>
    <w:rsid w:val="00C02963"/>
    <w:rsid w:val="00C038F0"/>
    <w:rsid w:val="00C0431B"/>
    <w:rsid w:val="00C04904"/>
    <w:rsid w:val="00C04B50"/>
    <w:rsid w:val="00C056B3"/>
    <w:rsid w:val="00C05C0E"/>
    <w:rsid w:val="00C05CCD"/>
    <w:rsid w:val="00C05EB7"/>
    <w:rsid w:val="00C103E5"/>
    <w:rsid w:val="00C128A8"/>
    <w:rsid w:val="00C13319"/>
    <w:rsid w:val="00C13EE9"/>
    <w:rsid w:val="00C21540"/>
    <w:rsid w:val="00C21906"/>
    <w:rsid w:val="00C21BFA"/>
    <w:rsid w:val="00C21DCD"/>
    <w:rsid w:val="00C22148"/>
    <w:rsid w:val="00C24C8D"/>
    <w:rsid w:val="00C25FE2"/>
    <w:rsid w:val="00C26B53"/>
    <w:rsid w:val="00C279B2"/>
    <w:rsid w:val="00C33E50"/>
    <w:rsid w:val="00C349E8"/>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0D3A"/>
    <w:rsid w:val="00C71372"/>
    <w:rsid w:val="00C72410"/>
    <w:rsid w:val="00C7287F"/>
    <w:rsid w:val="00C764AA"/>
    <w:rsid w:val="00C80CB8"/>
    <w:rsid w:val="00C819F8"/>
    <w:rsid w:val="00C8248C"/>
    <w:rsid w:val="00C84E33"/>
    <w:rsid w:val="00C86D6F"/>
    <w:rsid w:val="00C905FC"/>
    <w:rsid w:val="00C90FD0"/>
    <w:rsid w:val="00C92D03"/>
    <w:rsid w:val="00C9319C"/>
    <w:rsid w:val="00C937B2"/>
    <w:rsid w:val="00C9435D"/>
    <w:rsid w:val="00C94DF2"/>
    <w:rsid w:val="00C96741"/>
    <w:rsid w:val="00CA2D1B"/>
    <w:rsid w:val="00CA375D"/>
    <w:rsid w:val="00CA50DB"/>
    <w:rsid w:val="00CA662A"/>
    <w:rsid w:val="00CA6B8C"/>
    <w:rsid w:val="00CA7AFD"/>
    <w:rsid w:val="00CA7C3C"/>
    <w:rsid w:val="00CB0189"/>
    <w:rsid w:val="00CB0BA2"/>
    <w:rsid w:val="00CB1A42"/>
    <w:rsid w:val="00CB1B0C"/>
    <w:rsid w:val="00CB2C0B"/>
    <w:rsid w:val="00CB517D"/>
    <w:rsid w:val="00CB71A8"/>
    <w:rsid w:val="00CC038D"/>
    <w:rsid w:val="00CC08DB"/>
    <w:rsid w:val="00CC141D"/>
    <w:rsid w:val="00CC39FF"/>
    <w:rsid w:val="00CC3C2F"/>
    <w:rsid w:val="00CC4AC8"/>
    <w:rsid w:val="00CC5233"/>
    <w:rsid w:val="00CC54F8"/>
    <w:rsid w:val="00CC5DE6"/>
    <w:rsid w:val="00CC6E4E"/>
    <w:rsid w:val="00CC6FE8"/>
    <w:rsid w:val="00CC7202"/>
    <w:rsid w:val="00CD2692"/>
    <w:rsid w:val="00CD2808"/>
    <w:rsid w:val="00CD28BF"/>
    <w:rsid w:val="00CD4092"/>
    <w:rsid w:val="00CD4A20"/>
    <w:rsid w:val="00CD50A1"/>
    <w:rsid w:val="00CD519E"/>
    <w:rsid w:val="00CD561D"/>
    <w:rsid w:val="00CE0C4F"/>
    <w:rsid w:val="00CE30EA"/>
    <w:rsid w:val="00CE6857"/>
    <w:rsid w:val="00CF048A"/>
    <w:rsid w:val="00CF155A"/>
    <w:rsid w:val="00CF2923"/>
    <w:rsid w:val="00CF2947"/>
    <w:rsid w:val="00CF686F"/>
    <w:rsid w:val="00CF6E60"/>
    <w:rsid w:val="00CF7BCA"/>
    <w:rsid w:val="00D008FD"/>
    <w:rsid w:val="00D01F7E"/>
    <w:rsid w:val="00D027C0"/>
    <w:rsid w:val="00D0321C"/>
    <w:rsid w:val="00D035EC"/>
    <w:rsid w:val="00D06AB1"/>
    <w:rsid w:val="00D072ED"/>
    <w:rsid w:val="00D07A16"/>
    <w:rsid w:val="00D1067E"/>
    <w:rsid w:val="00D10F50"/>
    <w:rsid w:val="00D110D9"/>
    <w:rsid w:val="00D11272"/>
    <w:rsid w:val="00D126F5"/>
    <w:rsid w:val="00D1489E"/>
    <w:rsid w:val="00D16A8B"/>
    <w:rsid w:val="00D17BA2"/>
    <w:rsid w:val="00D20737"/>
    <w:rsid w:val="00D21C93"/>
    <w:rsid w:val="00D21E81"/>
    <w:rsid w:val="00D223DE"/>
    <w:rsid w:val="00D25E37"/>
    <w:rsid w:val="00D2661A"/>
    <w:rsid w:val="00D27582"/>
    <w:rsid w:val="00D27EC4"/>
    <w:rsid w:val="00D316F7"/>
    <w:rsid w:val="00D32719"/>
    <w:rsid w:val="00D33333"/>
    <w:rsid w:val="00D33457"/>
    <w:rsid w:val="00D33AB2"/>
    <w:rsid w:val="00D351DE"/>
    <w:rsid w:val="00D352A2"/>
    <w:rsid w:val="00D4162B"/>
    <w:rsid w:val="00D4514F"/>
    <w:rsid w:val="00D451E2"/>
    <w:rsid w:val="00D45E89"/>
    <w:rsid w:val="00D45E8D"/>
    <w:rsid w:val="00D466AE"/>
    <w:rsid w:val="00D4734F"/>
    <w:rsid w:val="00D51BF3"/>
    <w:rsid w:val="00D66846"/>
    <w:rsid w:val="00D675FB"/>
    <w:rsid w:val="00D71F25"/>
    <w:rsid w:val="00D72A9C"/>
    <w:rsid w:val="00D74186"/>
    <w:rsid w:val="00D75291"/>
    <w:rsid w:val="00D77031"/>
    <w:rsid w:val="00D8386D"/>
    <w:rsid w:val="00D844C2"/>
    <w:rsid w:val="00D84941"/>
    <w:rsid w:val="00D84FA1"/>
    <w:rsid w:val="00D851F0"/>
    <w:rsid w:val="00D86DB7"/>
    <w:rsid w:val="00D871FC"/>
    <w:rsid w:val="00D87310"/>
    <w:rsid w:val="00D926D0"/>
    <w:rsid w:val="00D93030"/>
    <w:rsid w:val="00D950E1"/>
    <w:rsid w:val="00D95212"/>
    <w:rsid w:val="00D952A6"/>
    <w:rsid w:val="00D97F99"/>
    <w:rsid w:val="00DA1E08"/>
    <w:rsid w:val="00DA24F8"/>
    <w:rsid w:val="00DA28E8"/>
    <w:rsid w:val="00DA38D3"/>
    <w:rsid w:val="00DA3932"/>
    <w:rsid w:val="00DA3AFC"/>
    <w:rsid w:val="00DA5191"/>
    <w:rsid w:val="00DA6366"/>
    <w:rsid w:val="00DA64F8"/>
    <w:rsid w:val="00DA6C15"/>
    <w:rsid w:val="00DB0258"/>
    <w:rsid w:val="00DB38EE"/>
    <w:rsid w:val="00DB498B"/>
    <w:rsid w:val="00DB66CA"/>
    <w:rsid w:val="00DB6BCA"/>
    <w:rsid w:val="00DB73F7"/>
    <w:rsid w:val="00DC0321"/>
    <w:rsid w:val="00DC19F0"/>
    <w:rsid w:val="00DC3067"/>
    <w:rsid w:val="00DC370B"/>
    <w:rsid w:val="00DC5B90"/>
    <w:rsid w:val="00DC7C0E"/>
    <w:rsid w:val="00DD00FF"/>
    <w:rsid w:val="00DD0619"/>
    <w:rsid w:val="00DD07FB"/>
    <w:rsid w:val="00DD25C6"/>
    <w:rsid w:val="00DD2E08"/>
    <w:rsid w:val="00DD4FE5"/>
    <w:rsid w:val="00DD54B0"/>
    <w:rsid w:val="00DD57EE"/>
    <w:rsid w:val="00DD64CB"/>
    <w:rsid w:val="00DD6BCC"/>
    <w:rsid w:val="00DE0A4B"/>
    <w:rsid w:val="00DE2410"/>
    <w:rsid w:val="00DE2939"/>
    <w:rsid w:val="00DE3E0D"/>
    <w:rsid w:val="00DE6E81"/>
    <w:rsid w:val="00DE703F"/>
    <w:rsid w:val="00DE7595"/>
    <w:rsid w:val="00DF1961"/>
    <w:rsid w:val="00DF2070"/>
    <w:rsid w:val="00DF44DE"/>
    <w:rsid w:val="00DF5F11"/>
    <w:rsid w:val="00E01138"/>
    <w:rsid w:val="00E02DFB"/>
    <w:rsid w:val="00E030F9"/>
    <w:rsid w:val="00E0311A"/>
    <w:rsid w:val="00E03138"/>
    <w:rsid w:val="00E06404"/>
    <w:rsid w:val="00E065D2"/>
    <w:rsid w:val="00E11A85"/>
    <w:rsid w:val="00E12495"/>
    <w:rsid w:val="00E1503D"/>
    <w:rsid w:val="00E15CCD"/>
    <w:rsid w:val="00E17018"/>
    <w:rsid w:val="00E17AFF"/>
    <w:rsid w:val="00E202EF"/>
    <w:rsid w:val="00E210B5"/>
    <w:rsid w:val="00E23D99"/>
    <w:rsid w:val="00E2552F"/>
    <w:rsid w:val="00E3043B"/>
    <w:rsid w:val="00E307F6"/>
    <w:rsid w:val="00E3137A"/>
    <w:rsid w:val="00E32CCF"/>
    <w:rsid w:val="00E34A98"/>
    <w:rsid w:val="00E35D1E"/>
    <w:rsid w:val="00E364F9"/>
    <w:rsid w:val="00E365FA"/>
    <w:rsid w:val="00E36789"/>
    <w:rsid w:val="00E42C79"/>
    <w:rsid w:val="00E44A83"/>
    <w:rsid w:val="00E44E03"/>
    <w:rsid w:val="00E502C1"/>
    <w:rsid w:val="00E502DD"/>
    <w:rsid w:val="00E50D3A"/>
    <w:rsid w:val="00E51387"/>
    <w:rsid w:val="00E51E68"/>
    <w:rsid w:val="00E52EFD"/>
    <w:rsid w:val="00E5408A"/>
    <w:rsid w:val="00E56800"/>
    <w:rsid w:val="00E57CF8"/>
    <w:rsid w:val="00E60C63"/>
    <w:rsid w:val="00E62FF9"/>
    <w:rsid w:val="00E635D6"/>
    <w:rsid w:val="00E63951"/>
    <w:rsid w:val="00E639BC"/>
    <w:rsid w:val="00E664CC"/>
    <w:rsid w:val="00E70388"/>
    <w:rsid w:val="00E70F92"/>
    <w:rsid w:val="00E74C54"/>
    <w:rsid w:val="00E77A03"/>
    <w:rsid w:val="00E77C5A"/>
    <w:rsid w:val="00E77FC8"/>
    <w:rsid w:val="00E810CF"/>
    <w:rsid w:val="00E822E8"/>
    <w:rsid w:val="00E82554"/>
    <w:rsid w:val="00E82606"/>
    <w:rsid w:val="00E846C8"/>
    <w:rsid w:val="00E84709"/>
    <w:rsid w:val="00E84957"/>
    <w:rsid w:val="00E84A55"/>
    <w:rsid w:val="00E85BFF"/>
    <w:rsid w:val="00E90391"/>
    <w:rsid w:val="00E906C2"/>
    <w:rsid w:val="00E91395"/>
    <w:rsid w:val="00E91F8B"/>
    <w:rsid w:val="00E9311F"/>
    <w:rsid w:val="00E934D1"/>
    <w:rsid w:val="00E94AF0"/>
    <w:rsid w:val="00E95D13"/>
    <w:rsid w:val="00E95DD3"/>
    <w:rsid w:val="00E969D5"/>
    <w:rsid w:val="00E9785E"/>
    <w:rsid w:val="00EA4537"/>
    <w:rsid w:val="00EA58D1"/>
    <w:rsid w:val="00EA61BC"/>
    <w:rsid w:val="00EA681A"/>
    <w:rsid w:val="00EA7147"/>
    <w:rsid w:val="00EA735B"/>
    <w:rsid w:val="00EB0426"/>
    <w:rsid w:val="00EB17DE"/>
    <w:rsid w:val="00EB1E69"/>
    <w:rsid w:val="00EB2086"/>
    <w:rsid w:val="00EB2865"/>
    <w:rsid w:val="00EB2F2F"/>
    <w:rsid w:val="00EB5EDF"/>
    <w:rsid w:val="00EB60FE"/>
    <w:rsid w:val="00EB6C12"/>
    <w:rsid w:val="00EB74DB"/>
    <w:rsid w:val="00EB7E59"/>
    <w:rsid w:val="00EC5359"/>
    <w:rsid w:val="00EC562A"/>
    <w:rsid w:val="00ED067A"/>
    <w:rsid w:val="00ED0F2D"/>
    <w:rsid w:val="00ED2B50"/>
    <w:rsid w:val="00EE0350"/>
    <w:rsid w:val="00EE0719"/>
    <w:rsid w:val="00EE0E80"/>
    <w:rsid w:val="00EE0F54"/>
    <w:rsid w:val="00EE293E"/>
    <w:rsid w:val="00EE54A6"/>
    <w:rsid w:val="00EE613F"/>
    <w:rsid w:val="00EE7295"/>
    <w:rsid w:val="00EE7869"/>
    <w:rsid w:val="00EF054A"/>
    <w:rsid w:val="00EF3235"/>
    <w:rsid w:val="00EF7E72"/>
    <w:rsid w:val="00F01925"/>
    <w:rsid w:val="00F03C73"/>
    <w:rsid w:val="00F06D37"/>
    <w:rsid w:val="00F07B9D"/>
    <w:rsid w:val="00F106C0"/>
    <w:rsid w:val="00F11586"/>
    <w:rsid w:val="00F1183B"/>
    <w:rsid w:val="00F11C9F"/>
    <w:rsid w:val="00F12263"/>
    <w:rsid w:val="00F1409D"/>
    <w:rsid w:val="00F14214"/>
    <w:rsid w:val="00F157A9"/>
    <w:rsid w:val="00F25BB6"/>
    <w:rsid w:val="00F26B7E"/>
    <w:rsid w:val="00F27A3B"/>
    <w:rsid w:val="00F33817"/>
    <w:rsid w:val="00F33CF8"/>
    <w:rsid w:val="00F344A7"/>
    <w:rsid w:val="00F420D5"/>
    <w:rsid w:val="00F451EA"/>
    <w:rsid w:val="00F45447"/>
    <w:rsid w:val="00F456C6"/>
    <w:rsid w:val="00F4577B"/>
    <w:rsid w:val="00F46496"/>
    <w:rsid w:val="00F474D0"/>
    <w:rsid w:val="00F50179"/>
    <w:rsid w:val="00F50E06"/>
    <w:rsid w:val="00F50FC5"/>
    <w:rsid w:val="00F515EE"/>
    <w:rsid w:val="00F56511"/>
    <w:rsid w:val="00F6194E"/>
    <w:rsid w:val="00F623AC"/>
    <w:rsid w:val="00F6412A"/>
    <w:rsid w:val="00F65893"/>
    <w:rsid w:val="00F66A4A"/>
    <w:rsid w:val="00F71E22"/>
    <w:rsid w:val="00F72142"/>
    <w:rsid w:val="00F72AE7"/>
    <w:rsid w:val="00F81141"/>
    <w:rsid w:val="00F820DF"/>
    <w:rsid w:val="00F833BA"/>
    <w:rsid w:val="00F84FD0"/>
    <w:rsid w:val="00F859A8"/>
    <w:rsid w:val="00F863B5"/>
    <w:rsid w:val="00F86D87"/>
    <w:rsid w:val="00F9108B"/>
    <w:rsid w:val="00F91349"/>
    <w:rsid w:val="00F91937"/>
    <w:rsid w:val="00F93A8A"/>
    <w:rsid w:val="00F94413"/>
    <w:rsid w:val="00F95248"/>
    <w:rsid w:val="00F956A9"/>
    <w:rsid w:val="00F963ED"/>
    <w:rsid w:val="00F966CF"/>
    <w:rsid w:val="00F96CAE"/>
    <w:rsid w:val="00F97C99"/>
    <w:rsid w:val="00FA1AE2"/>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5F36"/>
    <w:rsid w:val="00FD7299"/>
    <w:rsid w:val="00FE0D3E"/>
    <w:rsid w:val="00FE1FBE"/>
    <w:rsid w:val="00FE3901"/>
    <w:rsid w:val="00FE39D3"/>
    <w:rsid w:val="00FE4BCE"/>
    <w:rsid w:val="00FE54AE"/>
    <w:rsid w:val="00FE576A"/>
    <w:rsid w:val="00FE7E79"/>
    <w:rsid w:val="00FF0D1E"/>
    <w:rsid w:val="00FF1A76"/>
    <w:rsid w:val="00FF3E7D"/>
    <w:rsid w:val="00FF56CD"/>
    <w:rsid w:val="00FF5B99"/>
    <w:rsid w:val="00FF730C"/>
    <w:rsid w:val="00FF73F4"/>
    <w:rsid w:val="00FF7CE4"/>
    <w:rsid w:val="00FF7E39"/>
    <w:rsid w:val="04E37DFC"/>
    <w:rsid w:val="0F1F67CF"/>
    <w:rsid w:val="0F3B7764"/>
    <w:rsid w:val="164B6F7F"/>
    <w:rsid w:val="1EBF037B"/>
    <w:rsid w:val="450C6C5D"/>
    <w:rsid w:val="54020B28"/>
    <w:rsid w:val="FDCB04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0" w:semiHidden="0" w:name="toc 3"/>
    <w:lsdException w:uiPriority="0" w:semiHidden="0" w:name="toc 4"/>
    <w:lsdException w:qFormat="1" w:uiPriority="0" w:semiHidden="0" w:name="toc 5"/>
    <w:lsdException w:uiPriority="0" w:semiHidden="0" w:name="toc 6"/>
    <w:lsdException w:qFormat="1" w:uiPriority="0" w:semiHidden="0" w:name="toc 7"/>
    <w:lsdException w:qFormat="1" w:unhideWhenUsed="0" w:uiPriority="0" w:name="toc 8"/>
    <w:lsdException w:unhideWhenUsed="0"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unhideWhenUsed="0" w:uiPriority="0" w:name="footnote reference"/>
    <w:lsdException w:unhideWhenUsed="0" w:uiPriority="0" w:semiHidden="0" w:name="annotation reference"/>
    <w:lsdException w:uiPriority="99" w:name="line number"/>
    <w:lsdException w:qFormat="1" w:unhideWhenUsed="0" w:uiPriority="0" w:semiHidden="0" w:name="page number"/>
    <w:lsdException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5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9"/>
    <w:qFormat/>
    <w:uiPriority w:val="0"/>
    <w:pPr>
      <w:keepNext/>
      <w:keepLines/>
      <w:spacing w:before="260" w:after="260" w:line="416" w:lineRule="auto"/>
      <w:outlineLvl w:val="2"/>
    </w:pPr>
    <w:rPr>
      <w:b/>
      <w:bCs/>
      <w:sz w:val="32"/>
      <w:szCs w:val="32"/>
    </w:rPr>
  </w:style>
  <w:style w:type="paragraph" w:styleId="5">
    <w:name w:val="heading 4"/>
    <w:basedOn w:val="1"/>
    <w:next w:val="1"/>
    <w:link w:val="6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6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6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6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65"/>
    <w:qFormat/>
    <w:uiPriority w:val="0"/>
    <w:pPr>
      <w:keepNext/>
      <w:keepLines/>
      <w:adjustRightInd/>
      <w:spacing w:before="240" w:after="64" w:line="320" w:lineRule="auto"/>
      <w:outlineLvl w:val="8"/>
    </w:pPr>
    <w:rPr>
      <w:rFonts w:ascii="Arial" w:hAnsi="Arial" w:eastAsia="黑体"/>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0"/>
    <w:pPr>
      <w:tabs>
        <w:tab w:val="right" w:leader="dot" w:pos="9344"/>
      </w:tabs>
      <w:spacing w:line="300" w:lineRule="exact"/>
      <w:ind w:left="1259"/>
    </w:pPr>
    <w:rPr>
      <w:rFonts w:ascii="宋体"/>
    </w:rPr>
  </w:style>
  <w:style w:type="paragraph" w:styleId="12">
    <w:name w:val="index 8"/>
    <w:basedOn w:val="1"/>
    <w:next w:val="1"/>
    <w:qFormat/>
    <w:uiPriority w:val="0"/>
    <w:pPr>
      <w:adjustRightInd/>
      <w:spacing w:line="240" w:lineRule="auto"/>
      <w:ind w:left="1680" w:hanging="210"/>
      <w:jc w:val="left"/>
    </w:pPr>
    <w:rPr>
      <w:sz w:val="20"/>
      <w:szCs w:val="20"/>
    </w:rPr>
  </w:style>
  <w:style w:type="paragraph" w:styleId="13">
    <w:name w:val="Normal Indent"/>
    <w:basedOn w:val="1"/>
    <w:qFormat/>
    <w:uiPriority w:val="0"/>
    <w:pPr>
      <w:ind w:firstLine="420"/>
    </w:pPr>
  </w:style>
  <w:style w:type="paragraph" w:styleId="14">
    <w:name w:val="caption"/>
    <w:basedOn w:val="1"/>
    <w:next w:val="1"/>
    <w:qFormat/>
    <w:uiPriority w:val="0"/>
    <w:pPr>
      <w:adjustRightInd/>
      <w:spacing w:before="152" w:after="160" w:line="240" w:lineRule="auto"/>
    </w:pPr>
    <w:rPr>
      <w:rFonts w:ascii="Arial" w:hAnsi="Arial" w:eastAsia="黑体" w:cs="Arial"/>
      <w:sz w:val="20"/>
      <w:szCs w:val="20"/>
    </w:rPr>
  </w:style>
  <w:style w:type="paragraph" w:styleId="15">
    <w:name w:val="index 5"/>
    <w:basedOn w:val="1"/>
    <w:next w:val="1"/>
    <w:qFormat/>
    <w:uiPriority w:val="0"/>
    <w:pPr>
      <w:adjustRightInd/>
      <w:spacing w:line="240" w:lineRule="auto"/>
      <w:ind w:left="1050" w:hanging="210"/>
      <w:jc w:val="left"/>
    </w:pPr>
    <w:rPr>
      <w:sz w:val="20"/>
      <w:szCs w:val="20"/>
    </w:rPr>
  </w:style>
  <w:style w:type="paragraph" w:styleId="16">
    <w:name w:val="Document Map"/>
    <w:basedOn w:val="1"/>
    <w:link w:val="265"/>
    <w:semiHidden/>
    <w:qFormat/>
    <w:uiPriority w:val="0"/>
    <w:pPr>
      <w:shd w:val="clear" w:color="auto" w:fill="000080"/>
      <w:adjustRightInd/>
      <w:spacing w:line="240" w:lineRule="auto"/>
    </w:pPr>
    <w:rPr>
      <w:rFonts w:ascii="Times New Roman" w:hAnsi="Times New Roman"/>
      <w:szCs w:val="24"/>
    </w:rPr>
  </w:style>
  <w:style w:type="paragraph" w:styleId="17">
    <w:name w:val="annotation text"/>
    <w:basedOn w:val="1"/>
    <w:link w:val="258"/>
    <w:qFormat/>
    <w:uiPriority w:val="0"/>
    <w:pPr>
      <w:adjustRightInd/>
      <w:spacing w:line="240" w:lineRule="auto"/>
      <w:jc w:val="left"/>
    </w:pPr>
    <w:rPr>
      <w:rFonts w:ascii="Times New Roman" w:hAnsi="Times New Roman"/>
      <w:szCs w:val="24"/>
    </w:rPr>
  </w:style>
  <w:style w:type="paragraph" w:styleId="18">
    <w:name w:val="index 6"/>
    <w:basedOn w:val="1"/>
    <w:next w:val="1"/>
    <w:qFormat/>
    <w:uiPriority w:val="0"/>
    <w:pPr>
      <w:adjustRightInd/>
      <w:spacing w:line="240" w:lineRule="auto"/>
      <w:ind w:left="1260" w:hanging="210"/>
      <w:jc w:val="left"/>
    </w:pPr>
    <w:rPr>
      <w:sz w:val="20"/>
      <w:szCs w:val="20"/>
    </w:rPr>
  </w:style>
  <w:style w:type="paragraph" w:styleId="19">
    <w:name w:val="Body Text"/>
    <w:basedOn w:val="1"/>
    <w:link w:val="109"/>
    <w:qFormat/>
    <w:uiPriority w:val="0"/>
    <w:pPr>
      <w:spacing w:after="120"/>
    </w:pPr>
  </w:style>
  <w:style w:type="paragraph" w:styleId="20">
    <w:name w:val="index 4"/>
    <w:basedOn w:val="1"/>
    <w:next w:val="1"/>
    <w:qFormat/>
    <w:uiPriority w:val="0"/>
    <w:pPr>
      <w:adjustRightInd/>
      <w:spacing w:line="240" w:lineRule="auto"/>
      <w:ind w:left="840" w:hanging="210"/>
      <w:jc w:val="left"/>
    </w:pPr>
    <w:rPr>
      <w:sz w:val="20"/>
      <w:szCs w:val="20"/>
    </w:rPr>
  </w:style>
  <w:style w:type="paragraph" w:styleId="21">
    <w:name w:val="toc 5"/>
    <w:basedOn w:val="1"/>
    <w:next w:val="1"/>
    <w:unhideWhenUsed/>
    <w:qFormat/>
    <w:uiPriority w:val="0"/>
    <w:pPr>
      <w:ind w:left="839"/>
    </w:pPr>
    <w:rPr>
      <w:rFonts w:ascii="宋体"/>
    </w:rPr>
  </w:style>
  <w:style w:type="paragraph" w:styleId="22">
    <w:name w:val="toc 3"/>
    <w:basedOn w:val="1"/>
    <w:next w:val="1"/>
    <w:unhideWhenUsed/>
    <w:qFormat/>
    <w:uiPriority w:val="0"/>
    <w:pPr>
      <w:spacing w:line="300" w:lineRule="exact"/>
      <w:ind w:left="420"/>
    </w:pPr>
    <w:rPr>
      <w:rFonts w:ascii="宋体"/>
    </w:rPr>
  </w:style>
  <w:style w:type="paragraph" w:styleId="23">
    <w:name w:val="toc 8"/>
    <w:basedOn w:val="1"/>
    <w:next w:val="1"/>
    <w:semiHidden/>
    <w:qFormat/>
    <w:uiPriority w:val="0"/>
    <w:pPr>
      <w:tabs>
        <w:tab w:val="right" w:leader="dot" w:pos="9241"/>
      </w:tabs>
      <w:adjustRightInd/>
      <w:spacing w:line="240" w:lineRule="auto"/>
      <w:ind w:firstLine="607" w:firstLineChars="600"/>
      <w:jc w:val="left"/>
    </w:pPr>
    <w:rPr>
      <w:rFonts w:ascii="宋体" w:hAnsi="Times New Roman"/>
    </w:rPr>
  </w:style>
  <w:style w:type="paragraph" w:styleId="24">
    <w:name w:val="index 3"/>
    <w:basedOn w:val="1"/>
    <w:next w:val="1"/>
    <w:qFormat/>
    <w:uiPriority w:val="0"/>
    <w:pPr>
      <w:adjustRightInd/>
      <w:spacing w:line="240" w:lineRule="auto"/>
      <w:ind w:left="630" w:hanging="210"/>
      <w:jc w:val="left"/>
    </w:pPr>
    <w:rPr>
      <w:sz w:val="20"/>
      <w:szCs w:val="20"/>
    </w:rPr>
  </w:style>
  <w:style w:type="paragraph" w:styleId="25">
    <w:name w:val="Date"/>
    <w:basedOn w:val="1"/>
    <w:next w:val="1"/>
    <w:link w:val="266"/>
    <w:qFormat/>
    <w:uiPriority w:val="0"/>
    <w:pPr>
      <w:adjustRightInd/>
      <w:spacing w:line="240" w:lineRule="auto"/>
      <w:ind w:left="100" w:leftChars="2500"/>
    </w:pPr>
    <w:rPr>
      <w:rFonts w:ascii="Times New Roman" w:hAnsi="Times New Roman"/>
      <w:szCs w:val="24"/>
    </w:rPr>
  </w:style>
  <w:style w:type="paragraph" w:styleId="26">
    <w:name w:val="endnote text"/>
    <w:basedOn w:val="1"/>
    <w:link w:val="267"/>
    <w:semiHidden/>
    <w:qFormat/>
    <w:uiPriority w:val="0"/>
    <w:pPr>
      <w:adjustRightInd/>
      <w:snapToGrid w:val="0"/>
      <w:spacing w:line="240" w:lineRule="auto"/>
      <w:jc w:val="left"/>
    </w:pPr>
    <w:rPr>
      <w:rFonts w:ascii="Times New Roman" w:hAnsi="Times New Roman"/>
      <w:szCs w:val="24"/>
    </w:rPr>
  </w:style>
  <w:style w:type="paragraph" w:styleId="27">
    <w:name w:val="Balloon Text"/>
    <w:basedOn w:val="1"/>
    <w:link w:val="68"/>
    <w:unhideWhenUsed/>
    <w:qFormat/>
    <w:uiPriority w:val="0"/>
    <w:rPr>
      <w:sz w:val="18"/>
      <w:szCs w:val="18"/>
    </w:rPr>
  </w:style>
  <w:style w:type="paragraph" w:styleId="28">
    <w:name w:val="footer"/>
    <w:basedOn w:val="1"/>
    <w:link w:val="67"/>
    <w:qFormat/>
    <w:uiPriority w:val="0"/>
    <w:pPr>
      <w:tabs>
        <w:tab w:val="center" w:pos="4153"/>
        <w:tab w:val="right" w:pos="8306"/>
      </w:tabs>
      <w:adjustRightInd/>
      <w:snapToGrid w:val="0"/>
      <w:spacing w:line="240" w:lineRule="auto"/>
      <w:jc w:val="right"/>
    </w:pPr>
    <w:rPr>
      <w:rFonts w:ascii="宋体"/>
      <w:sz w:val="18"/>
      <w:szCs w:val="18"/>
    </w:rPr>
  </w:style>
  <w:style w:type="paragraph" w:styleId="29">
    <w:name w:val="header"/>
    <w:basedOn w:val="1"/>
    <w:link w:val="66"/>
    <w:qFormat/>
    <w:uiPriority w:val="0"/>
    <w:pPr>
      <w:tabs>
        <w:tab w:val="center" w:pos="4153"/>
        <w:tab w:val="right" w:pos="8306"/>
      </w:tabs>
      <w:adjustRightInd/>
      <w:snapToGrid w:val="0"/>
      <w:jc w:val="center"/>
    </w:pPr>
    <w:rPr>
      <w:sz w:val="18"/>
      <w:szCs w:val="18"/>
    </w:rPr>
  </w:style>
  <w:style w:type="paragraph" w:styleId="30">
    <w:name w:val="toc 1"/>
    <w:basedOn w:val="1"/>
    <w:next w:val="1"/>
    <w:unhideWhenUsed/>
    <w:qFormat/>
    <w:uiPriority w:val="39"/>
    <w:rPr>
      <w:rFonts w:ascii="宋体"/>
    </w:rPr>
  </w:style>
  <w:style w:type="paragraph" w:styleId="31">
    <w:name w:val="toc 4"/>
    <w:basedOn w:val="1"/>
    <w:next w:val="1"/>
    <w:unhideWhenUsed/>
    <w:uiPriority w:val="0"/>
    <w:pPr>
      <w:tabs>
        <w:tab w:val="right" w:leader="dot" w:pos="9344"/>
      </w:tabs>
      <w:spacing w:line="300" w:lineRule="exact"/>
      <w:ind w:left="629"/>
    </w:pPr>
    <w:rPr>
      <w:rFonts w:ascii="宋体"/>
    </w:rPr>
  </w:style>
  <w:style w:type="paragraph" w:styleId="32">
    <w:name w:val="index heading"/>
    <w:basedOn w:val="1"/>
    <w:next w:val="33"/>
    <w:uiPriority w:val="0"/>
    <w:pPr>
      <w:adjustRightInd/>
      <w:spacing w:before="120" w:after="120" w:line="240" w:lineRule="auto"/>
      <w:jc w:val="center"/>
    </w:pPr>
    <w:rPr>
      <w:b/>
      <w:bCs/>
      <w:iCs/>
      <w:szCs w:val="20"/>
    </w:rPr>
  </w:style>
  <w:style w:type="paragraph" w:styleId="33">
    <w:name w:val="index 1"/>
    <w:basedOn w:val="1"/>
    <w:next w:val="1"/>
    <w:unhideWhenUsed/>
    <w:uiPriority w:val="0"/>
  </w:style>
  <w:style w:type="paragraph" w:styleId="34">
    <w:name w:val="footnote text"/>
    <w:basedOn w:val="1"/>
    <w:next w:val="1"/>
    <w:link w:val="122"/>
    <w:qFormat/>
    <w:uiPriority w:val="0"/>
    <w:pPr>
      <w:adjustRightInd/>
      <w:snapToGrid w:val="0"/>
      <w:spacing w:line="300" w:lineRule="exact"/>
      <w:ind w:left="400" w:leftChars="200" w:hanging="200" w:hangingChars="200"/>
      <w:jc w:val="left"/>
    </w:pPr>
    <w:rPr>
      <w:rFonts w:ascii="宋体"/>
      <w:sz w:val="18"/>
      <w:szCs w:val="18"/>
    </w:rPr>
  </w:style>
  <w:style w:type="paragraph" w:styleId="35">
    <w:name w:val="toc 6"/>
    <w:basedOn w:val="1"/>
    <w:next w:val="1"/>
    <w:unhideWhenUsed/>
    <w:uiPriority w:val="0"/>
    <w:pPr>
      <w:spacing w:line="300" w:lineRule="exact"/>
      <w:ind w:left="1049"/>
    </w:pPr>
    <w:rPr>
      <w:rFonts w:ascii="宋体"/>
    </w:rPr>
  </w:style>
  <w:style w:type="paragraph" w:styleId="36">
    <w:name w:val="index 7"/>
    <w:basedOn w:val="1"/>
    <w:next w:val="1"/>
    <w:qFormat/>
    <w:uiPriority w:val="0"/>
    <w:pPr>
      <w:adjustRightInd/>
      <w:spacing w:line="240" w:lineRule="auto"/>
      <w:ind w:left="1470" w:hanging="210"/>
      <w:jc w:val="left"/>
    </w:pPr>
    <w:rPr>
      <w:sz w:val="20"/>
      <w:szCs w:val="20"/>
    </w:rPr>
  </w:style>
  <w:style w:type="paragraph" w:styleId="37">
    <w:name w:val="index 9"/>
    <w:basedOn w:val="1"/>
    <w:next w:val="1"/>
    <w:qFormat/>
    <w:uiPriority w:val="0"/>
    <w:pPr>
      <w:adjustRightInd/>
      <w:spacing w:line="240" w:lineRule="auto"/>
      <w:ind w:left="1890" w:hanging="210"/>
      <w:jc w:val="left"/>
    </w:pPr>
    <w:rPr>
      <w:sz w:val="20"/>
      <w:szCs w:val="20"/>
    </w:rPr>
  </w:style>
  <w:style w:type="paragraph" w:styleId="38">
    <w:name w:val="table of figures"/>
    <w:basedOn w:val="1"/>
    <w:next w:val="1"/>
    <w:semiHidden/>
    <w:qFormat/>
    <w:uiPriority w:val="0"/>
    <w:pPr>
      <w:adjustRightInd/>
      <w:spacing w:line="240" w:lineRule="auto"/>
      <w:jc w:val="left"/>
    </w:pPr>
    <w:rPr>
      <w:szCs w:val="24"/>
    </w:rPr>
  </w:style>
  <w:style w:type="paragraph" w:styleId="39">
    <w:name w:val="toc 2"/>
    <w:basedOn w:val="1"/>
    <w:next w:val="1"/>
    <w:unhideWhenUsed/>
    <w:qFormat/>
    <w:uiPriority w:val="39"/>
    <w:pPr>
      <w:tabs>
        <w:tab w:val="right" w:leader="dot" w:pos="9344"/>
      </w:tabs>
      <w:spacing w:line="300" w:lineRule="exact"/>
      <w:ind w:left="210"/>
    </w:pPr>
    <w:rPr>
      <w:rFonts w:ascii="宋体"/>
    </w:rPr>
  </w:style>
  <w:style w:type="paragraph" w:styleId="40">
    <w:name w:val="toc 9"/>
    <w:basedOn w:val="1"/>
    <w:next w:val="1"/>
    <w:semiHidden/>
    <w:uiPriority w:val="0"/>
    <w:pPr>
      <w:adjustRightInd/>
      <w:spacing w:line="240" w:lineRule="auto"/>
      <w:ind w:left="1470"/>
      <w:jc w:val="left"/>
    </w:pPr>
    <w:rPr>
      <w:rFonts w:ascii="Times New Roman" w:hAnsi="Times New Roman"/>
      <w:sz w:val="20"/>
      <w:szCs w:val="20"/>
    </w:rPr>
  </w:style>
  <w:style w:type="paragraph" w:styleId="41">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42">
    <w:name w:val="index 2"/>
    <w:basedOn w:val="1"/>
    <w:next w:val="1"/>
    <w:qFormat/>
    <w:uiPriority w:val="0"/>
    <w:pPr>
      <w:adjustRightInd/>
      <w:spacing w:line="240" w:lineRule="auto"/>
      <w:ind w:left="420" w:hanging="210"/>
      <w:jc w:val="left"/>
    </w:pPr>
    <w:rPr>
      <w:sz w:val="20"/>
      <w:szCs w:val="20"/>
    </w:rPr>
  </w:style>
  <w:style w:type="paragraph" w:styleId="43">
    <w:name w:val="Title"/>
    <w:basedOn w:val="1"/>
    <w:link w:val="71"/>
    <w:qFormat/>
    <w:uiPriority w:val="0"/>
    <w:pPr>
      <w:spacing w:before="240" w:after="60"/>
      <w:jc w:val="center"/>
      <w:outlineLvl w:val="0"/>
    </w:pPr>
    <w:rPr>
      <w:rFonts w:ascii="Arial" w:hAnsi="Arial" w:cs="Arial"/>
      <w:b/>
      <w:bCs/>
      <w:sz w:val="32"/>
      <w:szCs w:val="32"/>
    </w:rPr>
  </w:style>
  <w:style w:type="paragraph" w:styleId="44">
    <w:name w:val="annotation subject"/>
    <w:basedOn w:val="17"/>
    <w:next w:val="17"/>
    <w:link w:val="268"/>
    <w:qFormat/>
    <w:uiPriority w:val="0"/>
    <w:rPr>
      <w:b/>
      <w:bCs/>
    </w:rPr>
  </w:style>
  <w:style w:type="paragraph" w:styleId="45">
    <w:name w:val="Body Text First Indent"/>
    <w:basedOn w:val="19"/>
    <w:link w:val="269"/>
    <w:qFormat/>
    <w:uiPriority w:val="0"/>
    <w:pPr>
      <w:adjustRightInd/>
      <w:spacing w:line="240" w:lineRule="auto"/>
      <w:ind w:firstLine="420" w:firstLineChars="100"/>
    </w:pPr>
    <w:rPr>
      <w:rFonts w:ascii="Times New Roman" w:hAnsi="Times New Roman"/>
      <w:szCs w:val="24"/>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22"/>
    <w:rPr>
      <w:b/>
      <w:bCs/>
    </w:rPr>
  </w:style>
  <w:style w:type="character" w:styleId="50">
    <w:name w:val="endnote reference"/>
    <w:semiHidden/>
    <w:uiPriority w:val="0"/>
    <w:rPr>
      <w:vertAlign w:val="superscript"/>
    </w:rPr>
  </w:style>
  <w:style w:type="character" w:styleId="51">
    <w:name w:val="page number"/>
    <w:qFormat/>
    <w:uiPriority w:val="0"/>
    <w:rPr>
      <w:rFonts w:ascii="宋体" w:hAnsi="Times New Roman" w:eastAsia="宋体"/>
      <w:sz w:val="18"/>
    </w:rPr>
  </w:style>
  <w:style w:type="character" w:styleId="52">
    <w:name w:val="FollowedHyperlink"/>
    <w:qFormat/>
    <w:uiPriority w:val="0"/>
    <w:rPr>
      <w:color w:val="800080"/>
      <w:u w:val="single"/>
    </w:rPr>
  </w:style>
  <w:style w:type="character" w:styleId="53">
    <w:name w:val="Emphasis"/>
    <w:qFormat/>
    <w:uiPriority w:val="20"/>
    <w:rPr>
      <w:i/>
      <w:iCs/>
    </w:rPr>
  </w:style>
  <w:style w:type="character" w:styleId="54">
    <w:name w:val="Hyperlink"/>
    <w:uiPriority w:val="99"/>
    <w:rPr>
      <w:rFonts w:ascii="宋体" w:hAnsi="Times New Roman" w:eastAsia="宋体"/>
      <w:color w:val="auto"/>
      <w:spacing w:val="0"/>
      <w:w w:val="100"/>
      <w:position w:val="0"/>
      <w:sz w:val="21"/>
      <w:u w:val="none"/>
      <w:vertAlign w:val="baseline"/>
    </w:rPr>
  </w:style>
  <w:style w:type="character" w:styleId="55">
    <w:name w:val="annotation reference"/>
    <w:uiPriority w:val="0"/>
    <w:rPr>
      <w:sz w:val="21"/>
      <w:szCs w:val="21"/>
    </w:rPr>
  </w:style>
  <w:style w:type="character" w:styleId="56">
    <w:name w:val="footnote reference"/>
    <w:semiHidden/>
    <w:uiPriority w:val="0"/>
    <w:rPr>
      <w:rFonts w:ascii="宋体" w:hAnsi="宋体" w:eastAsia="宋体" w:cs="Times New Roman"/>
      <w:spacing w:val="0"/>
      <w:sz w:val="18"/>
      <w:vertAlign w:val="superscript"/>
    </w:rPr>
  </w:style>
  <w:style w:type="character" w:customStyle="1" w:styleId="57">
    <w:name w:val="标题 1 Char"/>
    <w:link w:val="2"/>
    <w:uiPriority w:val="0"/>
    <w:rPr>
      <w:b/>
      <w:bCs/>
      <w:kern w:val="44"/>
      <w:sz w:val="44"/>
      <w:szCs w:val="44"/>
    </w:rPr>
  </w:style>
  <w:style w:type="character" w:customStyle="1" w:styleId="58">
    <w:name w:val="标题 2 Char"/>
    <w:link w:val="3"/>
    <w:qFormat/>
    <w:uiPriority w:val="0"/>
    <w:rPr>
      <w:rFonts w:ascii="Arial" w:hAnsi="Arial" w:eastAsia="黑体"/>
      <w:b/>
      <w:bCs/>
      <w:kern w:val="2"/>
      <w:sz w:val="32"/>
      <w:szCs w:val="32"/>
    </w:rPr>
  </w:style>
  <w:style w:type="character" w:customStyle="1" w:styleId="59">
    <w:name w:val="标题 3 Char"/>
    <w:link w:val="4"/>
    <w:qFormat/>
    <w:uiPriority w:val="0"/>
    <w:rPr>
      <w:b/>
      <w:bCs/>
      <w:kern w:val="2"/>
      <w:sz w:val="32"/>
      <w:szCs w:val="32"/>
    </w:rPr>
  </w:style>
  <w:style w:type="character" w:customStyle="1" w:styleId="60">
    <w:name w:val="标题 4 Char"/>
    <w:link w:val="5"/>
    <w:qFormat/>
    <w:uiPriority w:val="0"/>
    <w:rPr>
      <w:rFonts w:ascii="Arial" w:hAnsi="Arial" w:eastAsia="黑体"/>
      <w:b/>
      <w:bCs/>
      <w:kern w:val="2"/>
      <w:sz w:val="28"/>
      <w:szCs w:val="28"/>
    </w:rPr>
  </w:style>
  <w:style w:type="character" w:customStyle="1" w:styleId="61">
    <w:name w:val="标题 5 Char"/>
    <w:link w:val="6"/>
    <w:uiPriority w:val="0"/>
    <w:rPr>
      <w:b/>
      <w:bCs/>
      <w:kern w:val="2"/>
      <w:sz w:val="28"/>
      <w:szCs w:val="28"/>
    </w:rPr>
  </w:style>
  <w:style w:type="character" w:customStyle="1" w:styleId="62">
    <w:name w:val="标题 6 Char"/>
    <w:link w:val="7"/>
    <w:qFormat/>
    <w:uiPriority w:val="0"/>
    <w:rPr>
      <w:rFonts w:ascii="Arial" w:hAnsi="Arial" w:eastAsia="黑体"/>
      <w:b/>
      <w:bCs/>
      <w:kern w:val="2"/>
      <w:sz w:val="24"/>
      <w:szCs w:val="24"/>
    </w:rPr>
  </w:style>
  <w:style w:type="character" w:customStyle="1" w:styleId="63">
    <w:name w:val="标题 7 Char"/>
    <w:link w:val="8"/>
    <w:qFormat/>
    <w:uiPriority w:val="0"/>
    <w:rPr>
      <w:b/>
      <w:bCs/>
      <w:kern w:val="2"/>
      <w:sz w:val="24"/>
      <w:szCs w:val="24"/>
    </w:rPr>
  </w:style>
  <w:style w:type="character" w:customStyle="1" w:styleId="64">
    <w:name w:val="标题 8 Char"/>
    <w:link w:val="9"/>
    <w:uiPriority w:val="0"/>
    <w:rPr>
      <w:rFonts w:ascii="Arial" w:hAnsi="Arial" w:eastAsia="黑体"/>
      <w:kern w:val="2"/>
      <w:sz w:val="24"/>
      <w:szCs w:val="24"/>
    </w:rPr>
  </w:style>
  <w:style w:type="character" w:customStyle="1" w:styleId="65">
    <w:name w:val="标题 9 Char"/>
    <w:link w:val="10"/>
    <w:uiPriority w:val="0"/>
    <w:rPr>
      <w:rFonts w:ascii="Arial" w:hAnsi="Arial" w:eastAsia="黑体"/>
      <w:kern w:val="2"/>
      <w:sz w:val="21"/>
      <w:szCs w:val="21"/>
    </w:rPr>
  </w:style>
  <w:style w:type="character" w:customStyle="1" w:styleId="66">
    <w:name w:val="页眉 Char"/>
    <w:link w:val="29"/>
    <w:uiPriority w:val="99"/>
    <w:rPr>
      <w:kern w:val="2"/>
      <w:sz w:val="18"/>
      <w:szCs w:val="18"/>
    </w:rPr>
  </w:style>
  <w:style w:type="character" w:customStyle="1" w:styleId="67">
    <w:name w:val="页脚 Char"/>
    <w:link w:val="28"/>
    <w:qFormat/>
    <w:uiPriority w:val="99"/>
    <w:rPr>
      <w:rFonts w:ascii="宋体"/>
      <w:kern w:val="2"/>
      <w:sz w:val="18"/>
      <w:szCs w:val="18"/>
    </w:rPr>
  </w:style>
  <w:style w:type="character" w:customStyle="1" w:styleId="68">
    <w:name w:val="批注框文本 Char"/>
    <w:link w:val="27"/>
    <w:qFormat/>
    <w:uiPriority w:val="0"/>
    <w:rPr>
      <w:kern w:val="2"/>
      <w:sz w:val="18"/>
      <w:szCs w:val="18"/>
    </w:rPr>
  </w:style>
  <w:style w:type="paragraph" w:styleId="69">
    <w:name w:val="Quote"/>
    <w:basedOn w:val="1"/>
    <w:next w:val="1"/>
    <w:link w:val="70"/>
    <w:qFormat/>
    <w:uiPriority w:val="29"/>
    <w:rPr>
      <w:i/>
      <w:iCs/>
      <w:color w:val="000000"/>
    </w:rPr>
  </w:style>
  <w:style w:type="character" w:customStyle="1" w:styleId="70">
    <w:name w:val="引用 Char"/>
    <w:link w:val="69"/>
    <w:qFormat/>
    <w:uiPriority w:val="29"/>
    <w:rPr>
      <w:i/>
      <w:iCs/>
      <w:color w:val="000000"/>
      <w:kern w:val="2"/>
      <w:sz w:val="21"/>
      <w:szCs w:val="21"/>
    </w:rPr>
  </w:style>
  <w:style w:type="character" w:customStyle="1" w:styleId="71">
    <w:name w:val="标题 Char"/>
    <w:link w:val="43"/>
    <w:qFormat/>
    <w:uiPriority w:val="0"/>
    <w:rPr>
      <w:rFonts w:ascii="Arial" w:hAnsi="Arial" w:cs="Arial"/>
      <w:b/>
      <w:bCs/>
      <w:kern w:val="2"/>
      <w:sz w:val="32"/>
      <w:szCs w:val="32"/>
    </w:rPr>
  </w:style>
  <w:style w:type="paragraph" w:customStyle="1" w:styleId="7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7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7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6">
    <w:name w:val="标准书眉一"/>
    <w:qFormat/>
    <w:uiPriority w:val="0"/>
    <w:pPr>
      <w:jc w:val="both"/>
    </w:pPr>
    <w:rPr>
      <w:rFonts w:ascii="Times New Roman" w:hAnsi="Times New Roman" w:eastAsia="宋体" w:cs="Times New Roman"/>
      <w:lang w:val="en-US" w:eastAsia="zh-CN" w:bidi="ar-SA"/>
    </w:rPr>
  </w:style>
  <w:style w:type="paragraph" w:customStyle="1" w:styleId="77">
    <w:name w:val="标准文件_ICS"/>
    <w:basedOn w:val="1"/>
    <w:qFormat/>
    <w:uiPriority w:val="0"/>
    <w:pPr>
      <w:spacing w:line="0" w:lineRule="atLeast"/>
    </w:pPr>
    <w:rPr>
      <w:rFonts w:ascii="黑体" w:hAnsi="宋体" w:eastAsia="黑体"/>
    </w:rPr>
  </w:style>
  <w:style w:type="paragraph" w:customStyle="1" w:styleId="78">
    <w:name w:val="标准文件_标准正文"/>
    <w:basedOn w:val="1"/>
    <w:next w:val="79"/>
    <w:qFormat/>
    <w:uiPriority w:val="0"/>
    <w:pPr>
      <w:snapToGrid w:val="0"/>
      <w:ind w:firstLine="200" w:firstLineChars="200"/>
    </w:pPr>
    <w:rPr>
      <w:kern w:val="0"/>
    </w:rPr>
  </w:style>
  <w:style w:type="paragraph" w:customStyle="1" w:styleId="79">
    <w:name w:val="标准文件_段"/>
    <w:link w:val="20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80">
    <w:name w:val="标准文件_版本"/>
    <w:basedOn w:val="78"/>
    <w:qFormat/>
    <w:uiPriority w:val="0"/>
    <w:pPr>
      <w:adjustRightInd/>
      <w:snapToGrid/>
      <w:ind w:firstLine="0" w:firstLineChars="0"/>
    </w:pPr>
    <w:rPr>
      <w:rFonts w:ascii="宋体" w:hAnsi="宋体"/>
      <w:kern w:val="2"/>
    </w:rPr>
  </w:style>
  <w:style w:type="paragraph" w:customStyle="1" w:styleId="81">
    <w:name w:val="标准文件_标准部门"/>
    <w:basedOn w:val="1"/>
    <w:qFormat/>
    <w:uiPriority w:val="0"/>
    <w:pPr>
      <w:jc w:val="center"/>
    </w:pPr>
    <w:rPr>
      <w:rFonts w:ascii="黑体" w:eastAsia="黑体"/>
      <w:kern w:val="0"/>
      <w:sz w:val="44"/>
    </w:rPr>
  </w:style>
  <w:style w:type="paragraph" w:customStyle="1" w:styleId="82">
    <w:name w:val="标准文件_标准代替"/>
    <w:basedOn w:val="1"/>
    <w:next w:val="1"/>
    <w:qFormat/>
    <w:uiPriority w:val="0"/>
    <w:pPr>
      <w:spacing w:line="310" w:lineRule="exact"/>
      <w:jc w:val="right"/>
    </w:pPr>
    <w:rPr>
      <w:rFonts w:ascii="宋体" w:hAnsi="宋体"/>
      <w:kern w:val="0"/>
    </w:rPr>
  </w:style>
  <w:style w:type="paragraph" w:customStyle="1" w:styleId="8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8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85">
    <w:name w:val="标准文件_页眉偶数页"/>
    <w:basedOn w:val="84"/>
    <w:next w:val="1"/>
    <w:qFormat/>
    <w:uiPriority w:val="0"/>
    <w:pPr>
      <w:jc w:val="left"/>
    </w:pPr>
  </w:style>
  <w:style w:type="paragraph" w:customStyle="1" w:styleId="86">
    <w:name w:val="标准文件_参考文献标题"/>
    <w:basedOn w:val="1"/>
    <w:next w:val="1"/>
    <w:qFormat/>
    <w:uiPriority w:val="0"/>
    <w:pPr>
      <w:widowControl/>
      <w:shd w:val="clear" w:color="FFFFFF" w:fill="FFFFFF"/>
      <w:adjustRightInd/>
      <w:spacing w:before="580" w:afterLines="50" w:line="240" w:lineRule="auto"/>
      <w:jc w:val="center"/>
      <w:outlineLvl w:val="0"/>
    </w:pPr>
    <w:rPr>
      <w:rFonts w:ascii="黑体" w:eastAsia="黑体"/>
      <w:kern w:val="0"/>
    </w:rPr>
  </w:style>
  <w:style w:type="paragraph" w:customStyle="1" w:styleId="8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88">
    <w:name w:val="标准文件_二级条标题"/>
    <w:next w:val="79"/>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89">
    <w:name w:val="标准文件_发布"/>
    <w:qFormat/>
    <w:uiPriority w:val="0"/>
    <w:rPr>
      <w:rFonts w:ascii="黑体" w:eastAsia="黑体"/>
      <w:spacing w:val="0"/>
      <w:w w:val="100"/>
      <w:position w:val="3"/>
      <w:sz w:val="28"/>
    </w:rPr>
  </w:style>
  <w:style w:type="paragraph" w:customStyle="1" w:styleId="90">
    <w:name w:val="标准文件_方框数字列项"/>
    <w:basedOn w:val="79"/>
    <w:qFormat/>
    <w:uiPriority w:val="0"/>
    <w:pPr>
      <w:numPr>
        <w:ilvl w:val="0"/>
        <w:numId w:val="3"/>
      </w:numPr>
      <w:ind w:firstLine="0" w:firstLineChars="0"/>
    </w:pPr>
  </w:style>
  <w:style w:type="paragraph" w:customStyle="1" w:styleId="91">
    <w:name w:val="标准文件_封面标准编号"/>
    <w:basedOn w:val="1"/>
    <w:next w:val="82"/>
    <w:qFormat/>
    <w:uiPriority w:val="0"/>
    <w:pPr>
      <w:spacing w:line="310" w:lineRule="exact"/>
      <w:jc w:val="right"/>
    </w:pPr>
    <w:rPr>
      <w:rFonts w:ascii="黑体" w:eastAsia="黑体"/>
      <w:kern w:val="0"/>
      <w:sz w:val="28"/>
    </w:rPr>
  </w:style>
  <w:style w:type="paragraph" w:customStyle="1" w:styleId="92">
    <w:name w:val="标准文件_封面标准分类号"/>
    <w:basedOn w:val="1"/>
    <w:qFormat/>
    <w:uiPriority w:val="0"/>
    <w:rPr>
      <w:rFonts w:ascii="黑体" w:eastAsia="黑体"/>
      <w:b/>
      <w:kern w:val="0"/>
      <w:sz w:val="28"/>
    </w:rPr>
  </w:style>
  <w:style w:type="paragraph" w:customStyle="1" w:styleId="93">
    <w:name w:val="标准文件_封面标准名称"/>
    <w:basedOn w:val="1"/>
    <w:qFormat/>
    <w:uiPriority w:val="0"/>
    <w:pPr>
      <w:spacing w:line="240" w:lineRule="auto"/>
      <w:jc w:val="center"/>
    </w:pPr>
    <w:rPr>
      <w:rFonts w:ascii="黑体" w:eastAsia="黑体"/>
      <w:kern w:val="0"/>
      <w:sz w:val="52"/>
    </w:rPr>
  </w:style>
  <w:style w:type="paragraph" w:customStyle="1" w:styleId="94">
    <w:name w:val="标准文件_封面标准英文名称"/>
    <w:basedOn w:val="1"/>
    <w:qFormat/>
    <w:uiPriority w:val="0"/>
    <w:pPr>
      <w:spacing w:line="240" w:lineRule="auto"/>
      <w:jc w:val="center"/>
    </w:pPr>
    <w:rPr>
      <w:rFonts w:ascii="黑体" w:eastAsia="黑体"/>
      <w:b/>
      <w:sz w:val="28"/>
    </w:rPr>
  </w:style>
  <w:style w:type="paragraph" w:customStyle="1" w:styleId="95">
    <w:name w:val="标准文件_封面发布日期"/>
    <w:basedOn w:val="1"/>
    <w:qFormat/>
    <w:uiPriority w:val="0"/>
    <w:pPr>
      <w:spacing w:line="310" w:lineRule="exact"/>
    </w:pPr>
    <w:rPr>
      <w:rFonts w:ascii="黑体" w:eastAsia="黑体"/>
      <w:kern w:val="0"/>
      <w:sz w:val="28"/>
    </w:rPr>
  </w:style>
  <w:style w:type="paragraph" w:customStyle="1" w:styleId="96">
    <w:name w:val="标准文件_封面密级"/>
    <w:basedOn w:val="1"/>
    <w:qFormat/>
    <w:uiPriority w:val="0"/>
    <w:rPr>
      <w:rFonts w:eastAsia="黑体"/>
      <w:sz w:val="32"/>
    </w:rPr>
  </w:style>
  <w:style w:type="paragraph" w:customStyle="1" w:styleId="97">
    <w:name w:val="标准文件_封面实施日期"/>
    <w:basedOn w:val="1"/>
    <w:qFormat/>
    <w:uiPriority w:val="0"/>
    <w:pPr>
      <w:spacing w:line="310" w:lineRule="exact"/>
      <w:jc w:val="right"/>
    </w:pPr>
    <w:rPr>
      <w:rFonts w:ascii="黑体" w:eastAsia="黑体"/>
      <w:sz w:val="28"/>
    </w:rPr>
  </w:style>
  <w:style w:type="paragraph" w:customStyle="1" w:styleId="98">
    <w:name w:val="标准文件_封面抬头"/>
    <w:basedOn w:val="79"/>
    <w:qFormat/>
    <w:uiPriority w:val="0"/>
    <w:pPr>
      <w:adjustRightInd w:val="0"/>
      <w:spacing w:line="800" w:lineRule="exact"/>
      <w:ind w:firstLine="0" w:firstLineChars="0"/>
      <w:jc w:val="distribute"/>
    </w:pPr>
    <w:rPr>
      <w:rFonts w:ascii="黑体" w:eastAsia="黑体"/>
      <w:b/>
      <w:sz w:val="64"/>
    </w:rPr>
  </w:style>
  <w:style w:type="paragraph" w:customStyle="1" w:styleId="99">
    <w:name w:val="标准文件_附录标识"/>
    <w:next w:val="79"/>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100">
    <w:name w:val="标准文件_附录表标题"/>
    <w:next w:val="79"/>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101">
    <w:name w:val="标准文件_附录一级条标题"/>
    <w:next w:val="79"/>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102">
    <w:name w:val="标准文件_附录二级条标题"/>
    <w:basedOn w:val="101"/>
    <w:next w:val="79"/>
    <w:uiPriority w:val="0"/>
    <w:pPr>
      <w:widowControl/>
      <w:numPr>
        <w:ilvl w:val="2"/>
      </w:numPr>
      <w:wordWrap w:val="0"/>
      <w:overflowPunct w:val="0"/>
      <w:autoSpaceDE w:val="0"/>
      <w:autoSpaceDN w:val="0"/>
      <w:textAlignment w:val="baseline"/>
      <w:outlineLvl w:val="3"/>
    </w:pPr>
  </w:style>
  <w:style w:type="paragraph" w:customStyle="1" w:styleId="103">
    <w:name w:val="标准文件_附录公式"/>
    <w:basedOn w:val="78"/>
    <w:next w:val="7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104">
    <w:name w:val="标准文件_附录三级条标题"/>
    <w:next w:val="79"/>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105">
    <w:name w:val="标准文件_附录四级条标题"/>
    <w:next w:val="79"/>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106">
    <w:name w:val="标准文件_附录图标题"/>
    <w:next w:val="79"/>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107">
    <w:name w:val="标准文件_附录五级条标题"/>
    <w:next w:val="79"/>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108">
    <w:name w:val="标准文件_附录英文标识"/>
    <w:next w:val="19"/>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109">
    <w:name w:val="正文文本 Char"/>
    <w:link w:val="19"/>
    <w:qFormat/>
    <w:uiPriority w:val="0"/>
    <w:rPr>
      <w:kern w:val="2"/>
      <w:sz w:val="21"/>
      <w:szCs w:val="21"/>
    </w:rPr>
  </w:style>
  <w:style w:type="paragraph" w:customStyle="1" w:styleId="110">
    <w:name w:val="标准文件_附录章标题"/>
    <w:next w:val="7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11">
    <w:name w:val="标准文件_公式后的破折号"/>
    <w:basedOn w:val="79"/>
    <w:next w:val="79"/>
    <w:qFormat/>
    <w:uiPriority w:val="0"/>
    <w:pPr>
      <w:ind w:left="488" w:leftChars="200" w:hanging="289" w:hangingChars="290"/>
    </w:pPr>
  </w:style>
  <w:style w:type="paragraph" w:customStyle="1" w:styleId="112">
    <w:name w:val="标准文件_前言、引言标题"/>
    <w:next w:val="1"/>
    <w:uiPriority w:val="0"/>
    <w:pPr>
      <w:numPr>
        <w:ilvl w:val="0"/>
        <w:numId w:val="8"/>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113">
    <w:name w:val="标准文件_目次、标准名称标题"/>
    <w:basedOn w:val="112"/>
    <w:next w:val="79"/>
    <w:uiPriority w:val="0"/>
    <w:pPr>
      <w:spacing w:line="460" w:lineRule="exact"/>
      <w:ind w:left="0" w:firstLine="0"/>
    </w:pPr>
  </w:style>
  <w:style w:type="paragraph" w:customStyle="1" w:styleId="114">
    <w:name w:val="标准文件_目录标题"/>
    <w:basedOn w:val="1"/>
    <w:qFormat/>
    <w:uiPriority w:val="0"/>
    <w:pPr>
      <w:spacing w:before="480" w:afterLines="150" w:line="240" w:lineRule="auto"/>
      <w:jc w:val="center"/>
    </w:pPr>
    <w:rPr>
      <w:rFonts w:ascii="黑体" w:eastAsia="黑体"/>
      <w:sz w:val="32"/>
    </w:rPr>
  </w:style>
  <w:style w:type="paragraph" w:customStyle="1" w:styleId="11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116">
    <w:name w:val="标准文件_破折号列项（二级）"/>
    <w:basedOn w:val="115"/>
    <w:qFormat/>
    <w:uiPriority w:val="0"/>
    <w:pPr>
      <w:numPr>
        <w:numId w:val="10"/>
      </w:numPr>
    </w:pPr>
  </w:style>
  <w:style w:type="paragraph" w:customStyle="1" w:styleId="117">
    <w:name w:val="标准文件_三级条标题"/>
    <w:basedOn w:val="88"/>
    <w:next w:val="79"/>
    <w:qFormat/>
    <w:uiPriority w:val="0"/>
    <w:pPr>
      <w:widowControl/>
      <w:numPr>
        <w:ilvl w:val="4"/>
      </w:numPr>
      <w:outlineLvl w:val="3"/>
    </w:pPr>
  </w:style>
  <w:style w:type="character" w:customStyle="1" w:styleId="118">
    <w:name w:val="不明显参考1"/>
    <w:qFormat/>
    <w:uiPriority w:val="31"/>
    <w:rPr>
      <w:smallCaps/>
      <w:color w:val="C0504D"/>
      <w:u w:val="single"/>
    </w:rPr>
  </w:style>
  <w:style w:type="paragraph" w:customStyle="1" w:styleId="119">
    <w:name w:val="标准文件_示例后续"/>
    <w:basedOn w:val="1"/>
    <w:qFormat/>
    <w:uiPriority w:val="0"/>
    <w:pPr>
      <w:adjustRightInd/>
      <w:spacing w:line="240" w:lineRule="auto"/>
      <w:ind w:firstLine="200" w:firstLineChars="200"/>
    </w:pPr>
    <w:rPr>
      <w:sz w:val="18"/>
      <w:szCs w:val="24"/>
    </w:rPr>
  </w:style>
  <w:style w:type="paragraph" w:customStyle="1" w:styleId="12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21">
    <w:name w:val="标准文件_四级条标题"/>
    <w:next w:val="79"/>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22">
    <w:name w:val="脚注文本 Char"/>
    <w:link w:val="34"/>
    <w:semiHidden/>
    <w:qFormat/>
    <w:uiPriority w:val="0"/>
    <w:rPr>
      <w:rFonts w:ascii="宋体"/>
      <w:kern w:val="2"/>
      <w:sz w:val="18"/>
      <w:szCs w:val="18"/>
    </w:rPr>
  </w:style>
  <w:style w:type="paragraph" w:customStyle="1" w:styleId="123">
    <w:name w:val="标准文件_条文脚注"/>
    <w:basedOn w:val="34"/>
    <w:uiPriority w:val="0"/>
    <w:pPr>
      <w:adjustRightInd w:val="0"/>
      <w:spacing w:line="240" w:lineRule="auto"/>
      <w:ind w:left="0" w:leftChars="0" w:firstLine="200" w:firstLineChars="200"/>
      <w:jc w:val="both"/>
    </w:pPr>
    <w:rPr>
      <w:rFonts w:hAnsi="宋体"/>
    </w:rPr>
  </w:style>
  <w:style w:type="paragraph" w:customStyle="1" w:styleId="124">
    <w:name w:val="标准文件_图表脚注"/>
    <w:basedOn w:val="1"/>
    <w:next w:val="79"/>
    <w:uiPriority w:val="0"/>
    <w:pPr>
      <w:numPr>
        <w:ilvl w:val="0"/>
        <w:numId w:val="12"/>
      </w:numPr>
      <w:spacing w:line="240" w:lineRule="auto"/>
      <w:jc w:val="left"/>
    </w:pPr>
    <w:rPr>
      <w:rFonts w:ascii="宋体" w:hAnsi="宋体"/>
      <w:sz w:val="18"/>
    </w:rPr>
  </w:style>
  <w:style w:type="character" w:customStyle="1" w:styleId="125">
    <w:name w:val="标准文件_图表脚注内容"/>
    <w:qFormat/>
    <w:uiPriority w:val="0"/>
    <w:rPr>
      <w:rFonts w:ascii="宋体" w:hAnsi="宋体" w:eastAsia="宋体" w:cs="Times New Roman"/>
      <w:spacing w:val="0"/>
      <w:sz w:val="18"/>
      <w:vertAlign w:val="superscript"/>
    </w:rPr>
  </w:style>
  <w:style w:type="paragraph" w:customStyle="1" w:styleId="126">
    <w:name w:val="标准文件_五级条标题"/>
    <w:next w:val="79"/>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27">
    <w:name w:val="标准文件_章标题"/>
    <w:next w:val="79"/>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28">
    <w:name w:val="标准文件_一级条标题"/>
    <w:basedOn w:val="127"/>
    <w:next w:val="79"/>
    <w:qFormat/>
    <w:uiPriority w:val="0"/>
    <w:pPr>
      <w:numPr>
        <w:ilvl w:val="2"/>
      </w:numPr>
      <w:spacing w:beforeLines="50" w:afterLines="50"/>
      <w:outlineLvl w:val="1"/>
    </w:pPr>
  </w:style>
  <w:style w:type="paragraph" w:customStyle="1" w:styleId="129">
    <w:name w:val="标准文件_一致程度"/>
    <w:basedOn w:val="1"/>
    <w:qFormat/>
    <w:uiPriority w:val="0"/>
    <w:pPr>
      <w:spacing w:line="440" w:lineRule="exact"/>
      <w:jc w:val="center"/>
    </w:pPr>
    <w:rPr>
      <w:sz w:val="28"/>
    </w:rPr>
  </w:style>
  <w:style w:type="paragraph" w:customStyle="1" w:styleId="13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31">
    <w:name w:val="标准文件_英文图表脚注"/>
    <w:basedOn w:val="78"/>
    <w:qFormat/>
    <w:uiPriority w:val="0"/>
    <w:pPr>
      <w:widowControl/>
      <w:adjustRightInd/>
      <w:snapToGrid/>
      <w:spacing w:line="240" w:lineRule="auto"/>
      <w:ind w:left="79" w:hanging="79" w:hangingChars="80"/>
    </w:pPr>
    <w:rPr>
      <w:rFonts w:ascii="宋体" w:hAnsi="宋体"/>
    </w:rPr>
  </w:style>
  <w:style w:type="paragraph" w:customStyle="1" w:styleId="132">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33">
    <w:name w:val="标准文件_英文注："/>
    <w:basedOn w:val="1"/>
    <w:next w:val="7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3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35">
    <w:name w:val="标准文件_正文表标题"/>
    <w:next w:val="79"/>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36">
    <w:name w:val="标准文件_正文公式"/>
    <w:basedOn w:val="1"/>
    <w:next w:val="78"/>
    <w:uiPriority w:val="0"/>
    <w:pPr>
      <w:tabs>
        <w:tab w:val="center" w:pos="4678"/>
        <w:tab w:val="right" w:leader="middleDot" w:pos="9356"/>
      </w:tabs>
      <w:spacing w:line="240" w:lineRule="auto"/>
    </w:pPr>
    <w:rPr>
      <w:rFonts w:ascii="宋体" w:hAnsi="宋体"/>
    </w:rPr>
  </w:style>
  <w:style w:type="paragraph" w:customStyle="1" w:styleId="137">
    <w:name w:val="标准文件_正文图标题"/>
    <w:next w:val="79"/>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38">
    <w:name w:val="标准文件_正文英文表标题"/>
    <w:next w:val="7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39">
    <w:name w:val="标准文件_正文英文图标题"/>
    <w:next w:val="7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40">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4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42">
    <w:name w:val="发布部门"/>
    <w:next w:val="7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4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44">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4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6">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147">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148">
    <w:name w:val="封面标准英文名称"/>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4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50">
    <w:name w:val="封面正文"/>
    <w:qFormat/>
    <w:uiPriority w:val="0"/>
    <w:pPr>
      <w:jc w:val="both"/>
    </w:pPr>
    <w:rPr>
      <w:rFonts w:ascii="Times New Roman" w:hAnsi="Times New Roman" w:eastAsia="宋体" w:cs="Times New Roman"/>
      <w:lang w:val="en-US" w:eastAsia="zh-CN" w:bidi="ar-SA"/>
    </w:rPr>
  </w:style>
  <w:style w:type="paragraph" w:customStyle="1" w:styleId="151">
    <w:name w:val="附录二级无标题条"/>
    <w:basedOn w:val="1"/>
    <w:next w:val="7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52">
    <w:name w:val="附录三级无标题条"/>
    <w:basedOn w:val="151"/>
    <w:next w:val="79"/>
    <w:qFormat/>
    <w:uiPriority w:val="0"/>
    <w:pPr>
      <w:outlineLvl w:val="4"/>
    </w:pPr>
  </w:style>
  <w:style w:type="paragraph" w:customStyle="1" w:styleId="153">
    <w:name w:val="附录四级无标题条"/>
    <w:basedOn w:val="152"/>
    <w:next w:val="79"/>
    <w:qFormat/>
    <w:uiPriority w:val="0"/>
    <w:pPr>
      <w:outlineLvl w:val="5"/>
    </w:pPr>
  </w:style>
  <w:style w:type="paragraph" w:customStyle="1" w:styleId="154">
    <w:name w:val="附录图"/>
    <w:next w:val="79"/>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5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56">
    <w:name w:val="附录五级无标题条"/>
    <w:basedOn w:val="153"/>
    <w:next w:val="79"/>
    <w:qFormat/>
    <w:uiPriority w:val="0"/>
    <w:pPr>
      <w:outlineLvl w:val="6"/>
    </w:pPr>
  </w:style>
  <w:style w:type="paragraph" w:customStyle="1" w:styleId="157">
    <w:name w:val="附录性质"/>
    <w:basedOn w:val="1"/>
    <w:qFormat/>
    <w:uiPriority w:val="0"/>
    <w:pPr>
      <w:widowControl/>
      <w:adjustRightInd/>
      <w:jc w:val="center"/>
    </w:pPr>
    <w:rPr>
      <w:rFonts w:ascii="黑体" w:eastAsia="黑体"/>
    </w:rPr>
  </w:style>
  <w:style w:type="paragraph" w:customStyle="1" w:styleId="158">
    <w:name w:val="附录一级无标题条"/>
    <w:basedOn w:val="110"/>
    <w:next w:val="79"/>
    <w:uiPriority w:val="0"/>
    <w:pPr>
      <w:autoSpaceDN w:val="0"/>
      <w:outlineLvl w:val="2"/>
    </w:pPr>
    <w:rPr>
      <w:rFonts w:ascii="宋体" w:hAnsi="宋体" w:eastAsia="宋体"/>
    </w:rPr>
  </w:style>
  <w:style w:type="character" w:customStyle="1" w:styleId="159">
    <w:name w:val="个人答复风格"/>
    <w:uiPriority w:val="0"/>
    <w:rPr>
      <w:rFonts w:ascii="Arial" w:hAnsi="Arial" w:eastAsia="宋体" w:cs="Arial"/>
      <w:color w:val="auto"/>
      <w:spacing w:val="0"/>
      <w:sz w:val="20"/>
    </w:rPr>
  </w:style>
  <w:style w:type="character" w:customStyle="1" w:styleId="160">
    <w:name w:val="个人撰写风格"/>
    <w:qFormat/>
    <w:uiPriority w:val="0"/>
    <w:rPr>
      <w:rFonts w:ascii="Arial" w:hAnsi="Arial" w:eastAsia="宋体" w:cs="Arial"/>
      <w:color w:val="auto"/>
      <w:spacing w:val="0"/>
      <w:sz w:val="20"/>
    </w:rPr>
  </w:style>
  <w:style w:type="paragraph" w:customStyle="1" w:styleId="16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6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63">
    <w:name w:val="列项·"/>
    <w:basedOn w:val="79"/>
    <w:qFormat/>
    <w:uiPriority w:val="0"/>
    <w:pPr>
      <w:tabs>
        <w:tab w:val="left" w:pos="840"/>
      </w:tabs>
    </w:pPr>
  </w:style>
  <w:style w:type="paragraph" w:customStyle="1" w:styleId="16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65">
    <w:name w:val="目录 21"/>
    <w:basedOn w:val="1"/>
    <w:next w:val="1"/>
    <w:semiHidden/>
    <w:qFormat/>
    <w:uiPriority w:val="0"/>
    <w:pPr>
      <w:adjustRightInd/>
      <w:spacing w:line="240" w:lineRule="auto"/>
      <w:jc w:val="left"/>
    </w:pPr>
    <w:rPr>
      <w:bCs/>
      <w:iCs/>
    </w:rPr>
  </w:style>
  <w:style w:type="paragraph" w:customStyle="1" w:styleId="166">
    <w:name w:val="目录 31"/>
    <w:basedOn w:val="1"/>
    <w:next w:val="1"/>
    <w:semiHidden/>
    <w:qFormat/>
    <w:uiPriority w:val="0"/>
    <w:pPr>
      <w:spacing w:line="240" w:lineRule="auto"/>
    </w:pPr>
    <w:rPr>
      <w:rFonts w:ascii="宋体" w:hAnsi="宋体"/>
      <w:iCs/>
    </w:rPr>
  </w:style>
  <w:style w:type="paragraph" w:customStyle="1" w:styleId="167">
    <w:name w:val="目录 41"/>
    <w:basedOn w:val="1"/>
    <w:next w:val="1"/>
    <w:semiHidden/>
    <w:qFormat/>
    <w:uiPriority w:val="0"/>
    <w:pPr>
      <w:adjustRightInd/>
      <w:spacing w:line="240" w:lineRule="auto"/>
      <w:jc w:val="left"/>
    </w:pPr>
  </w:style>
  <w:style w:type="paragraph" w:customStyle="1" w:styleId="168">
    <w:name w:val="目录 51"/>
    <w:basedOn w:val="1"/>
    <w:next w:val="1"/>
    <w:semiHidden/>
    <w:qFormat/>
    <w:uiPriority w:val="0"/>
    <w:pPr>
      <w:spacing w:line="240" w:lineRule="auto"/>
    </w:pPr>
    <w:rPr>
      <w:rFonts w:ascii="宋体" w:hAnsi="宋体"/>
    </w:rPr>
  </w:style>
  <w:style w:type="paragraph" w:customStyle="1" w:styleId="169">
    <w:name w:val="目录 61"/>
    <w:basedOn w:val="1"/>
    <w:next w:val="1"/>
    <w:semiHidden/>
    <w:uiPriority w:val="0"/>
    <w:pPr>
      <w:adjustRightInd/>
      <w:spacing w:line="240" w:lineRule="auto"/>
      <w:jc w:val="left"/>
    </w:pPr>
  </w:style>
  <w:style w:type="paragraph" w:customStyle="1" w:styleId="170">
    <w:name w:val="目录 71"/>
    <w:basedOn w:val="169"/>
    <w:semiHidden/>
    <w:uiPriority w:val="0"/>
    <w:pPr>
      <w:ind w:left="1260"/>
    </w:pPr>
  </w:style>
  <w:style w:type="paragraph" w:customStyle="1" w:styleId="171">
    <w:name w:val="目录 81"/>
    <w:basedOn w:val="170"/>
    <w:semiHidden/>
    <w:qFormat/>
    <w:uiPriority w:val="0"/>
    <w:pPr>
      <w:ind w:left="1470"/>
    </w:pPr>
  </w:style>
  <w:style w:type="paragraph" w:customStyle="1" w:styleId="172">
    <w:name w:val="目录 91"/>
    <w:basedOn w:val="171"/>
    <w:semiHidden/>
    <w:qFormat/>
    <w:uiPriority w:val="0"/>
    <w:pPr>
      <w:ind w:left="1680"/>
    </w:pPr>
  </w:style>
  <w:style w:type="paragraph" w:customStyle="1" w:styleId="17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74">
    <w:name w:val="其他发布部门"/>
    <w:basedOn w:val="142"/>
    <w:qFormat/>
    <w:uiPriority w:val="0"/>
    <w:pPr>
      <w:framePr/>
      <w:spacing w:line="0" w:lineRule="atLeast"/>
    </w:pPr>
    <w:rPr>
      <w:rFonts w:ascii="黑体" w:eastAsia="黑体"/>
      <w:b w:val="0"/>
    </w:rPr>
  </w:style>
  <w:style w:type="paragraph" w:customStyle="1" w:styleId="17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7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77">
    <w:name w:val="实施日期"/>
    <w:basedOn w:val="143"/>
    <w:qFormat/>
    <w:uiPriority w:val="0"/>
    <w:pPr>
      <w:framePr w:hSpace="0" w:xAlign="right"/>
      <w:jc w:val="right"/>
    </w:pPr>
  </w:style>
  <w:style w:type="paragraph" w:customStyle="1" w:styleId="17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7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80">
    <w:name w:val="无标题条"/>
    <w:next w:val="79"/>
    <w:qFormat/>
    <w:uiPriority w:val="0"/>
    <w:pPr>
      <w:jc w:val="both"/>
    </w:pPr>
    <w:rPr>
      <w:rFonts w:ascii="宋体" w:hAnsi="宋体" w:eastAsia="宋体" w:cs="Times New Roman"/>
      <w:sz w:val="21"/>
      <w:lang w:val="en-US" w:eastAsia="zh-CN" w:bidi="ar-SA"/>
    </w:rPr>
  </w:style>
  <w:style w:type="paragraph" w:customStyle="1" w:styleId="181">
    <w:name w:val="五级无标题条"/>
    <w:basedOn w:val="1"/>
    <w:uiPriority w:val="0"/>
    <w:pPr>
      <w:numPr>
        <w:ilvl w:val="6"/>
        <w:numId w:val="20"/>
      </w:numPr>
      <w:adjustRightInd/>
    </w:pPr>
    <w:rPr>
      <w:szCs w:val="24"/>
    </w:rPr>
  </w:style>
  <w:style w:type="paragraph" w:customStyle="1" w:styleId="182">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8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84">
    <w:name w:val="注×:后续"/>
    <w:basedOn w:val="183"/>
    <w:qFormat/>
    <w:uiPriority w:val="0"/>
    <w:pPr>
      <w:ind w:left="1406" w:leftChars="0" w:hanging="499" w:firstLineChars="0"/>
    </w:pPr>
  </w:style>
  <w:style w:type="paragraph" w:customStyle="1" w:styleId="185">
    <w:name w:val="标准文件_一级无标题"/>
    <w:basedOn w:val="128"/>
    <w:qFormat/>
    <w:uiPriority w:val="0"/>
    <w:pPr>
      <w:spacing w:beforeLines="0" w:afterLines="0"/>
      <w:outlineLvl w:val="9"/>
    </w:pPr>
    <w:rPr>
      <w:rFonts w:ascii="宋体" w:eastAsia="宋体"/>
    </w:rPr>
  </w:style>
  <w:style w:type="paragraph" w:customStyle="1" w:styleId="186">
    <w:name w:val="标准文件_五级无标题"/>
    <w:basedOn w:val="126"/>
    <w:qFormat/>
    <w:uiPriority w:val="0"/>
    <w:pPr>
      <w:spacing w:beforeLines="0" w:afterLines="0"/>
      <w:outlineLvl w:val="9"/>
    </w:pPr>
    <w:rPr>
      <w:rFonts w:ascii="宋体" w:eastAsia="宋体"/>
    </w:rPr>
  </w:style>
  <w:style w:type="paragraph" w:customStyle="1" w:styleId="187">
    <w:name w:val="标准文件_三级无标题"/>
    <w:basedOn w:val="117"/>
    <w:qFormat/>
    <w:uiPriority w:val="0"/>
    <w:pPr>
      <w:spacing w:beforeLines="0" w:afterLines="0"/>
      <w:outlineLvl w:val="9"/>
    </w:pPr>
    <w:rPr>
      <w:rFonts w:ascii="宋体" w:eastAsia="宋体"/>
    </w:rPr>
  </w:style>
  <w:style w:type="paragraph" w:customStyle="1" w:styleId="188">
    <w:name w:val="标准文件_二级无标题"/>
    <w:basedOn w:val="88"/>
    <w:qFormat/>
    <w:uiPriority w:val="0"/>
    <w:pPr>
      <w:spacing w:beforeLines="0" w:afterLines="0"/>
      <w:outlineLvl w:val="9"/>
    </w:pPr>
    <w:rPr>
      <w:rFonts w:ascii="宋体" w:eastAsia="宋体"/>
    </w:rPr>
  </w:style>
  <w:style w:type="paragraph" w:customStyle="1" w:styleId="189">
    <w:name w:val="标准_四级无标题"/>
    <w:basedOn w:val="121"/>
    <w:next w:val="79"/>
    <w:qFormat/>
    <w:uiPriority w:val="0"/>
    <w:rPr>
      <w:rFonts w:eastAsia="宋体"/>
    </w:rPr>
  </w:style>
  <w:style w:type="paragraph" w:customStyle="1" w:styleId="190">
    <w:name w:val="标准文件_四级无标题"/>
    <w:basedOn w:val="121"/>
    <w:qFormat/>
    <w:uiPriority w:val="0"/>
    <w:pPr>
      <w:spacing w:beforeLines="0" w:afterLines="0"/>
      <w:outlineLvl w:val="9"/>
    </w:pPr>
    <w:rPr>
      <w:rFonts w:ascii="宋体" w:hAnsi="黑体" w:eastAsia="宋体"/>
      <w:szCs w:val="52"/>
    </w:rPr>
  </w:style>
  <w:style w:type="paragraph" w:customStyle="1" w:styleId="191">
    <w:name w:val="标准文件_大写罗马数字编号列项"/>
    <w:basedOn w:val="79"/>
    <w:qFormat/>
    <w:uiPriority w:val="0"/>
    <w:pPr>
      <w:numPr>
        <w:ilvl w:val="0"/>
        <w:numId w:val="23"/>
      </w:numPr>
      <w:ind w:firstLine="0" w:firstLineChars="0"/>
    </w:pPr>
    <w:rPr>
      <w:rFonts w:ascii="Times New Roman" w:cs="Arial"/>
      <w:szCs w:val="28"/>
    </w:rPr>
  </w:style>
  <w:style w:type="paragraph" w:customStyle="1" w:styleId="192">
    <w:name w:val="标准文件_小写罗马数字编号列项"/>
    <w:basedOn w:val="79"/>
    <w:uiPriority w:val="0"/>
    <w:pPr>
      <w:numPr>
        <w:ilvl w:val="0"/>
        <w:numId w:val="24"/>
      </w:numPr>
      <w:ind w:firstLine="0" w:firstLineChars="0"/>
    </w:pPr>
    <w:rPr>
      <w:rFonts w:cs="Arial"/>
      <w:szCs w:val="28"/>
    </w:rPr>
  </w:style>
  <w:style w:type="paragraph" w:customStyle="1" w:styleId="193">
    <w:name w:val="标准文件_附录标题"/>
    <w:basedOn w:val="99"/>
    <w:qFormat/>
    <w:uiPriority w:val="0"/>
    <w:pPr>
      <w:numPr>
        <w:numId w:val="0"/>
      </w:numPr>
      <w:spacing w:after="280"/>
      <w:outlineLvl w:val="9"/>
    </w:pPr>
  </w:style>
  <w:style w:type="paragraph" w:customStyle="1" w:styleId="194">
    <w:name w:val="标准文件_二级项"/>
    <w:uiPriority w:val="0"/>
    <w:rPr>
      <w:rFonts w:ascii="宋体" w:hAnsi="Times New Roman" w:eastAsia="宋体" w:cs="Times New Roman"/>
      <w:sz w:val="21"/>
      <w:lang w:val="en-US" w:eastAsia="zh-CN" w:bidi="ar-SA"/>
    </w:rPr>
  </w:style>
  <w:style w:type="paragraph" w:customStyle="1" w:styleId="195">
    <w:name w:val="标准文件_三级项"/>
    <w:basedOn w:val="1"/>
    <w:qFormat/>
    <w:uiPriority w:val="0"/>
    <w:pPr>
      <w:numPr>
        <w:ilvl w:val="2"/>
        <w:numId w:val="21"/>
      </w:numPr>
      <w:spacing w:line="536870612" w:lineRule="auto"/>
    </w:pPr>
    <w:rPr>
      <w:rFonts w:ascii="Times New Roman" w:hAnsi="Times New Roman"/>
    </w:rPr>
  </w:style>
  <w:style w:type="paragraph" w:customStyle="1" w:styleId="196">
    <w:name w:val="图表脚注说明"/>
    <w:basedOn w:val="1"/>
    <w:next w:val="79"/>
    <w:qFormat/>
    <w:uiPriority w:val="0"/>
    <w:pPr>
      <w:numPr>
        <w:ilvl w:val="0"/>
        <w:numId w:val="25"/>
      </w:numPr>
      <w:adjustRightInd/>
      <w:spacing w:line="240" w:lineRule="auto"/>
    </w:pPr>
    <w:rPr>
      <w:rFonts w:ascii="宋体" w:hAnsi="Times New Roman"/>
      <w:sz w:val="18"/>
      <w:szCs w:val="18"/>
    </w:rPr>
  </w:style>
  <w:style w:type="paragraph" w:customStyle="1" w:styleId="19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98">
    <w:name w:val="标准文件_索引字母"/>
    <w:next w:val="79"/>
    <w:qFormat/>
    <w:uiPriority w:val="0"/>
    <w:pPr>
      <w:jc w:val="center"/>
    </w:pPr>
    <w:rPr>
      <w:rFonts w:ascii="宋体" w:hAnsi="宋体" w:eastAsia="Times New Roman" w:cs="Times New Roman"/>
      <w:b/>
      <w:kern w:val="2"/>
      <w:sz w:val="21"/>
      <w:lang w:val="en-US" w:eastAsia="zh-CN" w:bidi="ar-SA"/>
    </w:rPr>
  </w:style>
  <w:style w:type="paragraph" w:customStyle="1" w:styleId="199">
    <w:name w:val="标准文件_附录前"/>
    <w:next w:val="7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20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201">
    <w:name w:val="标准文件_表格"/>
    <w:basedOn w:val="79"/>
    <w:qFormat/>
    <w:uiPriority w:val="0"/>
    <w:pPr>
      <w:ind w:firstLine="0" w:firstLineChars="0"/>
      <w:jc w:val="center"/>
    </w:pPr>
    <w:rPr>
      <w:sz w:val="18"/>
    </w:rPr>
  </w:style>
  <w:style w:type="paragraph" w:customStyle="1" w:styleId="202">
    <w:name w:val="标准文件_注："/>
    <w:next w:val="7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20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204">
    <w:name w:val="标准文件_示例："/>
    <w:next w:val="205"/>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205">
    <w:name w:val="标准文件_示例内容"/>
    <w:basedOn w:val="79"/>
    <w:qFormat/>
    <w:uiPriority w:val="0"/>
    <w:pPr>
      <w:ind w:firstLine="420"/>
    </w:pPr>
    <w:rPr>
      <w:sz w:val="18"/>
    </w:rPr>
  </w:style>
  <w:style w:type="paragraph" w:customStyle="1" w:styleId="206">
    <w:name w:val="标准文件_示例×："/>
    <w:basedOn w:val="1"/>
    <w:next w:val="20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207">
    <w:name w:val="标准文件_段 Char"/>
    <w:link w:val="79"/>
    <w:qFormat/>
    <w:uiPriority w:val="0"/>
    <w:rPr>
      <w:rFonts w:ascii="宋体" w:hAnsi="Times New Roman"/>
      <w:sz w:val="21"/>
    </w:rPr>
  </w:style>
  <w:style w:type="paragraph" w:customStyle="1" w:styleId="208">
    <w:name w:val="标准文件_表格续"/>
    <w:basedOn w:val="79"/>
    <w:next w:val="79"/>
    <w:qFormat/>
    <w:uiPriority w:val="0"/>
    <w:pPr>
      <w:jc w:val="center"/>
    </w:pPr>
    <w:rPr>
      <w:rFonts w:ascii="黑体" w:hAnsi="黑体" w:eastAsia="黑体"/>
    </w:rPr>
  </w:style>
  <w:style w:type="character" w:styleId="209">
    <w:name w:val="Placeholder Text"/>
    <w:basedOn w:val="48"/>
    <w:semiHidden/>
    <w:qFormat/>
    <w:uiPriority w:val="99"/>
    <w:rPr>
      <w:color w:val="808080"/>
    </w:rPr>
  </w:style>
  <w:style w:type="paragraph" w:customStyle="1" w:styleId="210">
    <w:name w:val="标准文件_二级项2"/>
    <w:basedOn w:val="79"/>
    <w:qFormat/>
    <w:uiPriority w:val="0"/>
    <w:pPr>
      <w:numPr>
        <w:ilvl w:val="1"/>
        <w:numId w:val="21"/>
      </w:numPr>
      <w:ind w:firstLine="0" w:firstLineChars="0"/>
    </w:pPr>
  </w:style>
  <w:style w:type="paragraph" w:customStyle="1" w:styleId="211">
    <w:name w:val="标准文件_三级项2"/>
    <w:basedOn w:val="79"/>
    <w:qFormat/>
    <w:uiPriority w:val="0"/>
    <w:pPr>
      <w:numPr>
        <w:ilvl w:val="0"/>
        <w:numId w:val="30"/>
      </w:numPr>
      <w:spacing w:line="300" w:lineRule="exact"/>
      <w:ind w:firstLineChars="0"/>
    </w:pPr>
    <w:rPr>
      <w:rFonts w:ascii="Times New Roman"/>
    </w:rPr>
  </w:style>
  <w:style w:type="paragraph" w:customStyle="1" w:styleId="212">
    <w:name w:val="标准文件_一级项2"/>
    <w:basedOn w:val="79"/>
    <w:qFormat/>
    <w:uiPriority w:val="0"/>
    <w:pPr>
      <w:numPr>
        <w:ilvl w:val="0"/>
        <w:numId w:val="31"/>
      </w:numPr>
      <w:spacing w:line="300" w:lineRule="exact"/>
      <w:ind w:firstLineChars="0"/>
    </w:pPr>
    <w:rPr>
      <w:rFonts w:ascii="Times New Roman"/>
    </w:rPr>
  </w:style>
  <w:style w:type="paragraph" w:customStyle="1" w:styleId="213">
    <w:name w:val="标准文件_提示"/>
    <w:basedOn w:val="79"/>
    <w:next w:val="79"/>
    <w:qFormat/>
    <w:uiPriority w:val="0"/>
    <w:pPr>
      <w:ind w:firstLine="420"/>
    </w:pPr>
    <w:rPr>
      <w:rFonts w:ascii="黑体" w:eastAsia="黑体"/>
    </w:rPr>
  </w:style>
  <w:style w:type="character" w:customStyle="1" w:styleId="214">
    <w:name w:val="标准文件_来源"/>
    <w:basedOn w:val="48"/>
    <w:qFormat/>
    <w:uiPriority w:val="1"/>
    <w:rPr>
      <w:rFonts w:eastAsia="宋体"/>
      <w:sz w:val="21"/>
    </w:rPr>
  </w:style>
  <w:style w:type="paragraph" w:customStyle="1" w:styleId="21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216">
    <w:name w:val="其他发布日期"/>
    <w:basedOn w:val="143"/>
    <w:uiPriority w:val="0"/>
    <w:pPr>
      <w:framePr w:w="3997" w:h="471" w:hRule="exact" w:hSpace="0" w:vSpace="181" w:vAnchor="page" w:hAnchor="page" w:x="1419" w:y="14097"/>
    </w:pPr>
  </w:style>
  <w:style w:type="paragraph" w:customStyle="1" w:styleId="217">
    <w:name w:val="其他实施日期"/>
    <w:basedOn w:val="177"/>
    <w:qFormat/>
    <w:uiPriority w:val="0"/>
    <w:pPr>
      <w:framePr w:w="3997" w:h="471" w:hRule="exact" w:vSpace="181" w:vAnchor="page" w:hAnchor="page" w:x="7089" w:y="14097"/>
    </w:pPr>
  </w:style>
  <w:style w:type="paragraph" w:customStyle="1" w:styleId="218">
    <w:name w:val="标准文件_文件编号"/>
    <w:basedOn w:val="7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19">
    <w:name w:val="标准文件_替换文件编号"/>
    <w:basedOn w:val="218"/>
    <w:qFormat/>
    <w:uiPriority w:val="0"/>
    <w:pPr>
      <w:framePr/>
      <w:spacing w:before="57"/>
    </w:pPr>
    <w:rPr>
      <w:sz w:val="21"/>
    </w:rPr>
  </w:style>
  <w:style w:type="paragraph" w:customStyle="1" w:styleId="220">
    <w:name w:val="标准文件_文件名称"/>
    <w:basedOn w:val="79"/>
    <w:next w:val="79"/>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21">
    <w:name w:val="标准文件_附录图标号"/>
    <w:basedOn w:val="79"/>
    <w:next w:val="7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22">
    <w:name w:val="标准文件_附录表标号"/>
    <w:basedOn w:val="79"/>
    <w:next w:val="79"/>
    <w:qFormat/>
    <w:uiPriority w:val="0"/>
    <w:pPr>
      <w:numPr>
        <w:ilvl w:val="0"/>
        <w:numId w:val="5"/>
      </w:numPr>
      <w:spacing w:line="14" w:lineRule="exact"/>
      <w:ind w:firstLine="0" w:firstLineChars="0"/>
      <w:jc w:val="center"/>
    </w:pPr>
    <w:rPr>
      <w:rFonts w:eastAsia="黑体"/>
      <w:vanish/>
      <w:sz w:val="2"/>
    </w:rPr>
  </w:style>
  <w:style w:type="paragraph" w:customStyle="1" w:styleId="223">
    <w:name w:val="标准文件_引言一级条标题"/>
    <w:basedOn w:val="79"/>
    <w:next w:val="79"/>
    <w:qFormat/>
    <w:uiPriority w:val="0"/>
    <w:pPr>
      <w:numPr>
        <w:ilvl w:val="1"/>
        <w:numId w:val="8"/>
      </w:numPr>
      <w:spacing w:beforeLines="50" w:afterLines="50"/>
      <w:ind w:firstLineChars="0"/>
    </w:pPr>
    <w:rPr>
      <w:rFonts w:ascii="黑体" w:eastAsia="黑体"/>
    </w:rPr>
  </w:style>
  <w:style w:type="paragraph" w:customStyle="1" w:styleId="224">
    <w:name w:val="标准文件_引言二级条标题"/>
    <w:basedOn w:val="79"/>
    <w:next w:val="79"/>
    <w:qFormat/>
    <w:uiPriority w:val="0"/>
    <w:pPr>
      <w:numPr>
        <w:ilvl w:val="2"/>
        <w:numId w:val="8"/>
      </w:numPr>
      <w:spacing w:beforeLines="50" w:afterLines="50"/>
      <w:ind w:firstLineChars="0"/>
    </w:pPr>
    <w:rPr>
      <w:rFonts w:ascii="黑体" w:eastAsia="黑体"/>
    </w:rPr>
  </w:style>
  <w:style w:type="paragraph" w:customStyle="1" w:styleId="225">
    <w:name w:val="标准文件_引言三级条标题"/>
    <w:basedOn w:val="79"/>
    <w:next w:val="79"/>
    <w:qFormat/>
    <w:uiPriority w:val="0"/>
    <w:pPr>
      <w:numPr>
        <w:ilvl w:val="3"/>
        <w:numId w:val="8"/>
      </w:numPr>
      <w:spacing w:beforeLines="50" w:afterLines="50"/>
      <w:ind w:firstLineChars="0"/>
    </w:pPr>
    <w:rPr>
      <w:rFonts w:ascii="黑体" w:eastAsia="黑体"/>
    </w:rPr>
  </w:style>
  <w:style w:type="paragraph" w:customStyle="1" w:styleId="226">
    <w:name w:val="标准文件_引言四级条标题"/>
    <w:basedOn w:val="79"/>
    <w:next w:val="79"/>
    <w:qFormat/>
    <w:uiPriority w:val="0"/>
    <w:pPr>
      <w:numPr>
        <w:ilvl w:val="4"/>
        <w:numId w:val="8"/>
      </w:numPr>
      <w:spacing w:beforeLines="50" w:afterLines="50"/>
      <w:ind w:firstLineChars="0"/>
    </w:pPr>
    <w:rPr>
      <w:rFonts w:ascii="黑体" w:eastAsia="黑体"/>
    </w:rPr>
  </w:style>
  <w:style w:type="paragraph" w:customStyle="1" w:styleId="227">
    <w:name w:val="标准文件_引言五级条标题"/>
    <w:basedOn w:val="79"/>
    <w:next w:val="79"/>
    <w:qFormat/>
    <w:uiPriority w:val="0"/>
    <w:pPr>
      <w:numPr>
        <w:ilvl w:val="5"/>
        <w:numId w:val="8"/>
      </w:numPr>
      <w:spacing w:beforeLines="50" w:afterLines="50"/>
      <w:ind w:firstLineChars="0"/>
    </w:pPr>
    <w:rPr>
      <w:rFonts w:ascii="黑体" w:eastAsia="黑体"/>
    </w:rPr>
  </w:style>
  <w:style w:type="paragraph" w:customStyle="1" w:styleId="228">
    <w:name w:val="标准文件_注后"/>
    <w:basedOn w:val="79"/>
    <w:qFormat/>
    <w:uiPriority w:val="0"/>
    <w:pPr>
      <w:ind w:left="811" w:firstLine="0" w:firstLineChars="0"/>
    </w:pPr>
    <w:rPr>
      <w:sz w:val="18"/>
    </w:rPr>
  </w:style>
  <w:style w:type="paragraph" w:customStyle="1" w:styleId="229">
    <w:name w:val="标准文件_注X后"/>
    <w:basedOn w:val="79"/>
    <w:qFormat/>
    <w:uiPriority w:val="0"/>
    <w:pPr>
      <w:ind w:left="811" w:firstLine="0" w:firstLineChars="0"/>
    </w:pPr>
    <w:rPr>
      <w:sz w:val="18"/>
    </w:rPr>
  </w:style>
  <w:style w:type="paragraph" w:customStyle="1" w:styleId="230">
    <w:name w:val="标准文件_示例后"/>
    <w:basedOn w:val="79"/>
    <w:qFormat/>
    <w:uiPriority w:val="0"/>
    <w:pPr>
      <w:ind w:left="964" w:firstLine="0" w:firstLineChars="0"/>
    </w:pPr>
    <w:rPr>
      <w:sz w:val="18"/>
    </w:rPr>
  </w:style>
  <w:style w:type="paragraph" w:customStyle="1" w:styleId="231">
    <w:name w:val="标准文件_示例X后"/>
    <w:basedOn w:val="79"/>
    <w:link w:val="232"/>
    <w:qFormat/>
    <w:uiPriority w:val="0"/>
    <w:pPr>
      <w:ind w:left="1049" w:firstLine="0" w:firstLineChars="0"/>
    </w:pPr>
    <w:rPr>
      <w:sz w:val="18"/>
    </w:rPr>
  </w:style>
  <w:style w:type="character" w:customStyle="1" w:styleId="232">
    <w:name w:val="标准文件_示例X后 字符"/>
    <w:basedOn w:val="207"/>
    <w:link w:val="231"/>
    <w:qFormat/>
    <w:uiPriority w:val="0"/>
    <w:rPr>
      <w:rFonts w:ascii="宋体" w:hAnsi="Times New Roman"/>
      <w:sz w:val="18"/>
    </w:rPr>
  </w:style>
  <w:style w:type="paragraph" w:customStyle="1" w:styleId="233">
    <w:name w:val="标准文件_索引项"/>
    <w:basedOn w:val="79"/>
    <w:next w:val="79"/>
    <w:qFormat/>
    <w:uiPriority w:val="0"/>
    <w:pPr>
      <w:tabs>
        <w:tab w:val="right" w:leader="dot" w:pos="9356"/>
      </w:tabs>
      <w:ind w:left="210" w:hanging="210" w:firstLineChars="0"/>
      <w:jc w:val="left"/>
    </w:pPr>
  </w:style>
  <w:style w:type="paragraph" w:customStyle="1" w:styleId="234">
    <w:name w:val="标准文件_附录一级无标题"/>
    <w:basedOn w:val="101"/>
    <w:qFormat/>
    <w:uiPriority w:val="0"/>
    <w:pPr>
      <w:spacing w:beforeLines="0" w:afterLines="0" w:line="276" w:lineRule="auto"/>
      <w:outlineLvl w:val="9"/>
    </w:pPr>
    <w:rPr>
      <w:rFonts w:ascii="宋体" w:eastAsia="宋体"/>
    </w:rPr>
  </w:style>
  <w:style w:type="paragraph" w:customStyle="1" w:styleId="235">
    <w:name w:val="标准文件_附录二级无标题"/>
    <w:basedOn w:val="102"/>
    <w:qFormat/>
    <w:uiPriority w:val="0"/>
    <w:pPr>
      <w:spacing w:beforeLines="0" w:afterLines="0" w:line="276" w:lineRule="auto"/>
      <w:outlineLvl w:val="9"/>
    </w:pPr>
    <w:rPr>
      <w:rFonts w:ascii="宋体" w:eastAsia="宋体"/>
    </w:rPr>
  </w:style>
  <w:style w:type="paragraph" w:customStyle="1" w:styleId="236">
    <w:name w:val="标准文件_附录三级无标题"/>
    <w:basedOn w:val="104"/>
    <w:qFormat/>
    <w:uiPriority w:val="0"/>
    <w:pPr>
      <w:spacing w:beforeLines="0" w:afterLines="0" w:line="276" w:lineRule="auto"/>
      <w:outlineLvl w:val="9"/>
    </w:pPr>
    <w:rPr>
      <w:rFonts w:ascii="宋体" w:eastAsia="宋体"/>
    </w:rPr>
  </w:style>
  <w:style w:type="paragraph" w:customStyle="1" w:styleId="237">
    <w:name w:val="标准文件_附录四级无标题"/>
    <w:basedOn w:val="105"/>
    <w:qFormat/>
    <w:uiPriority w:val="0"/>
    <w:pPr>
      <w:spacing w:beforeLines="0" w:afterLines="0" w:line="276" w:lineRule="auto"/>
      <w:outlineLvl w:val="9"/>
    </w:pPr>
    <w:rPr>
      <w:rFonts w:ascii="宋体" w:eastAsia="宋体"/>
    </w:rPr>
  </w:style>
  <w:style w:type="paragraph" w:customStyle="1" w:styleId="238">
    <w:name w:val="标准文件_附录五级无标题"/>
    <w:basedOn w:val="107"/>
    <w:qFormat/>
    <w:uiPriority w:val="0"/>
    <w:pPr>
      <w:spacing w:beforeLines="0" w:afterLines="0" w:line="276" w:lineRule="auto"/>
      <w:outlineLvl w:val="9"/>
    </w:pPr>
    <w:rPr>
      <w:rFonts w:ascii="宋体" w:eastAsia="宋体"/>
    </w:rPr>
  </w:style>
  <w:style w:type="paragraph" w:customStyle="1" w:styleId="239">
    <w:name w:val="标准文件_引言一级无标题"/>
    <w:basedOn w:val="223"/>
    <w:next w:val="79"/>
    <w:qFormat/>
    <w:uiPriority w:val="0"/>
    <w:pPr>
      <w:spacing w:beforeLines="0" w:afterLines="0" w:line="276" w:lineRule="auto"/>
    </w:pPr>
    <w:rPr>
      <w:rFonts w:ascii="宋体" w:eastAsia="宋体"/>
    </w:rPr>
  </w:style>
  <w:style w:type="paragraph" w:customStyle="1" w:styleId="240">
    <w:name w:val="标准文件_引言二级无标题"/>
    <w:basedOn w:val="224"/>
    <w:next w:val="79"/>
    <w:qFormat/>
    <w:uiPriority w:val="0"/>
    <w:pPr>
      <w:spacing w:beforeLines="0" w:afterLines="0" w:line="276" w:lineRule="auto"/>
    </w:pPr>
    <w:rPr>
      <w:rFonts w:ascii="宋体" w:eastAsia="宋体"/>
    </w:rPr>
  </w:style>
  <w:style w:type="paragraph" w:customStyle="1" w:styleId="241">
    <w:name w:val="标准文件_引言三级无标题"/>
    <w:basedOn w:val="225"/>
    <w:qFormat/>
    <w:uiPriority w:val="0"/>
    <w:pPr>
      <w:spacing w:beforeLines="0" w:afterLines="0" w:line="276" w:lineRule="auto"/>
    </w:pPr>
    <w:rPr>
      <w:rFonts w:ascii="宋体" w:eastAsia="宋体"/>
    </w:rPr>
  </w:style>
  <w:style w:type="paragraph" w:customStyle="1" w:styleId="242">
    <w:name w:val="标准文件_引言四级无标题"/>
    <w:basedOn w:val="226"/>
    <w:next w:val="79"/>
    <w:qFormat/>
    <w:uiPriority w:val="0"/>
    <w:pPr>
      <w:spacing w:beforeLines="0" w:afterLines="0" w:line="276" w:lineRule="auto"/>
    </w:pPr>
    <w:rPr>
      <w:rFonts w:ascii="宋体" w:eastAsia="宋体"/>
    </w:rPr>
  </w:style>
  <w:style w:type="paragraph" w:customStyle="1" w:styleId="243">
    <w:name w:val="标准文件_引言五级无标题"/>
    <w:basedOn w:val="227"/>
    <w:next w:val="79"/>
    <w:qFormat/>
    <w:uiPriority w:val="0"/>
    <w:pPr>
      <w:spacing w:beforeLines="0" w:afterLines="0" w:line="276" w:lineRule="auto"/>
    </w:pPr>
    <w:rPr>
      <w:rFonts w:ascii="宋体" w:eastAsia="宋体"/>
    </w:rPr>
  </w:style>
  <w:style w:type="paragraph" w:customStyle="1" w:styleId="244">
    <w:name w:val="标准文件_索引标题"/>
    <w:basedOn w:val="86"/>
    <w:next w:val="79"/>
    <w:qFormat/>
    <w:uiPriority w:val="0"/>
    <w:rPr>
      <w:rFonts w:hAnsi="黑体"/>
    </w:rPr>
  </w:style>
  <w:style w:type="paragraph" w:customStyle="1" w:styleId="245">
    <w:name w:val="标准文件_脚注内容"/>
    <w:basedOn w:val="79"/>
    <w:qFormat/>
    <w:uiPriority w:val="0"/>
    <w:pPr>
      <w:ind w:left="400" w:leftChars="200" w:hanging="200" w:hangingChars="200"/>
    </w:pPr>
    <w:rPr>
      <w:sz w:val="15"/>
    </w:rPr>
  </w:style>
  <w:style w:type="paragraph" w:customStyle="1" w:styleId="246">
    <w:name w:val="标准文件_术语条一"/>
    <w:basedOn w:val="185"/>
    <w:next w:val="79"/>
    <w:qFormat/>
    <w:uiPriority w:val="0"/>
  </w:style>
  <w:style w:type="paragraph" w:customStyle="1" w:styleId="247">
    <w:name w:val="标准文件_术语条二"/>
    <w:basedOn w:val="188"/>
    <w:next w:val="79"/>
    <w:qFormat/>
    <w:uiPriority w:val="0"/>
  </w:style>
  <w:style w:type="paragraph" w:customStyle="1" w:styleId="248">
    <w:name w:val="标准文件_术语条三"/>
    <w:basedOn w:val="187"/>
    <w:next w:val="79"/>
    <w:qFormat/>
    <w:uiPriority w:val="0"/>
  </w:style>
  <w:style w:type="paragraph" w:customStyle="1" w:styleId="249">
    <w:name w:val="标准文件_术语条四"/>
    <w:basedOn w:val="190"/>
    <w:next w:val="79"/>
    <w:qFormat/>
    <w:uiPriority w:val="0"/>
  </w:style>
  <w:style w:type="paragraph" w:customStyle="1" w:styleId="250">
    <w:name w:val="标准文件_术语条五"/>
    <w:basedOn w:val="186"/>
    <w:next w:val="79"/>
    <w:qFormat/>
    <w:uiPriority w:val="0"/>
  </w:style>
  <w:style w:type="paragraph" w:customStyle="1" w:styleId="251">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52">
    <w:name w:val="发布"/>
    <w:basedOn w:val="48"/>
    <w:qFormat/>
    <w:uiPriority w:val="0"/>
    <w:rPr>
      <w:rFonts w:ascii="黑体" w:eastAsia="黑体"/>
      <w:spacing w:val="85"/>
      <w:w w:val="100"/>
      <w:position w:val="3"/>
      <w:sz w:val="28"/>
      <w:szCs w:val="28"/>
    </w:rPr>
  </w:style>
  <w:style w:type="paragraph" w:customStyle="1" w:styleId="253">
    <w:name w:val="段"/>
    <w:link w:val="25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54">
    <w:name w:val="段 Char"/>
    <w:link w:val="253"/>
    <w:qFormat/>
    <w:uiPriority w:val="0"/>
    <w:rPr>
      <w:rFonts w:ascii="宋体" w:hAnsi="Times New Roman"/>
      <w:sz w:val="21"/>
    </w:rPr>
  </w:style>
  <w:style w:type="paragraph" w:customStyle="1" w:styleId="255">
    <w:name w:val="二级条标题"/>
    <w:basedOn w:val="1"/>
    <w:next w:val="253"/>
    <w:qFormat/>
    <w:uiPriority w:val="0"/>
    <w:pPr>
      <w:widowControl/>
      <w:numPr>
        <w:ilvl w:val="2"/>
        <w:numId w:val="32"/>
      </w:numPr>
      <w:adjustRightInd/>
      <w:spacing w:beforeLines="50" w:afterLines="50" w:line="240" w:lineRule="auto"/>
      <w:jc w:val="left"/>
      <w:outlineLvl w:val="3"/>
    </w:pPr>
    <w:rPr>
      <w:rFonts w:ascii="黑体" w:hAnsi="Times New Roman" w:eastAsia="黑体"/>
      <w:kern w:val="0"/>
    </w:rPr>
  </w:style>
  <w:style w:type="paragraph" w:customStyle="1" w:styleId="256">
    <w:name w:val="二级无"/>
    <w:basedOn w:val="255"/>
    <w:qFormat/>
    <w:uiPriority w:val="0"/>
    <w:pPr>
      <w:spacing w:beforeLines="0" w:afterLines="0"/>
      <w:ind w:left="851"/>
    </w:pPr>
    <w:rPr>
      <w:rFonts w:ascii="宋体" w:eastAsia="宋体"/>
    </w:rPr>
  </w:style>
  <w:style w:type="paragraph" w:customStyle="1" w:styleId="257">
    <w:name w:val="章标题"/>
    <w:next w:val="253"/>
    <w:qFormat/>
    <w:uiPriority w:val="0"/>
    <w:pPr>
      <w:spacing w:beforeLines="100" w:afterLines="100"/>
      <w:jc w:val="both"/>
      <w:outlineLvl w:val="1"/>
    </w:pPr>
    <w:rPr>
      <w:rFonts w:ascii="黑体" w:hAnsi="Times New Roman" w:eastAsia="黑体" w:cs="Times New Roman"/>
      <w:sz w:val="21"/>
      <w:lang w:val="en-US" w:eastAsia="zh-CN" w:bidi="ar-SA"/>
    </w:rPr>
  </w:style>
  <w:style w:type="character" w:customStyle="1" w:styleId="258">
    <w:name w:val="批注文字 Char"/>
    <w:basedOn w:val="48"/>
    <w:link w:val="17"/>
    <w:qFormat/>
    <w:uiPriority w:val="0"/>
    <w:rPr>
      <w:rFonts w:ascii="Times New Roman" w:hAnsi="Times New Roman"/>
      <w:kern w:val="2"/>
      <w:sz w:val="21"/>
      <w:szCs w:val="24"/>
    </w:rPr>
  </w:style>
  <w:style w:type="character" w:customStyle="1" w:styleId="259">
    <w:name w:val="15"/>
    <w:qFormat/>
    <w:uiPriority w:val="0"/>
    <w:rPr>
      <w:rFonts w:hint="eastAsia" w:ascii="MingLiU" w:hAnsi="MingLiU" w:eastAsia="MingLiU"/>
      <w:sz w:val="19"/>
      <w:szCs w:val="19"/>
    </w:rPr>
  </w:style>
  <w:style w:type="paragraph" w:customStyle="1" w:styleId="260">
    <w:name w:val="字母编号列项（一级）"/>
    <w:qFormat/>
    <w:uiPriority w:val="0"/>
    <w:pPr>
      <w:tabs>
        <w:tab w:val="left" w:pos="839"/>
      </w:tabs>
      <w:ind w:left="823" w:hanging="420"/>
      <w:jc w:val="both"/>
    </w:pPr>
    <w:rPr>
      <w:rFonts w:ascii="宋体" w:hAnsi="Times New Roman" w:eastAsia="宋体" w:cs="Times New Roman"/>
      <w:sz w:val="21"/>
      <w:lang w:val="en-US" w:eastAsia="zh-CN" w:bidi="ar-SA"/>
    </w:rPr>
  </w:style>
  <w:style w:type="paragraph" w:customStyle="1" w:styleId="261">
    <w:name w:val="注："/>
    <w:next w:val="253"/>
    <w:uiPriority w:val="0"/>
    <w:pPr>
      <w:widowControl w:val="0"/>
      <w:autoSpaceDE w:val="0"/>
      <w:autoSpaceDN w:val="0"/>
      <w:ind w:left="425" w:hanging="425"/>
      <w:jc w:val="both"/>
    </w:pPr>
    <w:rPr>
      <w:rFonts w:ascii="宋体" w:hAnsi="Times New Roman" w:eastAsia="宋体" w:cs="Times New Roman"/>
      <w:sz w:val="18"/>
      <w:szCs w:val="18"/>
      <w:lang w:val="en-US" w:eastAsia="zh-CN" w:bidi="ar-SA"/>
    </w:rPr>
  </w:style>
  <w:style w:type="paragraph" w:customStyle="1" w:styleId="262">
    <w:name w:val="一级条标题"/>
    <w:next w:val="253"/>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263">
    <w:name w:val="正文图标题"/>
    <w:next w:val="253"/>
    <w:qFormat/>
    <w:uiPriority w:val="0"/>
    <w:pPr>
      <w:tabs>
        <w:tab w:val="left" w:pos="360"/>
        <w:tab w:val="left" w:pos="539"/>
      </w:tabs>
      <w:spacing w:beforeLines="50" w:afterLines="50"/>
      <w:ind w:left="539" w:hanging="119"/>
      <w:jc w:val="center"/>
    </w:pPr>
    <w:rPr>
      <w:rFonts w:ascii="黑体" w:hAnsi="Times New Roman" w:eastAsia="黑体" w:cs="Times New Roman"/>
      <w:sz w:val="21"/>
      <w:lang w:val="en-US" w:eastAsia="zh-CN" w:bidi="ar-SA"/>
    </w:rPr>
  </w:style>
  <w:style w:type="paragraph" w:customStyle="1" w:styleId="264">
    <w:name w:val="列项——（一级）"/>
    <w:qFormat/>
    <w:uiPriority w:val="0"/>
    <w:pPr>
      <w:widowControl w:val="0"/>
      <w:ind w:left="794" w:hanging="397"/>
      <w:jc w:val="both"/>
    </w:pPr>
    <w:rPr>
      <w:rFonts w:ascii="宋体" w:hAnsi="Times New Roman" w:eastAsia="宋体" w:cs="Times New Roman"/>
      <w:sz w:val="21"/>
      <w:lang w:val="en-US" w:eastAsia="zh-CN" w:bidi="ar-SA"/>
    </w:rPr>
  </w:style>
  <w:style w:type="character" w:customStyle="1" w:styleId="265">
    <w:name w:val="文档结构图 Char"/>
    <w:basedOn w:val="48"/>
    <w:link w:val="16"/>
    <w:semiHidden/>
    <w:qFormat/>
    <w:uiPriority w:val="0"/>
    <w:rPr>
      <w:rFonts w:ascii="Times New Roman" w:hAnsi="Times New Roman"/>
      <w:kern w:val="2"/>
      <w:sz w:val="21"/>
      <w:szCs w:val="24"/>
      <w:shd w:val="clear" w:color="auto" w:fill="000080"/>
    </w:rPr>
  </w:style>
  <w:style w:type="character" w:customStyle="1" w:styleId="266">
    <w:name w:val="日期 Char"/>
    <w:basedOn w:val="48"/>
    <w:link w:val="25"/>
    <w:qFormat/>
    <w:uiPriority w:val="0"/>
    <w:rPr>
      <w:rFonts w:ascii="Times New Roman" w:hAnsi="Times New Roman"/>
      <w:kern w:val="2"/>
      <w:sz w:val="21"/>
      <w:szCs w:val="24"/>
    </w:rPr>
  </w:style>
  <w:style w:type="character" w:customStyle="1" w:styleId="267">
    <w:name w:val="尾注文本 Char"/>
    <w:basedOn w:val="48"/>
    <w:link w:val="26"/>
    <w:semiHidden/>
    <w:qFormat/>
    <w:uiPriority w:val="0"/>
    <w:rPr>
      <w:rFonts w:ascii="Times New Roman" w:hAnsi="Times New Roman"/>
      <w:kern w:val="2"/>
      <w:sz w:val="21"/>
      <w:szCs w:val="24"/>
    </w:rPr>
  </w:style>
  <w:style w:type="character" w:customStyle="1" w:styleId="268">
    <w:name w:val="批注主题 Char"/>
    <w:basedOn w:val="258"/>
    <w:link w:val="44"/>
    <w:qFormat/>
    <w:uiPriority w:val="0"/>
    <w:rPr>
      <w:rFonts w:ascii="Times New Roman" w:hAnsi="Times New Roman"/>
      <w:b/>
      <w:bCs/>
      <w:kern w:val="2"/>
      <w:sz w:val="21"/>
      <w:szCs w:val="24"/>
    </w:rPr>
  </w:style>
  <w:style w:type="character" w:customStyle="1" w:styleId="269">
    <w:name w:val="正文首行缩进 Char"/>
    <w:basedOn w:val="109"/>
    <w:link w:val="45"/>
    <w:qFormat/>
    <w:uiPriority w:val="0"/>
    <w:rPr>
      <w:rFonts w:ascii="Times New Roman" w:hAnsi="Times New Roman"/>
      <w:kern w:val="2"/>
      <w:sz w:val="21"/>
      <w:szCs w:val="24"/>
    </w:rPr>
  </w:style>
  <w:style w:type="character" w:customStyle="1" w:styleId="270">
    <w:name w:val="附录公式 Char"/>
    <w:basedOn w:val="254"/>
    <w:link w:val="271"/>
    <w:qFormat/>
    <w:uiPriority w:val="0"/>
    <w:rPr>
      <w:rFonts w:ascii="宋体" w:hAnsi="Times New Roman"/>
      <w:sz w:val="21"/>
    </w:rPr>
  </w:style>
  <w:style w:type="paragraph" w:customStyle="1" w:styleId="271">
    <w:name w:val="附录公式"/>
    <w:basedOn w:val="253"/>
    <w:next w:val="253"/>
    <w:link w:val="270"/>
    <w:qFormat/>
    <w:uiPriority w:val="0"/>
    <w:rPr>
      <w:rFonts w:hAnsi="Calibri"/>
    </w:rPr>
  </w:style>
  <w:style w:type="character" w:customStyle="1" w:styleId="272">
    <w:name w:val="16"/>
    <w:qFormat/>
    <w:uiPriority w:val="0"/>
    <w:rPr>
      <w:rFonts w:hint="eastAsia" w:ascii="MingLiU" w:hAnsi="MingLiU" w:eastAsia="MingLiU"/>
      <w:sz w:val="17"/>
      <w:szCs w:val="17"/>
    </w:rPr>
  </w:style>
  <w:style w:type="character" w:customStyle="1" w:styleId="273">
    <w:name w:val="首示例 Char"/>
    <w:link w:val="274"/>
    <w:uiPriority w:val="0"/>
    <w:rPr>
      <w:rFonts w:ascii="宋体" w:hAnsi="宋体"/>
      <w:kern w:val="2"/>
      <w:sz w:val="18"/>
      <w:szCs w:val="18"/>
    </w:rPr>
  </w:style>
  <w:style w:type="paragraph" w:customStyle="1" w:styleId="274">
    <w:name w:val="首示例"/>
    <w:next w:val="253"/>
    <w:link w:val="273"/>
    <w:qFormat/>
    <w:uiPriority w:val="0"/>
    <w:pPr>
      <w:tabs>
        <w:tab w:val="left" w:pos="360"/>
        <w:tab w:val="left" w:pos="851"/>
      </w:tabs>
      <w:ind w:left="851"/>
    </w:pPr>
    <w:rPr>
      <w:rFonts w:ascii="宋体" w:hAnsi="宋体" w:eastAsia="宋体" w:cs="Times New Roman"/>
      <w:kern w:val="2"/>
      <w:sz w:val="18"/>
      <w:szCs w:val="18"/>
      <w:lang w:val="en-US" w:eastAsia="zh-CN" w:bidi="ar-SA"/>
    </w:rPr>
  </w:style>
  <w:style w:type="paragraph" w:customStyle="1" w:styleId="275">
    <w:name w:val="注：（正文）"/>
    <w:basedOn w:val="261"/>
    <w:next w:val="253"/>
    <w:qFormat/>
    <w:uiPriority w:val="0"/>
    <w:pPr>
      <w:ind w:left="930" w:hanging="363"/>
    </w:pPr>
  </w:style>
  <w:style w:type="paragraph" w:customStyle="1" w:styleId="276">
    <w:name w:val="附录二级无"/>
    <w:basedOn w:val="277"/>
    <w:qFormat/>
    <w:uiPriority w:val="0"/>
    <w:pPr>
      <w:tabs>
        <w:tab w:val="left" w:pos="360"/>
      </w:tabs>
      <w:spacing w:beforeLines="0" w:afterLines="0"/>
    </w:pPr>
    <w:rPr>
      <w:rFonts w:ascii="宋体" w:eastAsia="宋体"/>
      <w:szCs w:val="21"/>
    </w:rPr>
  </w:style>
  <w:style w:type="paragraph" w:customStyle="1" w:styleId="277">
    <w:name w:val="附录二级条标题"/>
    <w:basedOn w:val="1"/>
    <w:next w:val="253"/>
    <w:qFormat/>
    <w:uiPriority w:val="0"/>
    <w:pPr>
      <w:widowControl/>
      <w:tabs>
        <w:tab w:val="left" w:pos="360"/>
      </w:tabs>
      <w:wordWrap w:val="0"/>
      <w:overflowPunct w:val="0"/>
      <w:autoSpaceDE w:val="0"/>
      <w:autoSpaceDN w:val="0"/>
      <w:adjustRightInd/>
      <w:spacing w:beforeLines="50" w:afterLines="50" w:line="240" w:lineRule="auto"/>
      <w:ind w:left="1680" w:hanging="420"/>
      <w:textAlignment w:val="baseline"/>
      <w:outlineLvl w:val="3"/>
    </w:pPr>
    <w:rPr>
      <w:rFonts w:ascii="黑体" w:hAnsi="Times New Roman" w:eastAsia="黑体"/>
      <w:kern w:val="21"/>
      <w:szCs w:val="20"/>
    </w:rPr>
  </w:style>
  <w:style w:type="paragraph" w:customStyle="1" w:styleId="27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279">
    <w:name w:val="示例后文字"/>
    <w:basedOn w:val="253"/>
    <w:next w:val="253"/>
    <w:qFormat/>
    <w:uiPriority w:val="0"/>
    <w:pPr>
      <w:ind w:firstLine="360"/>
    </w:pPr>
    <w:rPr>
      <w:sz w:val="18"/>
    </w:rPr>
  </w:style>
  <w:style w:type="paragraph" w:customStyle="1" w:styleId="280">
    <w:name w:val="附录字母编号列项（一级）"/>
    <w:qFormat/>
    <w:uiPriority w:val="0"/>
    <w:pPr>
      <w:tabs>
        <w:tab w:val="left" w:pos="839"/>
      </w:tabs>
    </w:pPr>
    <w:rPr>
      <w:rFonts w:ascii="宋体" w:hAnsi="Times New Roman" w:eastAsia="宋体" w:cs="Times New Roman"/>
      <w:sz w:val="21"/>
      <w:lang w:val="en-US" w:eastAsia="zh-CN" w:bidi="ar-SA"/>
    </w:rPr>
  </w:style>
  <w:style w:type="paragraph" w:customStyle="1" w:styleId="281">
    <w:name w:val="附录章标题"/>
    <w:next w:val="253"/>
    <w:qFormat/>
    <w:uiPriority w:val="0"/>
    <w:p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282">
    <w:name w:val="三级条标题"/>
    <w:basedOn w:val="255"/>
    <w:next w:val="253"/>
    <w:qFormat/>
    <w:uiPriority w:val="0"/>
    <w:pPr>
      <w:outlineLvl w:val="4"/>
    </w:pPr>
  </w:style>
  <w:style w:type="paragraph" w:customStyle="1" w:styleId="283">
    <w:name w:val="正文文本 (2)"/>
    <w:basedOn w:val="1"/>
    <w:semiHidden/>
    <w:qFormat/>
    <w:uiPriority w:val="0"/>
    <w:pPr>
      <w:shd w:val="clear" w:color="auto" w:fill="FFFFFF"/>
      <w:adjustRightInd/>
      <w:spacing w:line="316" w:lineRule="exact"/>
      <w:ind w:firstLine="360"/>
      <w:jc w:val="left"/>
    </w:pPr>
    <w:rPr>
      <w:rFonts w:ascii="Times New Roman" w:hAnsi="Times New Roman"/>
      <w:color w:val="000000"/>
      <w:kern w:val="0"/>
      <w:sz w:val="20"/>
      <w:szCs w:val="20"/>
    </w:rPr>
  </w:style>
  <w:style w:type="paragraph" w:customStyle="1" w:styleId="284">
    <w:name w:val="封面标准名称2"/>
    <w:basedOn w:val="145"/>
    <w:uiPriority w:val="0"/>
    <w:pPr>
      <w:framePr w:w="9639" w:vAnchor="page" w:hAnchor="page" w:y="4469"/>
      <w:spacing w:beforeLines="630"/>
    </w:pPr>
  </w:style>
  <w:style w:type="paragraph" w:customStyle="1" w:styleId="285">
    <w:name w:val="列项●（二级）"/>
    <w:uiPriority w:val="0"/>
    <w:pPr>
      <w:numPr>
        <w:ilvl w:val="1"/>
        <w:numId w:val="9"/>
      </w:numPr>
      <w:tabs>
        <w:tab w:val="left" w:pos="760"/>
        <w:tab w:val="left" w:pos="840"/>
      </w:tabs>
      <w:jc w:val="both"/>
    </w:pPr>
    <w:rPr>
      <w:rFonts w:ascii="宋体" w:hAnsi="Times New Roman" w:eastAsia="宋体" w:cs="Times New Roman"/>
      <w:sz w:val="21"/>
      <w:lang w:val="en-US" w:eastAsia="zh-CN" w:bidi="ar-SA"/>
    </w:rPr>
  </w:style>
  <w:style w:type="paragraph" w:customStyle="1" w:styleId="286">
    <w:name w:val="数字编号列项（二级）"/>
    <w:uiPriority w:val="0"/>
    <w:pPr>
      <w:numPr>
        <w:ilvl w:val="1"/>
        <w:numId w:val="3"/>
      </w:numPr>
      <w:tabs>
        <w:tab w:val="left" w:pos="1259"/>
      </w:tabs>
      <w:jc w:val="both"/>
    </w:pPr>
    <w:rPr>
      <w:rFonts w:ascii="宋体" w:hAnsi="Times New Roman" w:eastAsia="宋体" w:cs="Times New Roman"/>
      <w:sz w:val="21"/>
      <w:lang w:val="en-US" w:eastAsia="zh-CN" w:bidi="ar-SA"/>
    </w:rPr>
  </w:style>
  <w:style w:type="paragraph" w:customStyle="1" w:styleId="287">
    <w:name w:val="图标脚注说明"/>
    <w:basedOn w:val="253"/>
    <w:qFormat/>
    <w:uiPriority w:val="0"/>
    <w:pPr>
      <w:ind w:left="840" w:hanging="420" w:firstLineChars="0"/>
    </w:pPr>
    <w:rPr>
      <w:sz w:val="18"/>
      <w:szCs w:val="18"/>
    </w:rPr>
  </w:style>
  <w:style w:type="paragraph" w:customStyle="1" w:styleId="288">
    <w:name w:val="附录公式编号制表符"/>
    <w:basedOn w:val="1"/>
    <w:next w:val="253"/>
    <w:qFormat/>
    <w:uiPriority w:val="0"/>
    <w:pPr>
      <w:widowControl/>
      <w:tabs>
        <w:tab w:val="center" w:pos="4201"/>
        <w:tab w:val="right" w:leader="dot" w:pos="9298"/>
      </w:tabs>
      <w:autoSpaceDE w:val="0"/>
      <w:autoSpaceDN w:val="0"/>
      <w:adjustRightInd/>
      <w:spacing w:line="240" w:lineRule="auto"/>
    </w:pPr>
    <w:rPr>
      <w:rFonts w:ascii="宋体" w:hAnsi="Times New Roman"/>
      <w:kern w:val="0"/>
      <w:szCs w:val="20"/>
    </w:rPr>
  </w:style>
  <w:style w:type="paragraph" w:customStyle="1" w:styleId="289">
    <w:name w:val="四级条标题"/>
    <w:basedOn w:val="282"/>
    <w:next w:val="253"/>
    <w:qFormat/>
    <w:uiPriority w:val="0"/>
    <w:pPr>
      <w:outlineLvl w:val="5"/>
    </w:pPr>
  </w:style>
  <w:style w:type="paragraph" w:customStyle="1" w:styleId="290">
    <w:name w:val="封面标准文稿类别2"/>
    <w:basedOn w:val="147"/>
    <w:qFormat/>
    <w:uiPriority w:val="0"/>
    <w:pPr>
      <w:framePr w:w="9639" w:h="6917" w:hRule="exact" w:wrap="around" w:vAnchor="page" w:hAnchor="page" w:xAlign="center" w:y="4469" w:anchorLock="1"/>
      <w:widowControl w:val="0"/>
      <w:spacing w:after="160" w:line="240" w:lineRule="auto"/>
      <w:textAlignment w:val="center"/>
    </w:pPr>
    <w:rPr>
      <w:szCs w:val="28"/>
    </w:rPr>
  </w:style>
  <w:style w:type="paragraph" w:customStyle="1" w:styleId="291">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292">
    <w:name w:val="标题 #1"/>
    <w:basedOn w:val="1"/>
    <w:semiHidden/>
    <w:qFormat/>
    <w:uiPriority w:val="0"/>
    <w:pPr>
      <w:shd w:val="clear" w:color="auto" w:fill="FFFFFF"/>
      <w:adjustRightInd/>
      <w:spacing w:before="100" w:beforeAutospacing="1" w:after="610" w:line="240" w:lineRule="auto"/>
      <w:jc w:val="center"/>
      <w:outlineLvl w:val="0"/>
    </w:pPr>
    <w:rPr>
      <w:rFonts w:ascii="MingLiU" w:hAnsi="宋体" w:eastAsia="MingLiU" w:cs="宋体"/>
      <w:color w:val="000000"/>
      <w:kern w:val="0"/>
      <w:sz w:val="28"/>
      <w:szCs w:val="28"/>
    </w:rPr>
  </w:style>
  <w:style w:type="paragraph" w:customStyle="1" w:styleId="293">
    <w:name w:val="附录四级条标题"/>
    <w:basedOn w:val="294"/>
    <w:next w:val="253"/>
    <w:qFormat/>
    <w:uiPriority w:val="0"/>
    <w:pPr>
      <w:tabs>
        <w:tab w:val="left" w:pos="360"/>
      </w:tabs>
      <w:outlineLvl w:val="5"/>
    </w:pPr>
  </w:style>
  <w:style w:type="paragraph" w:customStyle="1" w:styleId="294">
    <w:name w:val="附录三级条标题"/>
    <w:basedOn w:val="277"/>
    <w:next w:val="253"/>
    <w:qFormat/>
    <w:uiPriority w:val="0"/>
    <w:pPr>
      <w:outlineLvl w:val="4"/>
    </w:pPr>
  </w:style>
  <w:style w:type="paragraph" w:customStyle="1" w:styleId="295">
    <w:name w:val="正文公式编号制表符"/>
    <w:basedOn w:val="253"/>
    <w:next w:val="253"/>
    <w:qFormat/>
    <w:uiPriority w:val="0"/>
    <w:pPr>
      <w:ind w:firstLine="0" w:firstLineChars="0"/>
    </w:pPr>
  </w:style>
  <w:style w:type="paragraph" w:customStyle="1" w:styleId="296">
    <w:name w:val="附录表标题"/>
    <w:basedOn w:val="1"/>
    <w:next w:val="253"/>
    <w:qFormat/>
    <w:uiPriority w:val="0"/>
    <w:pPr>
      <w:numPr>
        <w:ilvl w:val="1"/>
        <w:numId w:val="30"/>
      </w:numPr>
      <w:adjustRightInd/>
      <w:spacing w:beforeLines="50" w:afterLines="50" w:line="240" w:lineRule="auto"/>
      <w:jc w:val="center"/>
    </w:pPr>
    <w:rPr>
      <w:rFonts w:ascii="黑体" w:hAnsi="Times New Roman" w:eastAsia="黑体"/>
    </w:rPr>
  </w:style>
  <w:style w:type="paragraph" w:customStyle="1" w:styleId="297">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98">
    <w:name w:val="其他"/>
    <w:basedOn w:val="1"/>
    <w:semiHidden/>
    <w:qFormat/>
    <w:uiPriority w:val="0"/>
    <w:pPr>
      <w:shd w:val="clear" w:color="auto" w:fill="FFFFFF"/>
      <w:adjustRightInd/>
      <w:spacing w:line="333" w:lineRule="auto"/>
      <w:ind w:firstLine="20"/>
      <w:jc w:val="left"/>
    </w:pPr>
    <w:rPr>
      <w:rFonts w:ascii="MingLiU" w:hAnsi="宋体" w:eastAsia="MingLiU" w:cs="宋体"/>
      <w:color w:val="000000"/>
      <w:kern w:val="0"/>
      <w:sz w:val="19"/>
      <w:szCs w:val="19"/>
    </w:rPr>
  </w:style>
  <w:style w:type="paragraph" w:customStyle="1" w:styleId="299">
    <w:name w:val="附录标识"/>
    <w:basedOn w:val="1"/>
    <w:next w:val="253"/>
    <w:qFormat/>
    <w:uiPriority w:val="0"/>
    <w:pPr>
      <w:keepNext/>
      <w:widowControl/>
      <w:shd w:val="clear" w:color="FFFFFF" w:fill="FFFFFF"/>
      <w:tabs>
        <w:tab w:val="left" w:pos="360"/>
        <w:tab w:val="left" w:pos="6405"/>
      </w:tabs>
      <w:adjustRightInd/>
      <w:spacing w:before="640" w:after="280" w:line="240" w:lineRule="auto"/>
      <w:ind w:left="420" w:hanging="420"/>
      <w:jc w:val="center"/>
      <w:outlineLvl w:val="0"/>
    </w:pPr>
    <w:rPr>
      <w:rFonts w:ascii="黑体" w:hAnsi="Times New Roman" w:eastAsia="黑体"/>
      <w:kern w:val="0"/>
      <w:szCs w:val="20"/>
    </w:rPr>
  </w:style>
  <w:style w:type="paragraph" w:customStyle="1" w:styleId="300">
    <w:name w:val="附录表标号"/>
    <w:basedOn w:val="1"/>
    <w:next w:val="253"/>
    <w:qFormat/>
    <w:uiPriority w:val="0"/>
    <w:pPr>
      <w:adjustRightInd/>
      <w:spacing w:line="14" w:lineRule="exact"/>
      <w:ind w:left="811" w:hanging="448"/>
      <w:jc w:val="center"/>
      <w:outlineLvl w:val="0"/>
    </w:pPr>
    <w:rPr>
      <w:rFonts w:ascii="Times New Roman" w:hAnsi="Times New Roman"/>
      <w:color w:val="FFFFFF"/>
      <w:szCs w:val="24"/>
    </w:rPr>
  </w:style>
  <w:style w:type="paragraph" w:customStyle="1" w:styleId="301">
    <w:name w:val="三级无"/>
    <w:basedOn w:val="282"/>
    <w:qFormat/>
    <w:uiPriority w:val="0"/>
    <w:pPr>
      <w:spacing w:beforeLines="0" w:afterLines="0"/>
    </w:pPr>
    <w:rPr>
      <w:rFonts w:ascii="宋体" w:eastAsia="宋体"/>
    </w:rPr>
  </w:style>
  <w:style w:type="paragraph" w:customStyle="1" w:styleId="302">
    <w:name w:val="附录一级条标题"/>
    <w:basedOn w:val="281"/>
    <w:next w:val="253"/>
    <w:qFormat/>
    <w:uiPriority w:val="0"/>
    <w:pPr>
      <w:autoSpaceDN w:val="0"/>
      <w:spacing w:beforeLines="50" w:afterLines="50"/>
      <w:outlineLvl w:val="2"/>
    </w:pPr>
  </w:style>
  <w:style w:type="paragraph" w:customStyle="1" w:styleId="303">
    <w:name w:val="附录五级无"/>
    <w:basedOn w:val="304"/>
    <w:qFormat/>
    <w:uiPriority w:val="0"/>
    <w:pPr>
      <w:tabs>
        <w:tab w:val="left" w:pos="360"/>
      </w:tabs>
      <w:spacing w:beforeLines="0" w:afterLines="0"/>
    </w:pPr>
    <w:rPr>
      <w:rFonts w:ascii="宋体" w:eastAsia="宋体"/>
      <w:szCs w:val="21"/>
    </w:rPr>
  </w:style>
  <w:style w:type="paragraph" w:customStyle="1" w:styleId="304">
    <w:name w:val="附录五级条标题"/>
    <w:basedOn w:val="293"/>
    <w:next w:val="253"/>
    <w:qFormat/>
    <w:uiPriority w:val="0"/>
    <w:pPr>
      <w:outlineLvl w:val="6"/>
    </w:pPr>
  </w:style>
  <w:style w:type="paragraph" w:customStyle="1" w:styleId="305">
    <w:name w:val="编号列项（三级）"/>
    <w:qFormat/>
    <w:uiPriority w:val="0"/>
    <w:pPr>
      <w:numPr>
        <w:ilvl w:val="2"/>
        <w:numId w:val="3"/>
      </w:numPr>
      <w:tabs>
        <w:tab w:val="left" w:pos="0"/>
      </w:tabs>
    </w:pPr>
    <w:rPr>
      <w:rFonts w:ascii="宋体" w:hAnsi="Times New Roman" w:eastAsia="宋体" w:cs="Times New Roman"/>
      <w:sz w:val="21"/>
      <w:lang w:val="en-US" w:eastAsia="zh-CN" w:bidi="ar-SA"/>
    </w:rPr>
  </w:style>
  <w:style w:type="paragraph" w:customStyle="1" w:styleId="306">
    <w:name w:val="附录图标号"/>
    <w:basedOn w:val="1"/>
    <w:qFormat/>
    <w:uiPriority w:val="0"/>
    <w:pPr>
      <w:keepNext/>
      <w:pageBreakBefore/>
      <w:widowControl/>
      <w:adjustRightInd/>
      <w:spacing w:line="14" w:lineRule="exact"/>
      <w:ind w:firstLine="363"/>
      <w:jc w:val="center"/>
      <w:outlineLvl w:val="0"/>
    </w:pPr>
    <w:rPr>
      <w:rFonts w:ascii="Times New Roman" w:hAnsi="Times New Roman"/>
      <w:color w:val="FFFFFF"/>
      <w:szCs w:val="24"/>
    </w:rPr>
  </w:style>
  <w:style w:type="paragraph" w:customStyle="1" w:styleId="307">
    <w:name w:val="标准书眉_奇数页"/>
    <w:next w:val="1"/>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308">
    <w:name w:val="注×：（正文）"/>
    <w:uiPriority w:val="0"/>
    <w:pPr>
      <w:ind w:firstLine="363"/>
      <w:jc w:val="both"/>
    </w:pPr>
    <w:rPr>
      <w:rFonts w:ascii="宋体" w:hAnsi="Times New Roman" w:eastAsia="宋体" w:cs="Times New Roman"/>
      <w:sz w:val="18"/>
      <w:szCs w:val="18"/>
      <w:lang w:val="en-US" w:eastAsia="zh-CN" w:bidi="ar-SA"/>
    </w:rPr>
  </w:style>
  <w:style w:type="paragraph" w:customStyle="1" w:styleId="309">
    <w:name w:val="前言、引言标题"/>
    <w:next w:val="253"/>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10">
    <w:name w:val="终结线"/>
    <w:basedOn w:val="1"/>
    <w:qFormat/>
    <w:uiPriority w:val="0"/>
    <w:pPr>
      <w:framePr w:hSpace="181" w:vSpace="181" w:wrap="around" w:vAnchor="text" w:hAnchor="margin" w:xAlign="center" w:y="285"/>
      <w:adjustRightInd/>
      <w:spacing w:line="240" w:lineRule="auto"/>
    </w:pPr>
    <w:rPr>
      <w:rFonts w:ascii="Times New Roman" w:hAnsi="Times New Roman"/>
      <w:szCs w:val="24"/>
    </w:rPr>
  </w:style>
  <w:style w:type="paragraph" w:customStyle="1" w:styleId="31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12">
    <w:name w:val="一级无"/>
    <w:basedOn w:val="262"/>
    <w:qFormat/>
    <w:uiPriority w:val="0"/>
    <w:pPr>
      <w:spacing w:beforeLines="0" w:afterLines="0"/>
    </w:pPr>
    <w:rPr>
      <w:rFonts w:ascii="宋体" w:eastAsia="宋体"/>
    </w:rPr>
  </w:style>
  <w:style w:type="paragraph" w:customStyle="1" w:styleId="313">
    <w:name w:val="注×："/>
    <w:qFormat/>
    <w:uiPriority w:val="0"/>
    <w:pPr>
      <w:widowControl w:val="0"/>
      <w:tabs>
        <w:tab w:val="left" w:pos="823"/>
      </w:tabs>
      <w:autoSpaceDE w:val="0"/>
      <w:autoSpaceDN w:val="0"/>
      <w:ind w:left="823" w:hanging="420"/>
      <w:jc w:val="both"/>
    </w:pPr>
    <w:rPr>
      <w:rFonts w:ascii="宋体" w:hAnsi="Times New Roman" w:eastAsia="宋体" w:cs="Times New Roman"/>
      <w:sz w:val="18"/>
      <w:szCs w:val="18"/>
      <w:lang w:val="en-US" w:eastAsia="zh-CN" w:bidi="ar-SA"/>
    </w:rPr>
  </w:style>
  <w:style w:type="paragraph" w:customStyle="1" w:styleId="314">
    <w:name w:val="封面标准文稿编辑信息2"/>
    <w:basedOn w:val="146"/>
    <w:qFormat/>
    <w:uiPriority w:val="0"/>
    <w:pPr>
      <w:framePr w:w="9639" w:h="6917" w:hRule="exact" w:wrap="around" w:vAnchor="page" w:hAnchor="page" w:xAlign="center" w:y="4469" w:anchorLock="1"/>
      <w:widowControl w:val="0"/>
      <w:spacing w:after="160"/>
      <w:textAlignment w:val="center"/>
    </w:pPr>
    <w:rPr>
      <w:szCs w:val="28"/>
    </w:rPr>
  </w:style>
  <w:style w:type="paragraph" w:customStyle="1" w:styleId="315">
    <w:name w:val="参考文献"/>
    <w:basedOn w:val="1"/>
    <w:next w:val="253"/>
    <w:qFormat/>
    <w:uiPriority w:val="0"/>
    <w:pPr>
      <w:keepNext/>
      <w:pageBreakBefore/>
      <w:widowControl/>
      <w:shd w:val="clear" w:color="FFFFFF" w:fill="FFFFFF"/>
      <w:adjustRightInd/>
      <w:spacing w:before="640" w:after="200" w:line="240" w:lineRule="auto"/>
      <w:jc w:val="center"/>
      <w:outlineLvl w:val="0"/>
    </w:pPr>
    <w:rPr>
      <w:rFonts w:ascii="黑体" w:hAnsi="Times New Roman" w:eastAsia="黑体"/>
      <w:kern w:val="0"/>
      <w:szCs w:val="20"/>
    </w:rPr>
  </w:style>
  <w:style w:type="paragraph" w:customStyle="1" w:styleId="316">
    <w:name w:val="标准书眉_偶数页"/>
    <w:basedOn w:val="307"/>
    <w:next w:val="1"/>
    <w:qFormat/>
    <w:uiPriority w:val="0"/>
    <w:pPr>
      <w:jc w:val="left"/>
    </w:pPr>
  </w:style>
  <w:style w:type="paragraph" w:customStyle="1" w:styleId="317">
    <w:name w:val="图的脚注"/>
    <w:next w:val="253"/>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318">
    <w:name w:val="附录三级无"/>
    <w:basedOn w:val="294"/>
    <w:qFormat/>
    <w:uiPriority w:val="0"/>
    <w:pPr>
      <w:tabs>
        <w:tab w:val="clear" w:pos="360"/>
      </w:tabs>
      <w:spacing w:beforeLines="0" w:afterLines="0"/>
    </w:pPr>
    <w:rPr>
      <w:rFonts w:ascii="宋体" w:eastAsia="宋体"/>
      <w:szCs w:val="21"/>
    </w:rPr>
  </w:style>
  <w:style w:type="paragraph" w:customStyle="1" w:styleId="319">
    <w:name w:val="五级条标题"/>
    <w:basedOn w:val="289"/>
    <w:next w:val="253"/>
    <w:uiPriority w:val="0"/>
    <w:pPr>
      <w:outlineLvl w:val="6"/>
    </w:pPr>
  </w:style>
  <w:style w:type="paragraph" w:customStyle="1" w:styleId="320">
    <w:name w:val="附录标题"/>
    <w:basedOn w:val="253"/>
    <w:next w:val="253"/>
    <w:uiPriority w:val="0"/>
    <w:pPr>
      <w:ind w:firstLine="0" w:firstLineChars="0"/>
      <w:jc w:val="center"/>
    </w:pPr>
    <w:rPr>
      <w:rFonts w:ascii="黑体" w:eastAsia="黑体"/>
    </w:rPr>
  </w:style>
  <w:style w:type="paragraph" w:customStyle="1" w:styleId="321">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322">
    <w:name w:val="四级无"/>
    <w:basedOn w:val="289"/>
    <w:qFormat/>
    <w:uiPriority w:val="0"/>
    <w:pPr>
      <w:spacing w:beforeLines="0" w:afterLines="0"/>
    </w:pPr>
    <w:rPr>
      <w:rFonts w:ascii="宋体" w:eastAsia="宋体"/>
    </w:rPr>
  </w:style>
  <w:style w:type="paragraph" w:customStyle="1" w:styleId="323">
    <w:name w:val="五级无"/>
    <w:basedOn w:val="319"/>
    <w:qFormat/>
    <w:uiPriority w:val="0"/>
    <w:pPr>
      <w:spacing w:beforeLines="0" w:afterLines="0"/>
    </w:pPr>
    <w:rPr>
      <w:rFonts w:ascii="宋体" w:eastAsia="宋体"/>
    </w:rPr>
  </w:style>
  <w:style w:type="paragraph" w:customStyle="1" w:styleId="324">
    <w:name w:val="列项◆（三级）"/>
    <w:basedOn w:val="1"/>
    <w:qFormat/>
    <w:uiPriority w:val="0"/>
    <w:pPr>
      <w:numPr>
        <w:ilvl w:val="2"/>
        <w:numId w:val="9"/>
      </w:numPr>
      <w:tabs>
        <w:tab w:val="left" w:pos="1678"/>
      </w:tabs>
      <w:adjustRightInd/>
      <w:spacing w:line="240" w:lineRule="auto"/>
    </w:pPr>
    <w:rPr>
      <w:rFonts w:ascii="宋体" w:hAnsi="Times New Roman"/>
    </w:rPr>
  </w:style>
  <w:style w:type="paragraph" w:customStyle="1" w:styleId="325">
    <w:name w:val="其他标准标志"/>
    <w:basedOn w:val="72"/>
    <w:qFormat/>
    <w:uiPriority w:val="0"/>
    <w:pPr>
      <w:framePr w:w="6101" w:h="1389" w:hRule="exact" w:hSpace="181" w:vSpace="181" w:vAnchor="page" w:hAnchor="page" w:x="4673" w:y="942"/>
    </w:pPr>
    <w:rPr>
      <w:szCs w:val="96"/>
    </w:rPr>
  </w:style>
  <w:style w:type="paragraph" w:customStyle="1" w:styleId="326">
    <w:name w:val="正文文本1"/>
    <w:basedOn w:val="1"/>
    <w:semiHidden/>
    <w:qFormat/>
    <w:uiPriority w:val="0"/>
    <w:pPr>
      <w:shd w:val="clear" w:color="auto" w:fill="FFFFFF"/>
      <w:adjustRightInd/>
      <w:spacing w:line="333" w:lineRule="auto"/>
      <w:ind w:firstLine="20"/>
      <w:jc w:val="left"/>
    </w:pPr>
    <w:rPr>
      <w:rFonts w:ascii="MingLiU" w:hAnsi="MingLiU" w:eastAsia="MingLiU"/>
      <w:color w:val="000000"/>
      <w:kern w:val="0"/>
      <w:sz w:val="19"/>
      <w:szCs w:val="19"/>
    </w:rPr>
  </w:style>
  <w:style w:type="paragraph" w:customStyle="1" w:styleId="327">
    <w:name w:val="附录一级无"/>
    <w:basedOn w:val="302"/>
    <w:qFormat/>
    <w:uiPriority w:val="0"/>
    <w:pPr>
      <w:tabs>
        <w:tab w:val="clear" w:pos="360"/>
      </w:tabs>
      <w:spacing w:beforeLines="0" w:afterLines="0"/>
    </w:pPr>
    <w:rPr>
      <w:rFonts w:ascii="宋体" w:eastAsia="宋体"/>
      <w:szCs w:val="21"/>
    </w:rPr>
  </w:style>
  <w:style w:type="paragraph" w:customStyle="1" w:styleId="328">
    <w:name w:val="参考文献、索引标题"/>
    <w:basedOn w:val="1"/>
    <w:next w:val="253"/>
    <w:qFormat/>
    <w:uiPriority w:val="0"/>
    <w:pPr>
      <w:keepNext/>
      <w:pageBreakBefore/>
      <w:widowControl/>
      <w:shd w:val="clear" w:color="FFFFFF" w:fill="FFFFFF"/>
      <w:adjustRightInd/>
      <w:spacing w:before="640" w:after="200" w:line="240" w:lineRule="auto"/>
      <w:jc w:val="center"/>
      <w:outlineLvl w:val="0"/>
    </w:pPr>
    <w:rPr>
      <w:rFonts w:ascii="黑体" w:hAnsi="Times New Roman" w:eastAsia="黑体"/>
      <w:kern w:val="0"/>
      <w:szCs w:val="20"/>
    </w:rPr>
  </w:style>
  <w:style w:type="paragraph" w:customStyle="1" w:styleId="329">
    <w:name w:val="目次、标准名称标题"/>
    <w:basedOn w:val="1"/>
    <w:next w:val="253"/>
    <w:qFormat/>
    <w:uiPriority w:val="0"/>
    <w:pPr>
      <w:keepNext/>
      <w:pageBreakBefore/>
      <w:widowControl/>
      <w:shd w:val="clear" w:color="FFFFFF" w:fill="FFFFFF"/>
      <w:adjustRightInd/>
      <w:spacing w:before="640" w:after="560" w:line="460" w:lineRule="exact"/>
      <w:jc w:val="center"/>
      <w:outlineLvl w:val="0"/>
    </w:pPr>
    <w:rPr>
      <w:rFonts w:ascii="黑体" w:hAnsi="Times New Roman" w:eastAsia="黑体"/>
      <w:kern w:val="0"/>
      <w:sz w:val="32"/>
      <w:szCs w:val="20"/>
    </w:rPr>
  </w:style>
  <w:style w:type="paragraph" w:customStyle="1" w:styleId="330">
    <w:name w:val="正文表标题"/>
    <w:next w:val="253"/>
    <w:uiPriority w:val="0"/>
    <w:pPr>
      <w:tabs>
        <w:tab w:val="left" w:pos="360"/>
        <w:tab w:val="left" w:pos="851"/>
      </w:tabs>
      <w:spacing w:beforeLines="50" w:afterLines="50"/>
      <w:ind w:left="851" w:hanging="426"/>
      <w:jc w:val="center"/>
    </w:pPr>
    <w:rPr>
      <w:rFonts w:ascii="黑体" w:hAnsi="Times New Roman" w:eastAsia="黑体" w:cs="Times New Roman"/>
      <w:sz w:val="21"/>
      <w:lang w:val="en-US" w:eastAsia="zh-CN" w:bidi="ar-SA"/>
    </w:rPr>
  </w:style>
  <w:style w:type="paragraph" w:customStyle="1" w:styleId="331">
    <w:name w:val="条文脚注"/>
    <w:basedOn w:val="34"/>
    <w:uiPriority w:val="0"/>
    <w:pPr>
      <w:tabs>
        <w:tab w:val="left" w:pos="0"/>
      </w:tabs>
      <w:spacing w:line="240" w:lineRule="auto"/>
      <w:ind w:left="0" w:leftChars="0" w:firstLine="0" w:firstLineChars="0"/>
      <w:jc w:val="both"/>
    </w:pPr>
    <w:rPr>
      <w:rFonts w:hAnsi="Times New Roman"/>
    </w:rPr>
  </w:style>
  <w:style w:type="paragraph" w:customStyle="1" w:styleId="332">
    <w:name w:val="列项说明数字编号"/>
    <w:uiPriority w:val="0"/>
    <w:pPr>
      <w:ind w:left="600" w:leftChars="400" w:hanging="200" w:hangingChars="200"/>
    </w:pPr>
    <w:rPr>
      <w:rFonts w:ascii="宋体" w:hAnsi="Times New Roman" w:eastAsia="宋体" w:cs="Times New Roman"/>
      <w:sz w:val="21"/>
      <w:lang w:val="en-US" w:eastAsia="zh-CN" w:bidi="ar-SA"/>
    </w:rPr>
  </w:style>
  <w:style w:type="paragraph" w:customStyle="1" w:styleId="333">
    <w:name w:val="列项说明"/>
    <w:basedOn w:val="1"/>
    <w:qFormat/>
    <w:uiPriority w:val="0"/>
    <w:pPr>
      <w:spacing w:line="320" w:lineRule="exact"/>
      <w:ind w:left="400" w:leftChars="200" w:hanging="200" w:hangingChars="200"/>
      <w:jc w:val="left"/>
      <w:textAlignment w:val="baseline"/>
    </w:pPr>
    <w:rPr>
      <w:rFonts w:ascii="宋体" w:hAnsi="Times New Roman"/>
      <w:kern w:val="0"/>
      <w:szCs w:val="20"/>
    </w:rPr>
  </w:style>
  <w:style w:type="paragraph" w:customStyle="1" w:styleId="334">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335">
    <w:name w:val="图片标题"/>
    <w:basedOn w:val="1"/>
    <w:semiHidden/>
    <w:qFormat/>
    <w:uiPriority w:val="0"/>
    <w:pPr>
      <w:shd w:val="clear" w:color="auto" w:fill="FFFFFF"/>
      <w:adjustRightInd/>
      <w:spacing w:line="240" w:lineRule="auto"/>
      <w:jc w:val="left"/>
    </w:pPr>
    <w:rPr>
      <w:rFonts w:ascii="MingLiU" w:hAnsi="MingLiU" w:eastAsia="MingLiU" w:cs="宋体"/>
      <w:color w:val="000000"/>
      <w:kern w:val="0"/>
      <w:sz w:val="17"/>
      <w:szCs w:val="17"/>
    </w:rPr>
  </w:style>
  <w:style w:type="paragraph" w:customStyle="1" w:styleId="336">
    <w:name w:val="封面标准英文名称2"/>
    <w:basedOn w:val="148"/>
    <w:qFormat/>
    <w:uiPriority w:val="0"/>
    <w:pPr>
      <w:framePr w:w="9639" w:h="6917" w:hRule="exact" w:wrap="around" w:vAnchor="page" w:hAnchor="page" w:xAlign="center" w:y="4469" w:anchorLock="1"/>
      <w:spacing w:before="370" w:line="400" w:lineRule="exact"/>
      <w:textAlignment w:val="center"/>
    </w:pPr>
    <w:rPr>
      <w:rFonts w:eastAsia="黑体"/>
      <w:szCs w:val="28"/>
    </w:rPr>
  </w:style>
  <w:style w:type="paragraph" w:customStyle="1" w:styleId="337">
    <w:name w:val="示例×："/>
    <w:basedOn w:val="257"/>
    <w:qFormat/>
    <w:uiPriority w:val="0"/>
    <w:pPr>
      <w:tabs>
        <w:tab w:val="left" w:pos="851"/>
      </w:tabs>
      <w:spacing w:beforeLines="0" w:afterLines="0"/>
      <w:ind w:left="851" w:hanging="426"/>
      <w:outlineLvl w:val="9"/>
    </w:pPr>
    <w:rPr>
      <w:rFonts w:ascii="宋体" w:eastAsia="宋体"/>
      <w:sz w:val="18"/>
      <w:szCs w:val="18"/>
    </w:rPr>
  </w:style>
  <w:style w:type="paragraph" w:customStyle="1" w:styleId="338">
    <w:name w:val="示例"/>
    <w:next w:val="321"/>
    <w:qFormat/>
    <w:uiPriority w:val="0"/>
    <w:pPr>
      <w:widowControl w:val="0"/>
      <w:ind w:left="851"/>
      <w:jc w:val="both"/>
    </w:pPr>
    <w:rPr>
      <w:rFonts w:ascii="宋体" w:hAnsi="Times New Roman" w:eastAsia="宋体" w:cs="Times New Roman"/>
      <w:sz w:val="18"/>
      <w:szCs w:val="18"/>
      <w:lang w:val="en-US" w:eastAsia="zh-CN" w:bidi="ar-SA"/>
    </w:rPr>
  </w:style>
  <w:style w:type="paragraph" w:customStyle="1" w:styleId="339">
    <w:name w:val="附录数字编号列项（二级）"/>
    <w:qFormat/>
    <w:uiPriority w:val="0"/>
    <w:pPr>
      <w:numPr>
        <w:ilvl w:val="1"/>
        <w:numId w:val="7"/>
      </w:numPr>
      <w:tabs>
        <w:tab w:val="left" w:pos="840"/>
      </w:tabs>
    </w:pPr>
    <w:rPr>
      <w:rFonts w:ascii="宋体" w:hAnsi="Times New Roman" w:eastAsia="宋体" w:cs="Times New Roman"/>
      <w:sz w:val="21"/>
      <w:lang w:val="en-US" w:eastAsia="zh-CN" w:bidi="ar-SA"/>
    </w:rPr>
  </w:style>
  <w:style w:type="paragraph" w:customStyle="1" w:styleId="340">
    <w:name w:val="附录图标题"/>
    <w:basedOn w:val="1"/>
    <w:next w:val="253"/>
    <w:qFormat/>
    <w:uiPriority w:val="0"/>
    <w:pPr>
      <w:numPr>
        <w:ilvl w:val="1"/>
        <w:numId w:val="28"/>
      </w:numPr>
      <w:adjustRightInd/>
      <w:spacing w:beforeLines="50" w:afterLines="50" w:line="240" w:lineRule="auto"/>
      <w:ind w:firstLine="0"/>
      <w:jc w:val="center"/>
    </w:pPr>
    <w:rPr>
      <w:rFonts w:ascii="黑体" w:hAnsi="Times New Roman" w:eastAsia="黑体"/>
    </w:rPr>
  </w:style>
  <w:style w:type="paragraph" w:customStyle="1" w:styleId="341">
    <w:name w:val="封面一致性程度标识2"/>
    <w:basedOn w:val="149"/>
    <w:qFormat/>
    <w:uiPriority w:val="0"/>
    <w:pPr>
      <w:framePr w:w="9639" w:h="6917" w:hRule="exact" w:wrap="around" w:vAnchor="page" w:hAnchor="page" w:xAlign="center" w:y="4469" w:anchorLock="1"/>
      <w:widowControl w:val="0"/>
      <w:spacing w:line="400" w:lineRule="exact"/>
      <w:textAlignment w:val="center"/>
    </w:pPr>
    <w:rPr>
      <w:rFonts w:ascii="宋体"/>
      <w:szCs w:val="28"/>
    </w:rPr>
  </w:style>
  <w:style w:type="paragraph" w:customStyle="1" w:styleId="342">
    <w:name w:val="附录四级无"/>
    <w:basedOn w:val="293"/>
    <w:uiPriority w:val="0"/>
    <w:pPr>
      <w:tabs>
        <w:tab w:val="clear" w:pos="360"/>
      </w:tabs>
      <w:spacing w:beforeLines="0" w:afterLines="0"/>
    </w:pPr>
    <w:rPr>
      <w:rFonts w:ascii="宋体" w:eastAsia="宋体"/>
      <w:szCs w:val="21"/>
    </w:rPr>
  </w:style>
  <w:style w:type="paragraph" w:styleId="343">
    <w:name w:val="List Paragraph"/>
    <w:basedOn w:val="1"/>
    <w:qFormat/>
    <w:uiPriority w:val="99"/>
    <w:pPr>
      <w:adjustRightInd/>
      <w:spacing w:line="240" w:lineRule="auto"/>
      <w:ind w:firstLine="420" w:firstLineChars="200"/>
    </w:pPr>
    <w:rPr>
      <w:rFonts w:ascii="Times New Roman" w:hAnsi="Times New Roman"/>
      <w:szCs w:val="24"/>
    </w:rPr>
  </w:style>
  <w:style w:type="paragraph" w:customStyle="1" w:styleId="344">
    <w:name w:val="表格"/>
    <w:qFormat/>
    <w:uiPriority w:val="0"/>
    <w:pPr>
      <w:spacing w:beforeLines="20" w:afterLines="20"/>
      <w:jc w:val="center"/>
    </w:pPr>
    <w:rPr>
      <w:rFonts w:ascii="Times New Roman" w:hAnsi="Times New Roman" w:eastAsia="仿宋_GB2312" w:cs="Times New Roman"/>
      <w:sz w:val="24"/>
      <w:lang w:val="en-US" w:eastAsia="zh-CN" w:bidi="ar-SA"/>
    </w:rPr>
  </w:style>
  <w:style w:type="character" w:customStyle="1" w:styleId="345">
    <w:name w:val="样式2 表格文字居中 Char"/>
    <w:link w:val="346"/>
    <w:qFormat/>
    <w:locked/>
    <w:uiPriority w:val="0"/>
    <w:rPr>
      <w:kern w:val="2"/>
      <w:sz w:val="21"/>
      <w:szCs w:val="21"/>
    </w:rPr>
  </w:style>
  <w:style w:type="paragraph" w:customStyle="1" w:styleId="346">
    <w:name w:val="样式2 表格文字居中"/>
    <w:basedOn w:val="19"/>
    <w:next w:val="45"/>
    <w:link w:val="345"/>
    <w:qFormat/>
    <w:uiPriority w:val="0"/>
    <w:pPr>
      <w:adjustRightInd/>
      <w:spacing w:after="0" w:line="360" w:lineRule="auto"/>
      <w:ind w:firstLine="200" w:firstLineChars="200"/>
      <w:jc w:val="center"/>
    </w:pPr>
  </w:style>
</w:styles>
</file>

<file path=word/_rels/document.xml.rels><?xml version="1.0" encoding="UTF-8" standalone="yes"?>
<Relationships xmlns="http://schemas.openxmlformats.org/package/2006/relationships"><Relationship Id="rId99" Type="http://schemas.openxmlformats.org/officeDocument/2006/relationships/image" Target="media/image42.png"/><Relationship Id="rId98" Type="http://schemas.openxmlformats.org/officeDocument/2006/relationships/oleObject" Target="embeddings/oleObject42.bin"/><Relationship Id="rId97" Type="http://schemas.openxmlformats.org/officeDocument/2006/relationships/oleObject" Target="embeddings/oleObject41.bin"/><Relationship Id="rId96" Type="http://schemas.openxmlformats.org/officeDocument/2006/relationships/oleObject" Target="embeddings/oleObject40.bin"/><Relationship Id="rId95" Type="http://schemas.openxmlformats.org/officeDocument/2006/relationships/oleObject" Target="embeddings/oleObject39.bin"/><Relationship Id="rId94" Type="http://schemas.openxmlformats.org/officeDocument/2006/relationships/oleObject" Target="embeddings/oleObject38.bin"/><Relationship Id="rId93" Type="http://schemas.openxmlformats.org/officeDocument/2006/relationships/oleObject" Target="embeddings/oleObject37.bin"/><Relationship Id="rId92" Type="http://schemas.openxmlformats.org/officeDocument/2006/relationships/image" Target="media/image41.wmf"/><Relationship Id="rId91" Type="http://schemas.openxmlformats.org/officeDocument/2006/relationships/image" Target="media/image40.wmf"/><Relationship Id="rId90" Type="http://schemas.openxmlformats.org/officeDocument/2006/relationships/oleObject" Target="embeddings/oleObject36.bin"/><Relationship Id="rId9" Type="http://schemas.openxmlformats.org/officeDocument/2006/relationships/footer" Target="footer2.xml"/><Relationship Id="rId89" Type="http://schemas.openxmlformats.org/officeDocument/2006/relationships/oleObject" Target="embeddings/oleObject35.bin"/><Relationship Id="rId88" Type="http://schemas.openxmlformats.org/officeDocument/2006/relationships/oleObject" Target="embeddings/oleObject34.bin"/><Relationship Id="rId87" Type="http://schemas.openxmlformats.org/officeDocument/2006/relationships/oleObject" Target="embeddings/oleObject33.bin"/><Relationship Id="rId86" Type="http://schemas.openxmlformats.org/officeDocument/2006/relationships/oleObject" Target="embeddings/oleObject32.bin"/><Relationship Id="rId85" Type="http://schemas.openxmlformats.org/officeDocument/2006/relationships/oleObject" Target="embeddings/oleObject31.bin"/><Relationship Id="rId84" Type="http://schemas.openxmlformats.org/officeDocument/2006/relationships/oleObject" Target="embeddings/oleObject30.bin"/><Relationship Id="rId83" Type="http://schemas.openxmlformats.org/officeDocument/2006/relationships/image" Target="media/image39.wmf"/><Relationship Id="rId82" Type="http://schemas.openxmlformats.org/officeDocument/2006/relationships/oleObject" Target="embeddings/oleObject29.bin"/><Relationship Id="rId81" Type="http://schemas.openxmlformats.org/officeDocument/2006/relationships/oleObject" Target="embeddings/oleObject28.bin"/><Relationship Id="rId80" Type="http://schemas.openxmlformats.org/officeDocument/2006/relationships/oleObject" Target="embeddings/oleObject27.bin"/><Relationship Id="rId8" Type="http://schemas.openxmlformats.org/officeDocument/2006/relationships/footer" Target="footer1.xml"/><Relationship Id="rId79" Type="http://schemas.openxmlformats.org/officeDocument/2006/relationships/oleObject" Target="embeddings/oleObject26.bin"/><Relationship Id="rId78" Type="http://schemas.openxmlformats.org/officeDocument/2006/relationships/oleObject" Target="embeddings/oleObject25.bin"/><Relationship Id="rId77" Type="http://schemas.openxmlformats.org/officeDocument/2006/relationships/oleObject" Target="embeddings/oleObject24.bin"/><Relationship Id="rId76" Type="http://schemas.openxmlformats.org/officeDocument/2006/relationships/image" Target="media/image38.wmf"/><Relationship Id="rId75" Type="http://schemas.openxmlformats.org/officeDocument/2006/relationships/image" Target="media/image37.wmf"/><Relationship Id="rId74" Type="http://schemas.openxmlformats.org/officeDocument/2006/relationships/oleObject" Target="embeddings/oleObject23.bin"/><Relationship Id="rId73" Type="http://schemas.openxmlformats.org/officeDocument/2006/relationships/image" Target="media/image36.wmf"/><Relationship Id="rId72" Type="http://schemas.openxmlformats.org/officeDocument/2006/relationships/oleObject" Target="embeddings/oleObject22.bin"/><Relationship Id="rId71" Type="http://schemas.openxmlformats.org/officeDocument/2006/relationships/image" Target="media/image35.wmf"/><Relationship Id="rId70" Type="http://schemas.openxmlformats.org/officeDocument/2006/relationships/oleObject" Target="embeddings/oleObject21.bin"/><Relationship Id="rId7" Type="http://schemas.openxmlformats.org/officeDocument/2006/relationships/header" Target="header3.xml"/><Relationship Id="rId69" Type="http://schemas.openxmlformats.org/officeDocument/2006/relationships/image" Target="media/image34.wmf"/><Relationship Id="rId68" Type="http://schemas.openxmlformats.org/officeDocument/2006/relationships/oleObject" Target="embeddings/oleObject20.bin"/><Relationship Id="rId67" Type="http://schemas.openxmlformats.org/officeDocument/2006/relationships/image" Target="media/image33.wmf"/><Relationship Id="rId66" Type="http://schemas.openxmlformats.org/officeDocument/2006/relationships/oleObject" Target="embeddings/oleObject19.bin"/><Relationship Id="rId65" Type="http://schemas.openxmlformats.org/officeDocument/2006/relationships/image" Target="media/image32.wmf"/><Relationship Id="rId64" Type="http://schemas.openxmlformats.org/officeDocument/2006/relationships/oleObject" Target="embeddings/oleObject18.bin"/><Relationship Id="rId63" Type="http://schemas.openxmlformats.org/officeDocument/2006/relationships/image" Target="media/image31.wmf"/><Relationship Id="rId62" Type="http://schemas.openxmlformats.org/officeDocument/2006/relationships/oleObject" Target="embeddings/oleObject17.bin"/><Relationship Id="rId61" Type="http://schemas.openxmlformats.org/officeDocument/2006/relationships/image" Target="media/image30.wmf"/><Relationship Id="rId60" Type="http://schemas.openxmlformats.org/officeDocument/2006/relationships/image" Target="media/image29.wmf"/><Relationship Id="rId6" Type="http://schemas.openxmlformats.org/officeDocument/2006/relationships/header" Target="header2.xml"/><Relationship Id="rId59" Type="http://schemas.openxmlformats.org/officeDocument/2006/relationships/oleObject" Target="embeddings/oleObject16.bin"/><Relationship Id="rId58" Type="http://schemas.openxmlformats.org/officeDocument/2006/relationships/image" Target="media/image28.wmf"/><Relationship Id="rId57" Type="http://schemas.openxmlformats.org/officeDocument/2006/relationships/oleObject" Target="embeddings/oleObject15.bin"/><Relationship Id="rId56" Type="http://schemas.openxmlformats.org/officeDocument/2006/relationships/image" Target="media/image27.wmf"/><Relationship Id="rId55" Type="http://schemas.openxmlformats.org/officeDocument/2006/relationships/oleObject" Target="embeddings/oleObject14.bin"/><Relationship Id="rId54" Type="http://schemas.openxmlformats.org/officeDocument/2006/relationships/image" Target="media/image26.wmf"/><Relationship Id="rId53" Type="http://schemas.openxmlformats.org/officeDocument/2006/relationships/oleObject" Target="embeddings/oleObject13.bin"/><Relationship Id="rId52" Type="http://schemas.openxmlformats.org/officeDocument/2006/relationships/image" Target="media/image25.wmf"/><Relationship Id="rId51" Type="http://schemas.openxmlformats.org/officeDocument/2006/relationships/oleObject" Target="embeddings/oleObject12.bin"/><Relationship Id="rId50" Type="http://schemas.openxmlformats.org/officeDocument/2006/relationships/image" Target="media/image24.wmf"/><Relationship Id="rId5" Type="http://schemas.openxmlformats.org/officeDocument/2006/relationships/header" Target="header1.xml"/><Relationship Id="rId49" Type="http://schemas.openxmlformats.org/officeDocument/2006/relationships/oleObject" Target="embeddings/oleObject11.bin"/><Relationship Id="rId48" Type="http://schemas.openxmlformats.org/officeDocument/2006/relationships/image" Target="media/image23.wmf"/><Relationship Id="rId47" Type="http://schemas.openxmlformats.org/officeDocument/2006/relationships/oleObject" Target="embeddings/oleObject10.bin"/><Relationship Id="rId46" Type="http://schemas.openxmlformats.org/officeDocument/2006/relationships/image" Target="media/image22.wmf"/><Relationship Id="rId45" Type="http://schemas.openxmlformats.org/officeDocument/2006/relationships/oleObject" Target="embeddings/oleObject9.bin"/><Relationship Id="rId44" Type="http://schemas.openxmlformats.org/officeDocument/2006/relationships/image" Target="media/image21.wmf"/><Relationship Id="rId43" Type="http://schemas.openxmlformats.org/officeDocument/2006/relationships/oleObject" Target="embeddings/oleObject8.bin"/><Relationship Id="rId42" Type="http://schemas.openxmlformats.org/officeDocument/2006/relationships/image" Target="media/image20.wmf"/><Relationship Id="rId41" Type="http://schemas.openxmlformats.org/officeDocument/2006/relationships/oleObject" Target="embeddings/oleObject7.bin"/><Relationship Id="rId40" Type="http://schemas.openxmlformats.org/officeDocument/2006/relationships/image" Target="media/image19.wmf"/><Relationship Id="rId4" Type="http://schemas.openxmlformats.org/officeDocument/2006/relationships/endnotes" Target="endnotes.xml"/><Relationship Id="rId39" Type="http://schemas.openxmlformats.org/officeDocument/2006/relationships/oleObject" Target="embeddings/oleObject6.bin"/><Relationship Id="rId38" Type="http://schemas.openxmlformats.org/officeDocument/2006/relationships/image" Target="media/image18.wmf"/><Relationship Id="rId37" Type="http://schemas.openxmlformats.org/officeDocument/2006/relationships/oleObject" Target="embeddings/oleObject5.bin"/><Relationship Id="rId36" Type="http://schemas.openxmlformats.org/officeDocument/2006/relationships/image" Target="media/image17.wmf"/><Relationship Id="rId35" Type="http://schemas.openxmlformats.org/officeDocument/2006/relationships/oleObject" Target="embeddings/oleObject4.bin"/><Relationship Id="rId34" Type="http://schemas.openxmlformats.org/officeDocument/2006/relationships/image" Target="media/image16.wmf"/><Relationship Id="rId33" Type="http://schemas.openxmlformats.org/officeDocument/2006/relationships/oleObject" Target="embeddings/oleObject3.bin"/><Relationship Id="rId32" Type="http://schemas.openxmlformats.org/officeDocument/2006/relationships/image" Target="media/image15.wmf"/><Relationship Id="rId31" Type="http://schemas.openxmlformats.org/officeDocument/2006/relationships/oleObject" Target="embeddings/oleObject2.bin"/><Relationship Id="rId30" Type="http://schemas.openxmlformats.org/officeDocument/2006/relationships/image" Target="media/image14.wmf"/><Relationship Id="rId3" Type="http://schemas.openxmlformats.org/officeDocument/2006/relationships/footnotes" Target="footnotes.xml"/><Relationship Id="rId29" Type="http://schemas.openxmlformats.org/officeDocument/2006/relationships/oleObject" Target="embeddings/oleObject1.bin"/><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image" Target="media/image11.wmf"/><Relationship Id="rId25" Type="http://schemas.openxmlformats.org/officeDocument/2006/relationships/image" Target="media/image10.wmf"/><Relationship Id="rId24" Type="http://schemas.openxmlformats.org/officeDocument/2006/relationships/image" Target="media/image9.wmf"/><Relationship Id="rId23" Type="http://schemas.openxmlformats.org/officeDocument/2006/relationships/image" Target="media/image8.wmf"/><Relationship Id="rId22" Type="http://schemas.openxmlformats.org/officeDocument/2006/relationships/image" Target="media/image7.wmf"/><Relationship Id="rId21" Type="http://schemas.openxmlformats.org/officeDocument/2006/relationships/image" Target="media/image6.wmf"/><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image" Target="media/image4.wmf"/><Relationship Id="rId18" Type="http://schemas.openxmlformats.org/officeDocument/2006/relationships/image" Target="media/image3.wmf"/><Relationship Id="rId17" Type="http://schemas.openxmlformats.org/officeDocument/2006/relationships/image" Target="media/image2.wmf"/><Relationship Id="rId16" Type="http://schemas.openxmlformats.org/officeDocument/2006/relationships/image" Target="media/image1.wmf"/><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8" Type="http://schemas.openxmlformats.org/officeDocument/2006/relationships/glossaryDocument" Target="glossary/document.xml"/><Relationship Id="rId127" Type="http://schemas.openxmlformats.org/officeDocument/2006/relationships/fontTable" Target="fontTable.xml"/><Relationship Id="rId126" Type="http://schemas.openxmlformats.org/officeDocument/2006/relationships/numbering" Target="numbering.xml"/><Relationship Id="rId125" Type="http://schemas.openxmlformats.org/officeDocument/2006/relationships/customXml" Target="../customXml/item1.xml"/><Relationship Id="rId124" Type="http://schemas.openxmlformats.org/officeDocument/2006/relationships/image" Target="media/image59.jpeg"/><Relationship Id="rId123" Type="http://schemas.openxmlformats.org/officeDocument/2006/relationships/image" Target="media/image58.wmf"/><Relationship Id="rId122" Type="http://schemas.openxmlformats.org/officeDocument/2006/relationships/oleObject" Target="embeddings/oleObject50.bin"/><Relationship Id="rId121" Type="http://schemas.openxmlformats.org/officeDocument/2006/relationships/image" Target="media/image57.wmf"/><Relationship Id="rId120" Type="http://schemas.openxmlformats.org/officeDocument/2006/relationships/oleObject" Target="embeddings/oleObject49.bin"/><Relationship Id="rId12" Type="http://schemas.openxmlformats.org/officeDocument/2006/relationships/header" Target="header5.xml"/><Relationship Id="rId119" Type="http://schemas.openxmlformats.org/officeDocument/2006/relationships/image" Target="media/image56.wmf"/><Relationship Id="rId118" Type="http://schemas.openxmlformats.org/officeDocument/2006/relationships/image" Target="media/image55.wmf"/><Relationship Id="rId117" Type="http://schemas.openxmlformats.org/officeDocument/2006/relationships/oleObject" Target="embeddings/oleObject48.bin"/><Relationship Id="rId116" Type="http://schemas.openxmlformats.org/officeDocument/2006/relationships/image" Target="media/image54.wmf"/><Relationship Id="rId115" Type="http://schemas.openxmlformats.org/officeDocument/2006/relationships/oleObject" Target="embeddings/oleObject47.bin"/><Relationship Id="rId114" Type="http://schemas.openxmlformats.org/officeDocument/2006/relationships/image" Target="media/image53.wmf"/><Relationship Id="rId113" Type="http://schemas.openxmlformats.org/officeDocument/2006/relationships/oleObject" Target="embeddings/oleObject46.bin"/><Relationship Id="rId112" Type="http://schemas.openxmlformats.org/officeDocument/2006/relationships/image" Target="media/image52.wmf"/><Relationship Id="rId111" Type="http://schemas.openxmlformats.org/officeDocument/2006/relationships/oleObject" Target="embeddings/oleObject45.bin"/><Relationship Id="rId110" Type="http://schemas.openxmlformats.org/officeDocument/2006/relationships/image" Target="media/image51.wmf"/><Relationship Id="rId11" Type="http://schemas.openxmlformats.org/officeDocument/2006/relationships/header" Target="header4.xml"/><Relationship Id="rId109" Type="http://schemas.openxmlformats.org/officeDocument/2006/relationships/oleObject" Target="embeddings/oleObject44.bin"/><Relationship Id="rId108" Type="http://schemas.openxmlformats.org/officeDocument/2006/relationships/image" Target="media/image50.wmf"/><Relationship Id="rId107" Type="http://schemas.openxmlformats.org/officeDocument/2006/relationships/oleObject" Target="embeddings/oleObject43.bin"/><Relationship Id="rId106" Type="http://schemas.openxmlformats.org/officeDocument/2006/relationships/image" Target="media/image49.wmf"/><Relationship Id="rId105" Type="http://schemas.openxmlformats.org/officeDocument/2006/relationships/image" Target="media/image48.wmf"/><Relationship Id="rId104" Type="http://schemas.openxmlformats.org/officeDocument/2006/relationships/image" Target="media/image47.wmf"/><Relationship Id="rId103" Type="http://schemas.openxmlformats.org/officeDocument/2006/relationships/image" Target="media/image46.wmf"/><Relationship Id="rId102" Type="http://schemas.openxmlformats.org/officeDocument/2006/relationships/image" Target="media/image45.wmf"/><Relationship Id="rId101" Type="http://schemas.openxmlformats.org/officeDocument/2006/relationships/image" Target="media/image44.png"/><Relationship Id="rId100" Type="http://schemas.openxmlformats.org/officeDocument/2006/relationships/image" Target="media/image43.png"/><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87355670D9349FE9FA02ED8197205F5"/>
        <w:style w:val=""/>
        <w:category>
          <w:name w:val="常规"/>
          <w:gallery w:val="placeholder"/>
        </w:category>
        <w:types>
          <w:type w:val="bbPlcHdr"/>
        </w:types>
        <w:behaviors>
          <w:behavior w:val="content"/>
        </w:behaviors>
        <w:description w:val=""/>
        <w:guid w:val="{39C8A0F5-F0BC-48DF-81D1-71C0668EC251}"/>
      </w:docPartPr>
      <w:docPartBody>
        <w:p>
          <w:pPr>
            <w:pStyle w:val="5"/>
          </w:pPr>
          <w:r>
            <w:rPr>
              <w:rStyle w:val="4"/>
              <w:rFonts w:hint="eastAsia"/>
            </w:rPr>
            <w:t>单击或点击此处输入文字。</w:t>
          </w:r>
        </w:p>
      </w:docPartBody>
    </w:docPart>
    <w:docPart>
      <w:docPartPr>
        <w:name w:val="860C98DCF3154835BC571480A7AB204D"/>
        <w:style w:val=""/>
        <w:category>
          <w:name w:val="常规"/>
          <w:gallery w:val="placeholder"/>
        </w:category>
        <w:types>
          <w:type w:val="bbPlcHdr"/>
        </w:types>
        <w:behaviors>
          <w:behavior w:val="content"/>
        </w:behaviors>
        <w:description w:val=""/>
        <w:guid w:val="{A31BD1CD-9F6B-4711-86DD-4594D653EBFF}"/>
      </w:docPartPr>
      <w:docPartBody>
        <w:p>
          <w:pPr>
            <w:pStyle w:val="6"/>
          </w:pPr>
          <w:r>
            <w:rPr>
              <w:rStyle w:val="4"/>
              <w:rFonts w:hint="eastAsia"/>
            </w:rPr>
            <w:t>选择一项。</w:t>
          </w:r>
        </w:p>
      </w:docPartBody>
    </w:docPart>
    <w:docPart>
      <w:docPartPr>
        <w:name w:val="DFA67C21427E41B0BDAE479F7935B5F0"/>
        <w:style w:val=""/>
        <w:category>
          <w:name w:val="常规"/>
          <w:gallery w:val="placeholder"/>
        </w:category>
        <w:types>
          <w:type w:val="bbPlcHdr"/>
        </w:types>
        <w:behaviors>
          <w:behavior w:val="content"/>
        </w:behaviors>
        <w:description w:val=""/>
        <w:guid w:val="{78FCD33E-0DA3-43A8-A24F-11C839D51F23}"/>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仿宋"/>
    <w:panose1 w:val="00000000000000000000"/>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AB49F6"/>
    <w:rsid w:val="00134BB8"/>
    <w:rsid w:val="0021122D"/>
    <w:rsid w:val="003A2E63"/>
    <w:rsid w:val="007B6C69"/>
    <w:rsid w:val="008176EB"/>
    <w:rsid w:val="00832CAE"/>
    <w:rsid w:val="00887036"/>
    <w:rsid w:val="00AB49F6"/>
    <w:rsid w:val="00AD199B"/>
    <w:rsid w:val="00C2471A"/>
    <w:rsid w:val="00C3504D"/>
    <w:rsid w:val="00C83B9D"/>
    <w:rsid w:val="00E945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D87355670D9349FE9FA02ED8197205F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860C98DCF3154835BC571480A7AB204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DFA67C21427E41B0BDAE479F7935B5F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40</Pages>
  <Words>4475</Words>
  <Characters>25514</Characters>
  <Lines>212</Lines>
  <Paragraphs>59</Paragraphs>
  <TotalTime>10</TotalTime>
  <ScaleCrop>false</ScaleCrop>
  <LinksUpToDate>false</LinksUpToDate>
  <CharactersWithSpaces>29930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2022-06-24T15:55:00Z</dcterms:created>
  <dc:creator>邵璇</dc:creator>
  <cp:lastModifiedBy>user</cp:lastModifiedBy>
  <cp:lastPrinted>2022-06-27T14:14:00Z</cp:lastPrinted>
  <dcterms:modified xsi:type="dcterms:W3CDTF">2022-07-01T11:02:21Z</dcterms:modified>
  <dc:title>地方标准</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2052-11.8.2.10489</vt:lpwstr>
  </property>
  <property fmtid="{D5CDD505-2E9C-101B-9397-08002B2CF9AE}" pid="15" name="ICV">
    <vt:lpwstr>C8BC09FC22424BD9BBA3D21EB69C4D6F</vt:lpwstr>
  </property>
</Properties>
</file>