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tiff" ContentType="image/tiff"/>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line="240" w:lineRule="auto"/>
              <w:jc w:val="left"/>
              <w:rPr>
                <w:rFonts w:ascii="黑体" w:hAnsi="黑体" w:eastAsia="黑体"/>
                <w:sz w:val="21"/>
                <w:szCs w:val="21"/>
              </w:rPr>
            </w:pPr>
            <w:bookmarkStart w:id="231" w:name="_GoBack"/>
            <w:bookmarkEnd w:id="231"/>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hint="eastAsia" w:ascii="黑体" w:eastAsia="黑体"/>
              </w:rPr>
              <w:t>91.120.91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0"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lang w:val="en-US" w:eastAsia="zh-CN"/>
              </w:rPr>
              <w:t>P</w:t>
            </w:r>
            <w:r>
              <w:rPr>
                <w:rFonts w:ascii="黑体" w:hAnsi="黑体" w:eastAsia="黑体"/>
                <w:sz w:val="21"/>
                <w:szCs w:val="21"/>
              </w:rPr>
              <w:t>22</w:t>
            </w:r>
            <w:r>
              <w:rPr>
                <w:rFonts w:ascii="黑体" w:hAnsi="黑体" w:eastAsia="黑体"/>
                <w:sz w:val="21"/>
                <w:szCs w:val="21"/>
              </w:rPr>
              <w:fldChar w:fldCharType="end"/>
            </w:r>
            <w:bookmarkEnd w:id="0"/>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49"/>
              <w:framePr w:w="0" w:hRule="auto" w:wrap="auto" w:vAnchor="margin" w:hAnchor="text" w:xAlign="left" w:yAlign="inline"/>
              <w:rPr>
                <w:rFonts w:ascii="宋体" w:hAnsi="宋体"/>
                <w:sz w:val="28"/>
                <w:szCs w:val="28"/>
              </w:rPr>
            </w:pPr>
            <w:bookmarkStart w:id="1" w:name="_Hlk26473981"/>
            <w:r>
              <w:drawing>
                <wp:inline distT="0" distB="0" distL="0" distR="0">
                  <wp:extent cx="796290" cy="397510"/>
                  <wp:effectExtent l="0" t="0" r="3810" b="2540"/>
                  <wp:docPr id="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true"/>
                          </pic:cNvPicPr>
                        </pic:nvPicPr>
                        <pic:blipFill>
                          <a:blip r:embed="rId30" cstate="print">
                            <a:extLst>
                              <a:ext uri="{28A0092B-C50C-407E-A947-70E740481C1C}">
                                <a14:useLocalDpi xmlns:a14="http://schemas.microsoft.com/office/drawing/2010/main" val="false"/>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2" w:name="c1"/>
            <w:r>
              <w:instrText xml:space="preserve"> FORMTEXT </w:instrText>
            </w:r>
            <w:r>
              <w:fldChar w:fldCharType="separate"/>
            </w:r>
            <w:r>
              <w:t>42</w:t>
            </w:r>
            <w:r>
              <w:fldChar w:fldCharType="end"/>
            </w:r>
            <w:bookmarkEnd w:id="2"/>
          </w:p>
        </w:tc>
      </w:tr>
    </w:tbl>
    <w:p>
      <w:pPr>
        <w:pStyle w:val="50"/>
        <w:framePr w:w="9639" w:h="624" w:hRule="exact" w:hSpace="181" w:vSpace="181"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3"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湖北省</w:t>
      </w:r>
      <w:r>
        <w:rPr>
          <w:rFonts w:ascii="黑体" w:eastAsia="黑体"/>
          <w:b w:val="0"/>
          <w:w w:val="100"/>
          <w:sz w:val="48"/>
        </w:rPr>
        <w:fldChar w:fldCharType="end"/>
      </w:r>
      <w:bookmarkEnd w:id="3"/>
      <w:r>
        <w:rPr>
          <w:rFonts w:hint="eastAsia" w:ascii="黑体" w:hAnsi="黑体" w:eastAsia="黑体"/>
          <w:b w:val="0"/>
          <w:bCs w:val="0"/>
          <w:w w:val="100"/>
          <w:sz w:val="48"/>
          <w:szCs w:val="48"/>
        </w:rPr>
        <w:t>地方标准</w:t>
      </w:r>
    </w:p>
    <w:bookmarkEnd w:id="1"/>
    <w:p>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4" w:name="文字1"/>
      <w:r>
        <w:rPr>
          <w:lang w:val="fr-FR"/>
        </w:rPr>
        <w:instrText xml:space="preserve"> FORMTEXT </w:instrText>
      </w:r>
      <w:r>
        <w:fldChar w:fldCharType="separate"/>
      </w:r>
      <w:r>
        <w:rPr>
          <w:lang w:val="fr-FR"/>
        </w:rPr>
        <w:t>XX/T</w:t>
      </w:r>
      <w:r>
        <w:fldChar w:fldCharType="end"/>
      </w:r>
      <w:bookmarkEnd w:id="4"/>
      <w:r>
        <w:rPr>
          <w:lang w:val="fr-FR"/>
        </w:rPr>
        <w:t xml:space="preserve"> </w:t>
      </w:r>
      <w:r>
        <w:fldChar w:fldCharType="begin">
          <w:ffData>
            <w:name w:val="NSTD_CODE_F"/>
            <w:enabled/>
            <w:calcOnExit w:val="0"/>
            <w:textInput>
              <w:default w:val="XXXX"/>
            </w:textInput>
          </w:ffData>
        </w:fldChar>
      </w:r>
      <w:bookmarkStart w:id="5" w:name="NSTD_CODE_F"/>
      <w:r>
        <w:rPr>
          <w:lang w:val="fr-FR"/>
        </w:rPr>
        <w:instrText xml:space="preserve"> FORMTEXT </w:instrText>
      </w:r>
      <w:r>
        <w:fldChar w:fldCharType="separate"/>
      </w:r>
      <w:r>
        <w:rPr>
          <w:lang w:val="fr-FR"/>
        </w:rPr>
        <w:t>XXXX</w:t>
      </w:r>
      <w:r>
        <w:fldChar w:fldCharType="end"/>
      </w:r>
      <w:bookmarkEnd w:id="5"/>
      <w:r>
        <w:rPr>
          <w:rFonts w:hAnsi="黑体"/>
          <w:lang w:val="fr-FR"/>
        </w:rPr>
        <w:t>—</w:t>
      </w:r>
      <w:r>
        <w:fldChar w:fldCharType="begin">
          <w:ffData>
            <w:name w:val="NSTD_CODE_B"/>
            <w:enabled/>
            <w:calcOnExit w:val="0"/>
            <w:textInput>
              <w:default w:val="XXXX"/>
            </w:textInput>
          </w:ffData>
        </w:fldChar>
      </w:r>
      <w:bookmarkStart w:id="6" w:name="NSTD_CODE_B"/>
      <w:r>
        <w:rPr>
          <w:lang w:val="fr-FR"/>
        </w:rPr>
        <w:instrText xml:space="preserve"> FORMTEXT </w:instrText>
      </w:r>
      <w:r>
        <w:fldChar w:fldCharType="separate"/>
      </w:r>
      <w:r>
        <w:rPr>
          <w:lang w:val="fr-FR"/>
        </w:rPr>
        <w:t>XXXX</w:t>
      </w:r>
      <w:r>
        <w:fldChar w:fldCharType="end"/>
      </w:r>
      <w:bookmarkEnd w:id="6"/>
    </w:p>
    <w:p>
      <w:pPr>
        <w:pStyle w:val="196"/>
        <w:rPr>
          <w:rFonts w:hAnsi="黑体"/>
        </w:rPr>
      </w:pPr>
      <w:r>
        <w:rPr>
          <w:rFonts w:hAnsi="黑体"/>
        </w:rPr>
        <w:fldChar w:fldCharType="begin">
          <w:ffData>
            <w:name w:val="OSTD_CODE"/>
            <w:enabled/>
            <w:calcOnExit w:val="0"/>
            <w:textInput/>
          </w:ffData>
        </w:fldChar>
      </w:r>
      <w:bookmarkStart w:id="7"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7"/>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Ang0mW2AAAAAwB&#10;AAAPAAAAAAAAAAEAIAAAADgAAABkcnMvZG93bnJldi54bWxQSwECFAAUAAAACACHTuJASfTgWswB&#10;AABhAwAADgAAAAAAAAABACAAAAA9AQAAZHJzL2Uyb0RvYy54bWxQSwUGAAAAAAYABgBZAQAAewUA&#10;AAAA&#10;">
                <v:fill on="f" focussize="0,0"/>
                <v:stroke color="#000000" joinstyle="round"/>
                <v:imagedata o:title=""/>
                <o:lock v:ext="edit" aspectratio="f"/>
              </v:line>
            </w:pict>
          </mc:Fallback>
        </mc:AlternateContent>
      </w:r>
    </w:p>
    <w:p>
      <w:pPr>
        <w:pStyle w:val="50"/>
        <w:framePr w:w="9639" w:h="6976" w:hRule="exact" w:hSpace="0" w:vSpace="0" w:hAnchor="page" w:y="6408"/>
        <w:jc w:val="center"/>
        <w:rPr>
          <w:rFonts w:ascii="黑体" w:hAnsi="黑体" w:eastAsia="黑体"/>
          <w:b w:val="0"/>
          <w:bCs w:val="0"/>
          <w:w w:val="100"/>
        </w:rPr>
      </w:pPr>
    </w:p>
    <w:p>
      <w:pPr>
        <w:pStyle w:val="197"/>
        <w:framePr w:h="6974" w:hRule="exact" w:wrap="around" w:x="1419" w:anchorLock="1"/>
      </w:pPr>
      <w:r>
        <w:fldChar w:fldCharType="begin">
          <w:ffData>
            <w:name w:val="CSTD_NAME"/>
            <w:enabled/>
            <w:calcOnExit w:val="0"/>
            <w:textInput>
              <w:default w:val="点击此处添加标准名称"/>
            </w:textInput>
          </w:ffData>
        </w:fldChar>
      </w:r>
      <w:bookmarkStart w:id="8" w:name="CSTD_NAME"/>
      <w:r>
        <w:instrText xml:space="preserve"> FORMTEXT </w:instrText>
      </w:r>
      <w:r>
        <w:fldChar w:fldCharType="separate"/>
      </w:r>
      <w:r>
        <w:t>螺杆灌注桩技术规程</w:t>
      </w:r>
      <w:r>
        <w:fldChar w:fldCharType="end"/>
      </w:r>
      <w:bookmarkEnd w:id="8"/>
    </w:p>
    <w:p>
      <w:pPr>
        <w:framePr w:w="9639" w:h="6974" w:hRule="exact" w:wrap="around" w:vAnchor="page" w:hAnchor="page" w:x="1419" w:y="6408" w:anchorLock="1"/>
        <w:ind w:left="-1418"/>
      </w:pPr>
    </w:p>
    <w:p>
      <w:pPr>
        <w:pStyle w:val="125"/>
        <w:framePr w:w="9639" w:h="6974" w:hRule="exact" w:wrap="around" w:vAnchor="page" w:hAnchor="page" w:x="1419" w:y="6408" w:anchorLock="1"/>
        <w:textAlignment w:val="bottom"/>
        <w:rPr>
          <w:rFonts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9" w:name="ESTD_NAME"/>
      <w:r>
        <w:rPr>
          <w:rFonts w:ascii="黑体" w:hAnsi="黑体" w:eastAsia="黑体"/>
          <w:szCs w:val="28"/>
        </w:rPr>
        <w:instrText xml:space="preserve"> FORMTEXT </w:instrText>
      </w:r>
      <w:r>
        <w:rPr>
          <w:rFonts w:ascii="黑体" w:hAnsi="黑体" w:eastAsia="黑体"/>
          <w:szCs w:val="28"/>
        </w:rPr>
        <w:fldChar w:fldCharType="separate"/>
      </w:r>
      <w:r>
        <w:rPr>
          <w:rFonts w:ascii="黑体" w:hAnsi="黑体" w:eastAsia="黑体"/>
          <w:szCs w:val="28"/>
        </w:rPr>
        <w:t>Rules regulations for part-screw pile</w:t>
      </w:r>
      <w:r>
        <w:rPr>
          <w:rFonts w:ascii="黑体" w:hAnsi="黑体" w:eastAsia="黑体"/>
          <w:szCs w:val="28"/>
        </w:rPr>
        <w:fldChar w:fldCharType="end"/>
      </w:r>
      <w:bookmarkEnd w:id="9"/>
    </w:p>
    <w:p>
      <w:pPr>
        <w:framePr w:w="9639" w:h="6974" w:hRule="exact" w:wrap="around" w:vAnchor="page" w:hAnchor="page" w:x="1419" w:y="6408" w:anchorLock="1"/>
        <w:spacing w:line="760" w:lineRule="exact"/>
        <w:ind w:left="-1418"/>
      </w:pPr>
    </w:p>
    <w:p>
      <w:pPr>
        <w:pStyle w:val="125"/>
        <w:framePr w:w="9639" w:h="6974" w:hRule="exact" w:wrap="around" w:vAnchor="page" w:hAnchor="page" w:x="1419" w:y="6408" w:anchorLock="1"/>
        <w:textAlignment w:val="bottom"/>
        <w:rPr>
          <w:rFonts w:eastAsia="黑体"/>
          <w:szCs w:val="28"/>
        </w:rPr>
      </w:pPr>
    </w:p>
    <w:p>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0" w:name="下拉1"/>
      <w:r>
        <w:rPr>
          <w:sz w:val="24"/>
          <w:szCs w:val="28"/>
        </w:rPr>
        <w:instrText xml:space="preserve"> FORMDROPDOWN </w:instrText>
      </w:r>
      <w:r>
        <w:rPr>
          <w:sz w:val="24"/>
          <w:szCs w:val="28"/>
        </w:rPr>
        <w:fldChar w:fldCharType="separate"/>
      </w:r>
      <w:r>
        <w:rPr>
          <w:sz w:val="24"/>
          <w:szCs w:val="28"/>
        </w:rPr>
        <w:fldChar w:fldCharType="end"/>
      </w:r>
      <w:bookmarkEnd w:id="10"/>
    </w:p>
    <w:p>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1" w:name="CMPLSH_DATE"/>
      <w:r>
        <w:rPr>
          <w:sz w:val="21"/>
          <w:szCs w:val="28"/>
        </w:rPr>
        <w:instrText xml:space="preserve"> FORMTEXT </w:instrText>
      </w:r>
      <w:r>
        <w:rPr>
          <w:sz w:val="21"/>
          <w:szCs w:val="28"/>
        </w:rPr>
        <w:fldChar w:fldCharType="separate"/>
      </w:r>
      <w:r>
        <w:rPr>
          <w:rFonts w:hint="eastAsia"/>
          <w:sz w:val="21"/>
          <w:szCs w:val="28"/>
        </w:rPr>
        <w:t>（本草案完成时间：2023.1.3）</w:t>
      </w:r>
      <w:r>
        <w:rPr>
          <w:sz w:val="21"/>
          <w:szCs w:val="28"/>
        </w:rPr>
        <w:fldChar w:fldCharType="end"/>
      </w:r>
      <w:bookmarkEnd w:id="11"/>
    </w:p>
    <w:p>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2" w:name="下拉2"/>
      <w:r>
        <w:rPr>
          <w:b/>
          <w:sz w:val="21"/>
          <w:szCs w:val="28"/>
        </w:rPr>
        <w:instrText xml:space="preserve"> FORMDROPDOWN </w:instrText>
      </w:r>
      <w:r>
        <w:rPr>
          <w:b/>
          <w:sz w:val="21"/>
          <w:szCs w:val="28"/>
        </w:rPr>
        <w:fldChar w:fldCharType="separate"/>
      </w:r>
      <w:r>
        <w:rPr>
          <w:b/>
          <w:sz w:val="21"/>
          <w:szCs w:val="28"/>
        </w:rPr>
        <w:fldChar w:fldCharType="end"/>
      </w:r>
      <w:bookmarkEnd w:id="12"/>
    </w:p>
    <w:p>
      <w:pPr>
        <w:pStyle w:val="193"/>
        <w:framePr w:y="14176"/>
      </w:pPr>
      <w:r>
        <w:rPr>
          <w:rFonts w:ascii="黑体"/>
        </w:rPr>
        <w:fldChar w:fldCharType="begin">
          <w:ffData>
            <w:name w:val="PLSH_DATE_Y"/>
            <w:enabled/>
            <w:calcOnExit w:val="0"/>
            <w:textInput>
              <w:default w:val="XXXX"/>
              <w:maxLength w:val="4"/>
            </w:textInput>
          </w:ffData>
        </w:fldChar>
      </w:r>
      <w:bookmarkStart w:id="13"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3"/>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4"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5"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rPr>
          <w:rFonts w:hint="eastAsia"/>
        </w:rPr>
        <w:t>发布</w:t>
      </w:r>
    </w:p>
    <w:p>
      <w:pPr>
        <w:pStyle w:val="194"/>
        <w:framePr w:y="14176"/>
      </w:pPr>
      <w:r>
        <w:rPr>
          <w:rFonts w:ascii="黑体"/>
        </w:rPr>
        <w:fldChar w:fldCharType="begin">
          <w:ffData>
            <w:name w:val="CROT_DATE_Y"/>
            <w:enabled/>
            <w:calcOnExit w:val="0"/>
            <w:textInput>
              <w:default w:val="XXXX"/>
              <w:maxLength w:val="4"/>
            </w:textInput>
          </w:ffData>
        </w:fldChar>
      </w:r>
      <w:bookmarkStart w:id="16"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6"/>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7"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8"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rPr>
          <w:rFonts w:hint="eastAsia"/>
        </w:rPr>
        <w:t>实施</w:t>
      </w:r>
    </w:p>
    <w:p>
      <w:pPr>
        <w:pStyle w:val="151"/>
        <w:framePr w:w="4124" w:h="861" w:hRule="exact" w:hSpace="181" w:vSpace="181" w:vAnchor="page" w:hAnchor="page" w:x="2894" w:y="14939"/>
        <w:rPr>
          <w:rFonts w:ascii="Times New Roman"/>
          <w:w w:val="100"/>
          <w:sz w:val="28"/>
        </w:rPr>
      </w:pPr>
      <w:r>
        <w:rPr>
          <w:rFonts w:hAnsi="黑体"/>
          <w:spacing w:val="257"/>
          <w:w w:val="100"/>
          <w:kern w:val="0"/>
          <w:sz w:val="28"/>
          <w:fitText w:val="3640" w:id="-1320486912"/>
        </w:rPr>
        <w:fldChar w:fldCharType="begin">
          <w:ffData>
            <w:name w:val="fm"/>
            <w:enabled/>
            <w:calcOnExit w:val="0"/>
            <w:textInput/>
          </w:ffData>
        </w:fldChar>
      </w:r>
      <w:bookmarkStart w:id="19" w:name="fm"/>
      <w:r>
        <w:rPr>
          <w:rFonts w:hAnsi="黑体"/>
          <w:spacing w:val="257"/>
          <w:w w:val="100"/>
          <w:kern w:val="0"/>
          <w:sz w:val="28"/>
          <w:fitText w:val="3640" w:id="-1320486912"/>
        </w:rPr>
        <w:instrText xml:space="preserve"> FORMTEX</w:instrText>
      </w:r>
      <w:r>
        <w:rPr>
          <w:rFonts w:hAnsi="黑体"/>
          <w:spacing w:val="3"/>
          <w:w w:val="100"/>
          <w:kern w:val="0"/>
          <w:sz w:val="28"/>
          <w:fitText w:val="3640" w:id="-1320486912"/>
        </w:rPr>
        <w:instrText xml:space="preserve">T</w:instrText>
      </w:r>
      <w:r>
        <w:rPr>
          <w:rFonts w:hAnsi="黑体"/>
          <w:spacing w:val="18"/>
          <w:w w:val="100"/>
          <w:kern w:val="0"/>
          <w:sz w:val="28"/>
          <w:fitText w:val="3640" w:id="-1320486911"/>
        </w:rPr>
        <w:fldChar w:fldCharType="separate"/>
      </w:r>
      <w:r>
        <w:rPr>
          <w:rFonts w:hint="eastAsia" w:hAnsi="黑体"/>
          <w:spacing w:val="18"/>
          <w:w w:val="100"/>
          <w:kern w:val="0"/>
          <w:sz w:val="28"/>
          <w:fitText w:val="3640" w:id="-1320486911"/>
        </w:rPr>
        <w:t>湖北省住房和城乡建设厅</w:t>
      </w:r>
      <w:r>
        <w:rPr>
          <w:rFonts w:hAnsi="黑体"/>
          <w:spacing w:val="19"/>
          <w:w w:val="100"/>
          <w:kern w:val="0"/>
          <w:sz w:val="28"/>
          <w:fitText w:val="3640" w:id="-1320486911"/>
        </w:rPr>
        <w:fldChar w:fldCharType="end"/>
      </w:r>
      <w:bookmarkEnd w:id="19"/>
      <w:r>
        <w:rPr>
          <w:rFonts w:ascii="Times New Roman"/>
          <w:w w:val="100"/>
          <w:sz w:val="28"/>
        </w:rPr>
        <w:t> </w:t>
      </w:r>
    </w:p>
    <w:p>
      <w:pPr>
        <w:pStyle w:val="151"/>
        <w:framePr w:w="4124" w:h="861" w:hRule="exact" w:hSpace="181" w:vSpace="181" w:vAnchor="page" w:hAnchor="page" w:x="2894" w:y="14939"/>
        <w:rPr>
          <w:rFonts w:hAnsi="黑体"/>
        </w:rPr>
      </w:pPr>
      <w:r>
        <w:rPr>
          <w:rFonts w:hint="eastAsia" w:ascii="Times New Roman"/>
          <w:spacing w:val="46"/>
          <w:w w:val="100"/>
          <w:kern w:val="0"/>
          <w:sz w:val="28"/>
          <w:fitText w:val="3640" w:id="-1320486910"/>
        </w:rPr>
        <w:t>湖北省市场监督管理</w:t>
      </w:r>
      <w:r>
        <w:rPr>
          <w:rFonts w:hint="eastAsia" w:ascii="Times New Roman"/>
          <w:spacing w:val="6"/>
          <w:w w:val="100"/>
          <w:kern w:val="0"/>
          <w:sz w:val="28"/>
          <w:fitText w:val="3640" w:id="-1320486910"/>
        </w:rPr>
        <w:t>局</w:t>
      </w:r>
      <w:r>
        <w:rPr>
          <w:rFonts w:ascii="Times New Roman"/>
          <w:w w:val="100"/>
          <w:sz w:val="28"/>
        </w:rPr>
        <w:t> </w:t>
      </w:r>
    </w:p>
    <w:p>
      <w:pPr>
        <w:jc w:val="distribute"/>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Ansi="黑体"/>
          <w:sz w:val="28"/>
          <w:fitText w:val="3640" w:id="-1320486912"/>
        </w:rPr>
        <mc:AlternateContent>
          <mc:Choice Requires="wps">
            <w:drawing>
              <wp:anchor distT="45720" distB="45720" distL="114300" distR="114300" simplePos="0" relativeHeight="251661312" behindDoc="0" locked="0" layoutInCell="1" allowOverlap="1">
                <wp:simplePos x="0" y="0"/>
                <wp:positionH relativeFrom="column">
                  <wp:posOffset>3752850</wp:posOffset>
                </wp:positionH>
                <wp:positionV relativeFrom="paragraph">
                  <wp:posOffset>9201150</wp:posOffset>
                </wp:positionV>
                <wp:extent cx="1186815" cy="1404620"/>
                <wp:effectExtent l="0" t="0" r="0" b="7620"/>
                <wp:wrapSquare wrapText="bothSides"/>
                <wp:docPr id="217" name="文本框 2"/>
                <wp:cNvGraphicFramePr/>
                <a:graphic xmlns:a="http://schemas.openxmlformats.org/drawingml/2006/main">
                  <a:graphicData uri="http://schemas.microsoft.com/office/word/2010/wordprocessingShape">
                    <wps:wsp>
                      <wps:cNvSpPr txBox="true">
                        <a:spLocks noChangeArrowheads="true"/>
                      </wps:cNvSpPr>
                      <wps:spPr bwMode="auto">
                        <a:xfrm>
                          <a:off x="0" y="0"/>
                          <a:ext cx="1186815" cy="1404620"/>
                        </a:xfrm>
                        <a:prstGeom prst="rect">
                          <a:avLst/>
                        </a:prstGeom>
                        <a:solidFill>
                          <a:srgbClr val="FFFFFF"/>
                        </a:solidFill>
                        <a:ln w="9525">
                          <a:noFill/>
                          <a:miter lim="800000"/>
                        </a:ln>
                      </wps:spPr>
                      <wps:txbx>
                        <w:txbxContent>
                          <w:p>
                            <w:pPr>
                              <w:rPr>
                                <w:rFonts w:ascii="黑体" w:hAnsi="黑体" w:eastAsia="黑体"/>
                                <w:sz w:val="28"/>
                                <w:szCs w:val="28"/>
                              </w:rPr>
                            </w:pPr>
                            <w:r>
                              <w:rPr>
                                <w:rFonts w:hint="eastAsia" w:ascii="黑体" w:hAnsi="黑体" w:eastAsia="黑体"/>
                                <w:sz w:val="28"/>
                                <w:szCs w:val="28"/>
                              </w:rPr>
                              <w:t>联 合 发 布</w:t>
                            </w:r>
                          </w:p>
                        </w:txbxContent>
                      </wps:txbx>
                      <wps:bodyPr rot="0" vert="horz" wrap="square" lIns="91440" tIns="45720" rIns="91440" bIns="45720" anchor="t" anchorCtr="false">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295.5pt;margin-top:724.5pt;height:110.6pt;width:93.45pt;mso-wrap-distance-bottom:3.6pt;mso-wrap-distance-left:9pt;mso-wrap-distance-right:9pt;mso-wrap-distance-top:3.6pt;z-index:251661312;mso-width-relative:page;mso-height-relative:margin;mso-height-percent:200;" fillcolor="#FFFFFF" filled="t" stroked="f" coordsize="21600,21600" o:gfxdata="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&#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aNLBB2wAAAA0BAAAPAAAAAAAAAAEAIAAAADgAAABk&#10;cnMvZG93bnJldi54bWxQSwECFAAUAAAACACHTuJAz6A8IiYCAAARBAAADgAAAAAAAAABACAAAABA&#10;AQAAZHJzL2Uyb0RvYy54bWxQSwUGAAAAAAYABgBZAQAA2AUAAAAA&#10;">
                <v:fill on="t" focussize="0,0"/>
                <v:stroke on="f" miterlimit="8" joinstyle="miter"/>
                <v:imagedata o:title=""/>
                <o:lock v:ext="edit" aspectratio="f"/>
                <v:textbox style="mso-fit-shape-to-text:t;">
                  <w:txbxContent>
                    <w:p>
                      <w:pPr>
                        <w:rPr>
                          <w:rFonts w:ascii="黑体" w:hAnsi="黑体" w:eastAsia="黑体"/>
                          <w:sz w:val="28"/>
                          <w:szCs w:val="28"/>
                        </w:rPr>
                      </w:pPr>
                      <w:r>
                        <w:rPr>
                          <w:rFonts w:hint="eastAsia" w:ascii="黑体" w:hAnsi="黑体" w:eastAsia="黑体"/>
                          <w:sz w:val="28"/>
                          <w:szCs w:val="28"/>
                        </w:rPr>
                        <w:t>联 合 发 布</w:t>
                      </w:r>
                    </w:p>
                  </w:txbxContent>
                </v:textbox>
                <w10:wrap type="square"/>
              </v:shape>
            </w:pict>
          </mc:Fallback>
        </mc:AlternateContent>
      </w: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rMxz71wAAAA4BAAAP&#10;AAAAAAAAAAEAIAAAADgAAABkcnMvZG93bnJldi54bWxQSwECFAAUAAAACACHTuJAEc9x0soBAABf&#10;AwAADgAAAAAAAAABACAAAAA8AQAAZHJzL2Uyb0RvYy54bWxQSwUGAAAAAAYABgBZAQAAeAUAAAAA&#10;">
                <v:fill on="f" focussize="0,0"/>
                <v:stroke color="#000000" joinstyle="round"/>
                <v:imagedata o:title=""/>
                <o:lock v:ext="edit" aspectratio="f"/>
                <w10:anchorlock/>
              </v:line>
            </w:pict>
          </mc:Fallback>
        </mc:AlternateContent>
      </w:r>
    </w:p>
    <w:p>
      <w:pPr>
        <w:pStyle w:val="91"/>
        <w:spacing w:after="468"/>
      </w:pPr>
      <w:bookmarkStart w:id="20" w:name="BookMark1"/>
      <w:bookmarkStart w:id="21" w:name="_Toc124089278"/>
      <w:bookmarkStart w:id="22" w:name="_Toc124595511"/>
      <w:bookmarkStart w:id="23" w:name="_Toc124159321"/>
      <w:r>
        <w:rPr>
          <w:rFonts w:hint="eastAsia"/>
          <w:spacing w:val="320"/>
        </w:rPr>
        <w:t>目</w:t>
      </w:r>
      <w:r>
        <w:rPr>
          <w:rFonts w:hint="eastAsia"/>
        </w:rPr>
        <w:t>次</w:t>
      </w:r>
    </w:p>
    <w:p>
      <w:pPr>
        <w:pStyle w:val="19"/>
        <w:tabs>
          <w:tab w:val="right" w:leader="dot" w:pos="9354"/>
        </w:tabs>
        <w:outlineLvl w:val="1"/>
      </w:pPr>
      <w:r>
        <w:fldChar w:fldCharType="begin"/>
      </w:r>
      <w:r>
        <w:instrText xml:space="preserve"> TOC \o "1-1" \h \t "标准文件_一级条标题,2,标准文件_附录一级条标题,2," </w:instrText>
      </w:r>
      <w:r>
        <w:fldChar w:fldCharType="separate"/>
      </w:r>
      <w:r>
        <w:fldChar w:fldCharType="begin"/>
      </w:r>
      <w:r>
        <w:instrText xml:space="preserve"> HYPERLINK \l _Toc27295 </w:instrText>
      </w:r>
      <w:r>
        <w:fldChar w:fldCharType="separate"/>
      </w:r>
      <w:r>
        <w:rPr>
          <w:rFonts w:hint="eastAsia"/>
          <w:lang w:eastAsia="zh-CN"/>
        </w:rPr>
        <w:t>前</w:t>
      </w:r>
      <w:r>
        <w:rPr>
          <w:rFonts w:hAnsi="黑体"/>
        </w:rPr>
        <w:t>言</w:t>
      </w:r>
      <w:r>
        <w:tab/>
      </w:r>
      <w:r>
        <w:fldChar w:fldCharType="begin"/>
      </w:r>
      <w:r>
        <w:instrText xml:space="preserve"> PAGEREF _Toc27295 \h </w:instrText>
      </w:r>
      <w:r>
        <w:fldChar w:fldCharType="separate"/>
      </w:r>
      <w:r>
        <w:t>II</w:t>
      </w:r>
      <w:r>
        <w:fldChar w:fldCharType="end"/>
      </w:r>
      <w:r>
        <w:fldChar w:fldCharType="end"/>
      </w:r>
    </w:p>
    <w:p>
      <w:pPr>
        <w:rPr>
          <w:rFonts w:hint="default" w:eastAsia="宋体"/>
          <w:lang w:val="en-US" w:eastAsia="zh-CN"/>
        </w:rPr>
      </w:pPr>
      <w:r>
        <w:rPr>
          <w:rFonts w:hint="eastAsia"/>
          <w:lang w:eastAsia="zh-CN"/>
        </w:rPr>
        <w:t>引言</w:t>
      </w:r>
      <w:r>
        <w:rPr>
          <w:rFonts w:hint="eastAsia"/>
          <w:lang w:val="en-US" w:eastAsia="zh-CN"/>
        </w:rPr>
        <w:t>. . . . . . . . . . . . . . . . . . . . . . . . . . . . . . . . . . . . . . . . . . . . . . . . . . . . . . . . . . . . . . . . . . . . . . . . . . . . . . . . . . . . . .</w:t>
      </w:r>
      <w:r>
        <w:rPr>
          <w:rFonts w:hint="eastAsia" w:ascii="宋体" w:hAnsi="宋体" w:eastAsia="宋体" w:cs="宋体"/>
          <w:lang w:val="en-US" w:eastAsia="zh-CN"/>
        </w:rPr>
        <w:t>III</w:t>
      </w:r>
    </w:p>
    <w:p>
      <w:pPr>
        <w:pStyle w:val="19"/>
        <w:tabs>
          <w:tab w:val="right" w:leader="dot" w:pos="9354"/>
        </w:tabs>
      </w:pPr>
      <w:r>
        <w:fldChar w:fldCharType="begin"/>
      </w:r>
      <w:r>
        <w:instrText xml:space="preserve"> HYPERLINK \l _Toc28448 </w:instrText>
      </w:r>
      <w:r>
        <w:fldChar w:fldCharType="separate"/>
      </w:r>
      <w:r>
        <w:rPr>
          <w:rFonts w:hint="eastAsia" w:ascii="黑体" w:hAnsi="黑体" w:eastAsia="黑体" w:cs="黑体"/>
          <w:i w:val="0"/>
        </w:rPr>
        <w:t xml:space="preserve">1 </w:t>
      </w:r>
      <w:r>
        <w:rPr>
          <w:rFonts w:hint="eastAsia" w:hAnsi="黑体" w:cs="黑体"/>
        </w:rPr>
        <w:t>范围</w:t>
      </w:r>
      <w:r>
        <w:tab/>
      </w:r>
      <w:r>
        <w:fldChar w:fldCharType="begin"/>
      </w:r>
      <w:r>
        <w:instrText xml:space="preserve"> PAGEREF _Toc28448 \h </w:instrText>
      </w:r>
      <w:r>
        <w:fldChar w:fldCharType="separate"/>
      </w:r>
      <w:r>
        <w:t>1</w:t>
      </w:r>
      <w:r>
        <w:fldChar w:fldCharType="end"/>
      </w:r>
      <w:r>
        <w:fldChar w:fldCharType="end"/>
      </w:r>
    </w:p>
    <w:p>
      <w:pPr>
        <w:pStyle w:val="19"/>
        <w:tabs>
          <w:tab w:val="right" w:leader="dot" w:pos="9354"/>
        </w:tabs>
      </w:pPr>
      <w:r>
        <w:fldChar w:fldCharType="begin"/>
      </w:r>
      <w:r>
        <w:instrText xml:space="preserve"> HYPERLINK \l _Toc11394 </w:instrText>
      </w:r>
      <w:r>
        <w:fldChar w:fldCharType="separate"/>
      </w:r>
      <w:r>
        <w:rPr>
          <w:rFonts w:hint="eastAsia" w:ascii="黑体" w:hAnsi="黑体" w:eastAsia="黑体" w:cs="黑体"/>
          <w:i w:val="0"/>
        </w:rPr>
        <w:t xml:space="preserve">2 </w:t>
      </w:r>
      <w:r>
        <w:rPr>
          <w:rFonts w:hint="eastAsia" w:hAnsi="黑体" w:cs="黑体"/>
        </w:rPr>
        <w:t>规范性引用文件</w:t>
      </w:r>
      <w:r>
        <w:tab/>
      </w:r>
      <w:r>
        <w:fldChar w:fldCharType="begin"/>
      </w:r>
      <w:r>
        <w:instrText xml:space="preserve"> PAGEREF _Toc11394 \h </w:instrText>
      </w:r>
      <w:r>
        <w:fldChar w:fldCharType="separate"/>
      </w:r>
      <w:r>
        <w:t>1</w:t>
      </w:r>
      <w:r>
        <w:fldChar w:fldCharType="end"/>
      </w:r>
      <w:r>
        <w:fldChar w:fldCharType="end"/>
      </w:r>
    </w:p>
    <w:p>
      <w:pPr>
        <w:pStyle w:val="19"/>
        <w:tabs>
          <w:tab w:val="right" w:leader="dot" w:pos="9354"/>
        </w:tabs>
      </w:pPr>
      <w:r>
        <w:fldChar w:fldCharType="begin"/>
      </w:r>
      <w:r>
        <w:instrText xml:space="preserve"> HYPERLINK \l _Toc7833 </w:instrText>
      </w:r>
      <w:r>
        <w:fldChar w:fldCharType="separate"/>
      </w:r>
      <w:r>
        <w:rPr>
          <w:rFonts w:hint="eastAsia" w:ascii="黑体" w:hAnsi="黑体" w:eastAsia="黑体" w:cs="黑体"/>
          <w:i w:val="0"/>
          <w:szCs w:val="21"/>
        </w:rPr>
        <w:t xml:space="preserve">3 </w:t>
      </w:r>
      <w:r>
        <w:rPr>
          <w:rFonts w:hint="eastAsia" w:hAnsi="黑体" w:cs="黑体"/>
          <w:szCs w:val="21"/>
        </w:rPr>
        <w:t>术语和符号</w:t>
      </w:r>
      <w:r>
        <w:tab/>
      </w:r>
      <w:r>
        <w:fldChar w:fldCharType="begin"/>
      </w:r>
      <w:r>
        <w:instrText xml:space="preserve"> PAGEREF _Toc7833 \h </w:instrText>
      </w:r>
      <w:r>
        <w:fldChar w:fldCharType="separate"/>
      </w:r>
      <w:r>
        <w:t>1</w:t>
      </w:r>
      <w:r>
        <w:fldChar w:fldCharType="end"/>
      </w:r>
      <w:r>
        <w:fldChar w:fldCharType="end"/>
      </w:r>
    </w:p>
    <w:p>
      <w:pPr>
        <w:pStyle w:val="19"/>
        <w:tabs>
          <w:tab w:val="right" w:leader="dot" w:pos="9354"/>
        </w:tabs>
      </w:pPr>
      <w:r>
        <w:fldChar w:fldCharType="begin"/>
      </w:r>
      <w:r>
        <w:instrText xml:space="preserve"> HYPERLINK \l _Toc14688 </w:instrText>
      </w:r>
      <w:r>
        <w:fldChar w:fldCharType="separate"/>
      </w:r>
      <w:r>
        <w:rPr>
          <w:rFonts w:hint="eastAsia" w:ascii="黑体" w:hAnsi="黑体" w:eastAsia="黑体" w:cs="黑体"/>
          <w:i w:val="0"/>
          <w:szCs w:val="21"/>
        </w:rPr>
        <w:t xml:space="preserve">4 </w:t>
      </w:r>
      <w:r>
        <w:rPr>
          <w:rFonts w:hint="eastAsia" w:hAnsi="黑体" w:cs="黑体"/>
          <w:szCs w:val="21"/>
        </w:rPr>
        <w:t>基本规定</w:t>
      </w:r>
      <w:r>
        <w:tab/>
      </w:r>
      <w:r>
        <w:fldChar w:fldCharType="begin"/>
      </w:r>
      <w:r>
        <w:instrText xml:space="preserve"> PAGEREF _Toc14688 \h </w:instrText>
      </w:r>
      <w:r>
        <w:fldChar w:fldCharType="separate"/>
      </w:r>
      <w:r>
        <w:t>4</w:t>
      </w:r>
      <w:r>
        <w:fldChar w:fldCharType="end"/>
      </w:r>
      <w:r>
        <w:fldChar w:fldCharType="end"/>
      </w:r>
    </w:p>
    <w:p>
      <w:pPr>
        <w:pStyle w:val="19"/>
        <w:tabs>
          <w:tab w:val="right" w:leader="dot" w:pos="9354"/>
        </w:tabs>
      </w:pPr>
      <w:r>
        <w:fldChar w:fldCharType="begin"/>
      </w:r>
      <w:r>
        <w:instrText xml:space="preserve"> HYPERLINK \l _Toc25885 </w:instrText>
      </w:r>
      <w:r>
        <w:fldChar w:fldCharType="separate"/>
      </w:r>
      <w:r>
        <w:rPr>
          <w:rFonts w:hint="eastAsia" w:ascii="黑体" w:hAnsi="黑体" w:eastAsia="黑体"/>
          <w:i w:val="0"/>
          <w:szCs w:val="21"/>
        </w:rPr>
        <w:t xml:space="preserve">5 </w:t>
      </w:r>
      <w:r>
        <w:rPr>
          <w:rFonts w:hint="eastAsia" w:hAnsi="黑体"/>
          <w:szCs w:val="21"/>
        </w:rPr>
        <w:t>勘察</w:t>
      </w:r>
      <w:r>
        <w:tab/>
      </w:r>
      <w:r>
        <w:fldChar w:fldCharType="begin"/>
      </w:r>
      <w:r>
        <w:instrText xml:space="preserve"> PAGEREF _Toc25885 \h </w:instrText>
      </w:r>
      <w:r>
        <w:fldChar w:fldCharType="separate"/>
      </w:r>
      <w:r>
        <w:t>5</w:t>
      </w:r>
      <w:r>
        <w:fldChar w:fldCharType="end"/>
      </w:r>
      <w:r>
        <w:fldChar w:fldCharType="end"/>
      </w:r>
    </w:p>
    <w:p>
      <w:pPr>
        <w:pStyle w:val="19"/>
        <w:tabs>
          <w:tab w:val="right" w:leader="dot" w:pos="9354"/>
        </w:tabs>
      </w:pPr>
      <w:r>
        <w:fldChar w:fldCharType="begin"/>
      </w:r>
      <w:r>
        <w:instrText xml:space="preserve"> HYPERLINK \l _Toc8040 </w:instrText>
      </w:r>
      <w:r>
        <w:fldChar w:fldCharType="separate"/>
      </w:r>
      <w:r>
        <w:rPr>
          <w:rFonts w:hint="eastAsia" w:ascii="黑体" w:hAnsi="黑体" w:eastAsia="黑体"/>
          <w:i w:val="0"/>
          <w:szCs w:val="21"/>
        </w:rPr>
        <w:t xml:space="preserve">6 </w:t>
      </w:r>
      <w:r>
        <w:rPr>
          <w:rFonts w:hint="eastAsia" w:hAnsi="黑体"/>
          <w:szCs w:val="21"/>
        </w:rPr>
        <w:t>桩基设计</w:t>
      </w:r>
      <w:r>
        <w:tab/>
      </w:r>
      <w:r>
        <w:fldChar w:fldCharType="begin"/>
      </w:r>
      <w:r>
        <w:instrText xml:space="preserve"> PAGEREF _Toc8040 \h </w:instrText>
      </w:r>
      <w:r>
        <w:fldChar w:fldCharType="separate"/>
      </w:r>
      <w:r>
        <w:t>6</w:t>
      </w:r>
      <w:r>
        <w:fldChar w:fldCharType="end"/>
      </w:r>
      <w:r>
        <w:fldChar w:fldCharType="end"/>
      </w:r>
    </w:p>
    <w:p>
      <w:pPr>
        <w:pStyle w:val="24"/>
        <w:tabs>
          <w:tab w:val="right" w:leader="dot" w:pos="9354"/>
          <w:tab w:val="clear" w:pos="9344"/>
        </w:tabs>
      </w:pPr>
      <w:r>
        <w:fldChar w:fldCharType="begin"/>
      </w:r>
      <w:r>
        <w:instrText xml:space="preserve"> HYPERLINK \l _Toc4078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6.1 </w:t>
      </w:r>
      <w:r>
        <w:rPr>
          <w:rFonts w:hint="eastAsia" w:hAnsi="黑体"/>
          <w:szCs w:val="21"/>
        </w:rPr>
        <w:t>一般规定</w:t>
      </w:r>
      <w:r>
        <w:tab/>
      </w:r>
      <w:r>
        <w:fldChar w:fldCharType="begin"/>
      </w:r>
      <w:r>
        <w:instrText xml:space="preserve"> PAGEREF _Toc4078 \h </w:instrText>
      </w:r>
      <w:r>
        <w:fldChar w:fldCharType="separate"/>
      </w:r>
      <w:r>
        <w:t>6</w:t>
      </w:r>
      <w:r>
        <w:fldChar w:fldCharType="end"/>
      </w:r>
      <w:r>
        <w:fldChar w:fldCharType="end"/>
      </w:r>
    </w:p>
    <w:p>
      <w:pPr>
        <w:pStyle w:val="24"/>
        <w:tabs>
          <w:tab w:val="right" w:leader="dot" w:pos="9354"/>
          <w:tab w:val="clear" w:pos="9344"/>
        </w:tabs>
      </w:pPr>
      <w:r>
        <w:fldChar w:fldCharType="begin"/>
      </w:r>
      <w:r>
        <w:instrText xml:space="preserve"> HYPERLINK \l _Toc2078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6.2 </w:t>
      </w:r>
      <w:r>
        <w:rPr>
          <w:rFonts w:hint="eastAsia" w:hAnsi="黑体"/>
          <w:szCs w:val="21"/>
        </w:rPr>
        <w:t>基桩构造</w:t>
      </w:r>
      <w:r>
        <w:tab/>
      </w:r>
      <w:r>
        <w:fldChar w:fldCharType="begin"/>
      </w:r>
      <w:r>
        <w:instrText xml:space="preserve"> PAGEREF _Toc2078 \h </w:instrText>
      </w:r>
      <w:r>
        <w:fldChar w:fldCharType="separate"/>
      </w:r>
      <w:r>
        <w:t>6</w:t>
      </w:r>
      <w:r>
        <w:fldChar w:fldCharType="end"/>
      </w:r>
      <w:r>
        <w:fldChar w:fldCharType="end"/>
      </w:r>
    </w:p>
    <w:p>
      <w:pPr>
        <w:pStyle w:val="24"/>
        <w:tabs>
          <w:tab w:val="right" w:leader="dot" w:pos="9354"/>
          <w:tab w:val="clear" w:pos="9344"/>
        </w:tabs>
      </w:pPr>
      <w:r>
        <w:fldChar w:fldCharType="begin"/>
      </w:r>
      <w:r>
        <w:instrText xml:space="preserve"> HYPERLINK \l _Toc24375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6.3 </w:t>
      </w:r>
      <w:r>
        <w:rPr>
          <w:rFonts w:hint="eastAsia" w:hAnsi="黑体"/>
        </w:rPr>
        <w:t>螺杆灌注桩单桩竖向极限承载力</w:t>
      </w:r>
      <w:r>
        <w:tab/>
      </w:r>
      <w:r>
        <w:fldChar w:fldCharType="begin"/>
      </w:r>
      <w:r>
        <w:instrText xml:space="preserve"> PAGEREF _Toc24375 \h </w:instrText>
      </w:r>
      <w:r>
        <w:fldChar w:fldCharType="separate"/>
      </w:r>
      <w:r>
        <w:t>8</w:t>
      </w:r>
      <w:r>
        <w:fldChar w:fldCharType="end"/>
      </w:r>
      <w:r>
        <w:fldChar w:fldCharType="end"/>
      </w:r>
    </w:p>
    <w:p>
      <w:pPr>
        <w:pStyle w:val="24"/>
        <w:tabs>
          <w:tab w:val="right" w:leader="dot" w:pos="9354"/>
          <w:tab w:val="clear" w:pos="9344"/>
        </w:tabs>
      </w:pPr>
      <w:r>
        <w:fldChar w:fldCharType="begin"/>
      </w:r>
      <w:r>
        <w:instrText xml:space="preserve"> HYPERLINK \l _Toc1058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6.4 </w:t>
      </w:r>
      <w:r>
        <w:rPr>
          <w:rFonts w:hint="eastAsia" w:hAnsi="黑体"/>
        </w:rPr>
        <w:t>桩身承载力</w:t>
      </w:r>
      <w:r>
        <w:tab/>
      </w:r>
      <w:r>
        <w:fldChar w:fldCharType="begin"/>
      </w:r>
      <w:r>
        <w:instrText xml:space="preserve"> PAGEREF _Toc1058 \h </w:instrText>
      </w:r>
      <w:r>
        <w:fldChar w:fldCharType="separate"/>
      </w:r>
      <w:r>
        <w:t>13</w:t>
      </w:r>
      <w:r>
        <w:fldChar w:fldCharType="end"/>
      </w:r>
      <w:r>
        <w:fldChar w:fldCharType="end"/>
      </w:r>
    </w:p>
    <w:p>
      <w:pPr>
        <w:pStyle w:val="24"/>
        <w:tabs>
          <w:tab w:val="right" w:leader="dot" w:pos="9354"/>
          <w:tab w:val="clear" w:pos="9344"/>
        </w:tabs>
      </w:pPr>
      <w:r>
        <w:fldChar w:fldCharType="begin"/>
      </w:r>
      <w:r>
        <w:instrText xml:space="preserve"> HYPERLINK \l _Toc6957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6.5 </w:t>
      </w:r>
      <w:r>
        <w:rPr>
          <w:rFonts w:hint="eastAsia" w:hAnsi="黑体"/>
        </w:rPr>
        <w:t>单桩竖向抗拔承载力</w:t>
      </w:r>
      <w:r>
        <w:tab/>
      </w:r>
      <w:r>
        <w:fldChar w:fldCharType="begin"/>
      </w:r>
      <w:r>
        <w:instrText xml:space="preserve"> PAGEREF _Toc6957 \h </w:instrText>
      </w:r>
      <w:r>
        <w:fldChar w:fldCharType="separate"/>
      </w:r>
      <w:r>
        <w:t>14</w:t>
      </w:r>
      <w:r>
        <w:fldChar w:fldCharType="end"/>
      </w:r>
      <w:r>
        <w:fldChar w:fldCharType="end"/>
      </w:r>
    </w:p>
    <w:p>
      <w:pPr>
        <w:pStyle w:val="24"/>
        <w:tabs>
          <w:tab w:val="right" w:leader="dot" w:pos="9354"/>
          <w:tab w:val="clear" w:pos="9344"/>
        </w:tabs>
      </w:pPr>
      <w:r>
        <w:fldChar w:fldCharType="begin"/>
      </w:r>
      <w:r>
        <w:instrText xml:space="preserve"> HYPERLINK \l _Toc30550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6.6 </w:t>
      </w:r>
      <w:r>
        <w:rPr>
          <w:rFonts w:hint="eastAsia" w:hAnsi="黑体"/>
        </w:rPr>
        <w:t>单桩水平承载力</w:t>
      </w:r>
      <w:r>
        <w:tab/>
      </w:r>
      <w:r>
        <w:fldChar w:fldCharType="begin"/>
      </w:r>
      <w:r>
        <w:instrText xml:space="preserve"> PAGEREF _Toc30550 \h </w:instrText>
      </w:r>
      <w:r>
        <w:fldChar w:fldCharType="separate"/>
      </w:r>
      <w:r>
        <w:t>15</w:t>
      </w:r>
      <w:r>
        <w:fldChar w:fldCharType="end"/>
      </w:r>
      <w:r>
        <w:fldChar w:fldCharType="end"/>
      </w:r>
    </w:p>
    <w:p>
      <w:pPr>
        <w:pStyle w:val="19"/>
        <w:tabs>
          <w:tab w:val="right" w:leader="dot" w:pos="9354"/>
        </w:tabs>
      </w:pPr>
      <w:r>
        <w:fldChar w:fldCharType="begin"/>
      </w:r>
      <w:r>
        <w:instrText xml:space="preserve"> HYPERLINK \l _Toc9968 </w:instrText>
      </w:r>
      <w:r>
        <w:fldChar w:fldCharType="separate"/>
      </w:r>
      <w:r>
        <w:rPr>
          <w:rFonts w:hint="eastAsia" w:ascii="黑体" w:hAnsi="黑体" w:eastAsia="黑体"/>
          <w:i w:val="0"/>
        </w:rPr>
        <w:t xml:space="preserve">7 </w:t>
      </w:r>
      <w:r>
        <w:rPr>
          <w:rFonts w:hint="eastAsia" w:hAnsi="黑体"/>
          <w:bCs/>
        </w:rPr>
        <w:t>复合地基设计</w:t>
      </w:r>
      <w:r>
        <w:tab/>
      </w:r>
      <w:r>
        <w:fldChar w:fldCharType="begin"/>
      </w:r>
      <w:r>
        <w:instrText xml:space="preserve"> PAGEREF _Toc9968 \h </w:instrText>
      </w:r>
      <w:r>
        <w:fldChar w:fldCharType="separate"/>
      </w:r>
      <w:r>
        <w:t>15</w:t>
      </w:r>
      <w:r>
        <w:fldChar w:fldCharType="end"/>
      </w:r>
      <w:r>
        <w:fldChar w:fldCharType="end"/>
      </w:r>
    </w:p>
    <w:p>
      <w:pPr>
        <w:pStyle w:val="19"/>
        <w:tabs>
          <w:tab w:val="right" w:leader="dot" w:pos="9354"/>
        </w:tabs>
      </w:pPr>
      <w:r>
        <w:fldChar w:fldCharType="begin"/>
      </w:r>
      <w:r>
        <w:instrText xml:space="preserve"> HYPERLINK \l _Toc9267 </w:instrText>
      </w:r>
      <w:r>
        <w:fldChar w:fldCharType="separate"/>
      </w:r>
      <w:r>
        <w:rPr>
          <w:rFonts w:hint="eastAsia" w:ascii="黑体" w:eastAsia="黑体"/>
          <w:i w:val="0"/>
        </w:rPr>
        <w:t xml:space="preserve">8 </w:t>
      </w:r>
      <w:r>
        <w:rPr>
          <w:rFonts w:hint="eastAsia"/>
        </w:rPr>
        <w:t>螺杆</w:t>
      </w:r>
      <w:r>
        <w:t>灌注桩</w:t>
      </w:r>
      <w:r>
        <w:rPr>
          <w:rFonts w:hint="eastAsia"/>
        </w:rPr>
        <w:t>施工</w:t>
      </w:r>
      <w:r>
        <w:tab/>
      </w:r>
      <w:r>
        <w:fldChar w:fldCharType="begin"/>
      </w:r>
      <w:r>
        <w:instrText xml:space="preserve"> PAGEREF _Toc9267 \h </w:instrText>
      </w:r>
      <w:r>
        <w:fldChar w:fldCharType="separate"/>
      </w:r>
      <w:r>
        <w:t>17</w:t>
      </w:r>
      <w:r>
        <w:fldChar w:fldCharType="end"/>
      </w:r>
      <w:r>
        <w:fldChar w:fldCharType="end"/>
      </w:r>
    </w:p>
    <w:p>
      <w:pPr>
        <w:pStyle w:val="19"/>
        <w:tabs>
          <w:tab w:val="right" w:leader="dot" w:pos="9354"/>
        </w:tabs>
      </w:pPr>
      <w:r>
        <w:fldChar w:fldCharType="begin"/>
      </w:r>
      <w:r>
        <w:instrText xml:space="preserve"> HYPERLINK \l _Toc18109 </w:instrText>
      </w:r>
      <w:r>
        <w:fldChar w:fldCharType="separate"/>
      </w:r>
      <w:r>
        <w:rPr>
          <w:rFonts w:hint="eastAsia" w:ascii="黑体" w:hAnsi="黑体" w:eastAsia="黑体" w:cs="黑体"/>
          <w:i w:val="0"/>
        </w:rPr>
        <w:t xml:space="preserve">9 </w:t>
      </w:r>
      <w:r>
        <w:rPr>
          <w:rFonts w:hint="eastAsia" w:ascii="黑体" w:hAnsi="黑体" w:eastAsia="黑体" w:cs="黑体"/>
          <w:bCs/>
        </w:rPr>
        <w:t>质量检验与验收</w:t>
      </w:r>
      <w:r>
        <w:tab/>
      </w:r>
      <w:r>
        <w:fldChar w:fldCharType="begin"/>
      </w:r>
      <w:r>
        <w:instrText xml:space="preserve"> PAGEREF _Toc18109 \h </w:instrText>
      </w:r>
      <w:r>
        <w:fldChar w:fldCharType="separate"/>
      </w:r>
      <w:r>
        <w:t>21</w:t>
      </w:r>
      <w:r>
        <w:fldChar w:fldCharType="end"/>
      </w:r>
      <w:r>
        <w:fldChar w:fldCharType="end"/>
      </w:r>
    </w:p>
    <w:p>
      <w:pPr>
        <w:pStyle w:val="19"/>
        <w:tabs>
          <w:tab w:val="right" w:leader="dot" w:pos="9354"/>
        </w:tabs>
      </w:pPr>
      <w:r>
        <w:fldChar w:fldCharType="begin"/>
      </w:r>
      <w:r>
        <w:instrText xml:space="preserve"> HYPERLINK \l _Toc31563 </w:instrText>
      </w:r>
      <w:r>
        <w:fldChar w:fldCharType="separate"/>
      </w:r>
      <w:r>
        <w:rPr>
          <w:rFonts w:hint="eastAsia"/>
          <w:spacing w:val="100"/>
        </w:rPr>
        <w:t xml:space="preserve">附录A </w:t>
      </w:r>
      <w:r>
        <w:t xml:space="preserve"> </w:t>
      </w:r>
      <w:r>
        <w:rPr>
          <w:rFonts w:hint="eastAsia"/>
        </w:rPr>
        <w:t>（规范性）</w:t>
      </w:r>
      <w:r>
        <w:t xml:space="preserve"> </w:t>
      </w:r>
      <w:r>
        <w:rPr>
          <w:rFonts w:hint="eastAsia"/>
        </w:rPr>
        <w:t>螺杆灌注桩示意图</w:t>
      </w:r>
      <w:r>
        <w:tab/>
      </w:r>
      <w:r>
        <w:fldChar w:fldCharType="begin"/>
      </w:r>
      <w:r>
        <w:instrText xml:space="preserve"> PAGEREF _Toc31563 \h </w:instrText>
      </w:r>
      <w:r>
        <w:fldChar w:fldCharType="separate"/>
      </w:r>
      <w:r>
        <w:t>24</w:t>
      </w:r>
      <w:r>
        <w:fldChar w:fldCharType="end"/>
      </w:r>
      <w:r>
        <w:fldChar w:fldCharType="end"/>
      </w:r>
    </w:p>
    <w:p>
      <w:pPr>
        <w:pStyle w:val="19"/>
        <w:tabs>
          <w:tab w:val="right" w:leader="dot" w:pos="9354"/>
        </w:tabs>
      </w:pPr>
      <w:r>
        <w:fldChar w:fldCharType="begin"/>
      </w:r>
      <w:r>
        <w:instrText xml:space="preserve"> HYPERLINK \l _Toc23442 </w:instrText>
      </w:r>
      <w:r>
        <w:fldChar w:fldCharType="separate"/>
      </w:r>
      <w:r>
        <w:rPr>
          <w:rFonts w:hint="eastAsia"/>
          <w:spacing w:val="100"/>
        </w:rPr>
        <w:t xml:space="preserve">附录B </w:t>
      </w:r>
      <w:r>
        <w:t xml:space="preserve"> </w:t>
      </w:r>
      <w:r>
        <w:rPr>
          <w:rFonts w:hint="eastAsia"/>
        </w:rPr>
        <w:t>（资料性）</w:t>
      </w:r>
      <w:r>
        <w:t xml:space="preserve"> </w:t>
      </w:r>
      <w:r>
        <w:rPr>
          <w:rFonts w:hint="eastAsia"/>
        </w:rPr>
        <w:t>螺杆灌注桩桩型</w:t>
      </w:r>
      <w:r>
        <w:tab/>
      </w:r>
      <w:r>
        <w:fldChar w:fldCharType="begin"/>
      </w:r>
      <w:r>
        <w:instrText xml:space="preserve"> PAGEREF _Toc23442 \h </w:instrText>
      </w:r>
      <w:r>
        <w:fldChar w:fldCharType="separate"/>
      </w:r>
      <w:r>
        <w:t>25</w:t>
      </w:r>
      <w:r>
        <w:fldChar w:fldCharType="end"/>
      </w:r>
      <w:r>
        <w:fldChar w:fldCharType="end"/>
      </w:r>
    </w:p>
    <w:p>
      <w:pPr>
        <w:pStyle w:val="19"/>
        <w:tabs>
          <w:tab w:val="right" w:leader="dot" w:pos="9354"/>
        </w:tabs>
      </w:pPr>
      <w:r>
        <w:fldChar w:fldCharType="begin"/>
      </w:r>
      <w:r>
        <w:instrText xml:space="preserve"> HYPERLINK \l _Toc3269 </w:instrText>
      </w:r>
      <w:r>
        <w:fldChar w:fldCharType="separate"/>
      </w:r>
      <w:r>
        <w:rPr>
          <w:rFonts w:hint="eastAsia"/>
          <w:spacing w:val="100"/>
        </w:rPr>
        <w:t xml:space="preserve">附录C </w:t>
      </w:r>
      <w:r>
        <w:t xml:space="preserve"> </w:t>
      </w:r>
      <w:r>
        <w:rPr>
          <w:rFonts w:hint="eastAsia"/>
        </w:rPr>
        <w:t>（资料性）</w:t>
      </w:r>
      <w:r>
        <w:t xml:space="preserve"> </w:t>
      </w:r>
      <w:r>
        <w:rPr>
          <w:rFonts w:hint="eastAsia"/>
        </w:rPr>
        <w:t>组合式齿状螺纹钻具</w:t>
      </w:r>
      <w:r>
        <w:tab/>
      </w:r>
      <w:r>
        <w:fldChar w:fldCharType="begin"/>
      </w:r>
      <w:r>
        <w:instrText xml:space="preserve"> PAGEREF _Toc3269 \h </w:instrText>
      </w:r>
      <w:r>
        <w:fldChar w:fldCharType="separate"/>
      </w:r>
      <w:r>
        <w:t>26</w:t>
      </w:r>
      <w:r>
        <w:fldChar w:fldCharType="end"/>
      </w:r>
      <w:r>
        <w:fldChar w:fldCharType="end"/>
      </w:r>
    </w:p>
    <w:p>
      <w:pPr>
        <w:pStyle w:val="19"/>
        <w:tabs>
          <w:tab w:val="right" w:leader="dot" w:pos="9354"/>
        </w:tabs>
      </w:pPr>
      <w:r>
        <w:fldChar w:fldCharType="begin"/>
      </w:r>
      <w:r>
        <w:instrText xml:space="preserve"> HYPERLINK \l _Toc27255 </w:instrText>
      </w:r>
      <w:r>
        <w:fldChar w:fldCharType="separate"/>
      </w:r>
      <w:r>
        <w:rPr>
          <w:rFonts w:hint="eastAsia"/>
          <w:spacing w:val="100"/>
        </w:rPr>
        <w:t xml:space="preserve">附录D </w:t>
      </w:r>
      <w:r>
        <w:t xml:space="preserve"> </w:t>
      </w:r>
      <w:r>
        <w:rPr>
          <w:rFonts w:hint="eastAsia"/>
        </w:rPr>
        <w:t>（资料性）</w:t>
      </w:r>
      <w:r>
        <w:t xml:space="preserve"> </w:t>
      </w:r>
      <w:r>
        <w:rPr>
          <w:rFonts w:hint="eastAsia"/>
        </w:rPr>
        <w:t>螺杆灌注桩成桩工艺过程示意图</w:t>
      </w:r>
      <w:r>
        <w:tab/>
      </w:r>
      <w:r>
        <w:fldChar w:fldCharType="begin"/>
      </w:r>
      <w:r>
        <w:instrText xml:space="preserve"> PAGEREF _Toc27255 \h </w:instrText>
      </w:r>
      <w:r>
        <w:fldChar w:fldCharType="separate"/>
      </w:r>
      <w:r>
        <w:t>27</w:t>
      </w:r>
      <w:r>
        <w:fldChar w:fldCharType="end"/>
      </w:r>
      <w:r>
        <w:fldChar w:fldCharType="end"/>
      </w:r>
    </w:p>
    <w:p>
      <w:pPr>
        <w:pStyle w:val="19"/>
        <w:tabs>
          <w:tab w:val="right" w:leader="dot" w:pos="9354"/>
        </w:tabs>
      </w:pPr>
      <w:r>
        <w:fldChar w:fldCharType="begin"/>
      </w:r>
      <w:r>
        <w:instrText xml:space="preserve"> HYPERLINK \l _Toc26351 </w:instrText>
      </w:r>
      <w:r>
        <w:fldChar w:fldCharType="separate"/>
      </w:r>
      <w:r>
        <w:rPr>
          <w:rFonts w:hint="eastAsia"/>
          <w:spacing w:val="100"/>
        </w:rPr>
        <w:t xml:space="preserve">附录E </w:t>
      </w:r>
      <w:r>
        <w:t xml:space="preserve"> </w:t>
      </w:r>
      <w:r>
        <w:rPr>
          <w:rFonts w:hint="eastAsia"/>
        </w:rPr>
        <w:t>（资料性）</w:t>
      </w:r>
      <w:r>
        <w:t xml:space="preserve"> </w:t>
      </w:r>
      <w:r>
        <w:rPr>
          <w:rFonts w:hint="eastAsia"/>
        </w:rPr>
        <w:t>螺杆灌注桩扩大体施工示意图</w:t>
      </w:r>
      <w:r>
        <w:tab/>
      </w:r>
      <w:r>
        <w:fldChar w:fldCharType="begin"/>
      </w:r>
      <w:r>
        <w:instrText xml:space="preserve"> PAGEREF _Toc26351 \h </w:instrText>
      </w:r>
      <w:r>
        <w:fldChar w:fldCharType="separate"/>
      </w:r>
      <w:r>
        <w:t>28</w:t>
      </w:r>
      <w:r>
        <w:fldChar w:fldCharType="end"/>
      </w:r>
      <w:r>
        <w:fldChar w:fldCharType="end"/>
      </w:r>
    </w:p>
    <w:p>
      <w:pPr>
        <w:pStyle w:val="19"/>
        <w:tabs>
          <w:tab w:val="right" w:leader="dot" w:pos="9354"/>
        </w:tabs>
      </w:pPr>
      <w:r>
        <w:fldChar w:fldCharType="begin"/>
      </w:r>
      <w:r>
        <w:instrText xml:space="preserve"> HYPERLINK \l _Toc13456 </w:instrText>
      </w:r>
      <w:r>
        <w:fldChar w:fldCharType="separate"/>
      </w:r>
      <w:r>
        <w:rPr>
          <w:rFonts w:hint="eastAsia"/>
          <w:spacing w:val="100"/>
        </w:rPr>
        <w:t xml:space="preserve">附录F </w:t>
      </w:r>
      <w:r>
        <w:t xml:space="preserve"> </w:t>
      </w:r>
      <w:r>
        <w:rPr>
          <w:rFonts w:hint="eastAsia"/>
        </w:rPr>
        <w:t>（资料性）</w:t>
      </w:r>
      <w:r>
        <w:t xml:space="preserve"> </w:t>
      </w:r>
      <w:r>
        <w:rPr>
          <w:rFonts w:hint="eastAsia"/>
        </w:rPr>
        <w:t>消除挤土效应的屏障技术示意图</w:t>
      </w:r>
      <w:r>
        <w:tab/>
      </w:r>
      <w:r>
        <w:fldChar w:fldCharType="begin"/>
      </w:r>
      <w:r>
        <w:instrText xml:space="preserve"> PAGEREF _Toc13456 \h </w:instrText>
      </w:r>
      <w:r>
        <w:fldChar w:fldCharType="separate"/>
      </w:r>
      <w:r>
        <w:t>29</w:t>
      </w:r>
      <w:r>
        <w:fldChar w:fldCharType="end"/>
      </w:r>
      <w:r>
        <w:fldChar w:fldCharType="end"/>
      </w:r>
    </w:p>
    <w:p>
      <w:pPr>
        <w:pStyle w:val="19"/>
        <w:tabs>
          <w:tab w:val="right" w:leader="dot" w:pos="9354"/>
        </w:tabs>
      </w:pPr>
      <w:r>
        <w:fldChar w:fldCharType="begin"/>
      </w:r>
      <w:r>
        <w:instrText xml:space="preserve"> HYPERLINK \l _Toc14211 </w:instrText>
      </w:r>
      <w:r>
        <w:fldChar w:fldCharType="separate"/>
      </w:r>
      <w:r>
        <w:rPr>
          <w:rFonts w:hint="eastAsia"/>
          <w:spacing w:val="100"/>
        </w:rPr>
        <w:t xml:space="preserve">附录G </w:t>
      </w:r>
      <w:r>
        <w:t xml:space="preserve"> </w:t>
      </w:r>
      <w:r>
        <w:rPr>
          <w:rFonts w:hint="eastAsia"/>
        </w:rPr>
        <w:t>（资料性）</w:t>
      </w:r>
      <w:r>
        <w:t xml:space="preserve"> </w:t>
      </w:r>
      <w:r>
        <w:rPr>
          <w:rFonts w:hint="eastAsia"/>
        </w:rPr>
        <w:t>螺杆灌注桩施工记录表</w:t>
      </w:r>
      <w:r>
        <w:tab/>
      </w:r>
      <w:r>
        <w:fldChar w:fldCharType="begin"/>
      </w:r>
      <w:r>
        <w:instrText xml:space="preserve"> PAGEREF _Toc14211 \h </w:instrText>
      </w:r>
      <w:r>
        <w:fldChar w:fldCharType="separate"/>
      </w:r>
      <w:r>
        <w:t>30</w:t>
      </w:r>
      <w:r>
        <w:fldChar w:fldCharType="end"/>
      </w:r>
      <w:r>
        <w:fldChar w:fldCharType="end"/>
      </w:r>
    </w:p>
    <w:p>
      <w:pPr>
        <w:pStyle w:val="19"/>
        <w:tabs>
          <w:tab w:val="right" w:leader="dot" w:pos="9354"/>
        </w:tabs>
      </w:pPr>
      <w:r>
        <w:fldChar w:fldCharType="begin"/>
      </w:r>
      <w:r>
        <w:instrText xml:space="preserve"> HYPERLINK \l _Toc3157 </w:instrText>
      </w:r>
      <w:r>
        <w:fldChar w:fldCharType="separate"/>
      </w:r>
      <w:r>
        <w:rPr>
          <w:rFonts w:hint="eastAsia"/>
          <w:spacing w:val="100"/>
        </w:rPr>
        <w:t xml:space="preserve">附录H </w:t>
      </w:r>
      <w:r>
        <w:t xml:space="preserve"> </w:t>
      </w:r>
      <w:r>
        <w:rPr>
          <w:rFonts w:hint="eastAsia"/>
        </w:rPr>
        <w:t>（资料性）</w:t>
      </w:r>
      <w:r>
        <w:t xml:space="preserve"> </w:t>
      </w:r>
      <w:r>
        <w:rPr>
          <w:rFonts w:hint="eastAsia" w:ascii="宋体" w:hAnsi="宋体" w:cs="宋体"/>
          <w:bCs w:val="0"/>
          <w:szCs w:val="21"/>
        </w:rPr>
        <w:t>螺杆灌注桩质量控制记录</w:t>
      </w:r>
      <w:r>
        <w:rPr>
          <w:rFonts w:hint="eastAsia" w:ascii="宋体" w:hAnsi="宋体" w:cs="宋体"/>
          <w:bCs w:val="0"/>
          <w:szCs w:val="21"/>
          <w:lang w:eastAsia="zh-CN"/>
        </w:rPr>
        <w:t>表</w:t>
      </w:r>
      <w:r>
        <w:tab/>
      </w:r>
      <w:r>
        <w:fldChar w:fldCharType="begin"/>
      </w:r>
      <w:r>
        <w:instrText xml:space="preserve"> PAGEREF _Toc3157 \h </w:instrText>
      </w:r>
      <w:r>
        <w:fldChar w:fldCharType="separate"/>
      </w:r>
      <w:r>
        <w:t>31</w:t>
      </w:r>
      <w:r>
        <w:fldChar w:fldCharType="end"/>
      </w:r>
      <w:r>
        <w:fldChar w:fldCharType="end"/>
      </w:r>
    </w:p>
    <w:p>
      <w:pPr>
        <w:pStyle w:val="19"/>
        <w:tabs>
          <w:tab w:val="right" w:leader="dot" w:pos="9354"/>
        </w:tabs>
      </w:pPr>
      <w:r>
        <w:fldChar w:fldCharType="begin"/>
      </w:r>
      <w:r>
        <w:instrText xml:space="preserve"> HYPERLINK \l _Toc20810 </w:instrText>
      </w:r>
      <w:r>
        <w:fldChar w:fldCharType="separate"/>
      </w:r>
      <w:r>
        <w:rPr>
          <w:rFonts w:hint="eastAsia"/>
          <w:spacing w:val="100"/>
        </w:rPr>
        <w:t xml:space="preserve">附录I </w:t>
      </w:r>
      <w:r>
        <w:t xml:space="preserve"> </w:t>
      </w:r>
      <w:r>
        <w:rPr>
          <w:rFonts w:hint="eastAsia"/>
        </w:rPr>
        <w:t>（资料性）</w:t>
      </w:r>
      <w:r>
        <w:t xml:space="preserve"> </w:t>
      </w:r>
      <w:r>
        <w:rPr>
          <w:rFonts w:hint="eastAsia" w:ascii="宋体" w:hAnsi="宋体" w:eastAsia="宋体" w:cs="宋体"/>
          <w:szCs w:val="21"/>
        </w:rPr>
        <w:t>螺杆灌注桩桩基设计说明</w:t>
      </w:r>
      <w:r>
        <w:tab/>
      </w:r>
      <w:r>
        <w:fldChar w:fldCharType="begin"/>
      </w:r>
      <w:r>
        <w:instrText xml:space="preserve"> PAGEREF _Toc20810 \h </w:instrText>
      </w:r>
      <w:r>
        <w:fldChar w:fldCharType="separate"/>
      </w:r>
      <w:r>
        <w:t>32</w:t>
      </w:r>
      <w:r>
        <w:fldChar w:fldCharType="end"/>
      </w:r>
      <w:r>
        <w:fldChar w:fldCharType="end"/>
      </w:r>
    </w:p>
    <w:p>
      <w:pPr>
        <w:pStyle w:val="19"/>
        <w:tabs>
          <w:tab w:val="right" w:leader="dot" w:pos="9354"/>
        </w:tabs>
      </w:pPr>
      <w:r>
        <w:fldChar w:fldCharType="begin"/>
      </w:r>
      <w:r>
        <w:instrText xml:space="preserve"> HYPERLINK \l _Toc25308 </w:instrText>
      </w:r>
      <w:r>
        <w:fldChar w:fldCharType="separate"/>
      </w:r>
      <w:r>
        <w:rPr>
          <w:rFonts w:hint="eastAsia"/>
          <w:spacing w:val="100"/>
        </w:rPr>
        <w:t xml:space="preserve">附录J </w:t>
      </w:r>
      <w:r>
        <w:t xml:space="preserve"> </w:t>
      </w:r>
      <w:r>
        <w:rPr>
          <w:rFonts w:hint="eastAsia"/>
        </w:rPr>
        <w:t>（资料性）</w:t>
      </w:r>
      <w:r>
        <w:t xml:space="preserve"> </w:t>
      </w:r>
      <w:r>
        <w:rPr>
          <w:rFonts w:hint="eastAsia" w:ascii="宋体" w:hAnsi="宋体" w:cs="宋体"/>
          <w:szCs w:val="21"/>
        </w:rPr>
        <w:t>螺杆灌注桩复合地基设计说明</w:t>
      </w:r>
      <w:r>
        <w:tab/>
      </w:r>
      <w:r>
        <w:fldChar w:fldCharType="begin"/>
      </w:r>
      <w:r>
        <w:instrText xml:space="preserve"> PAGEREF _Toc25308 \h </w:instrText>
      </w:r>
      <w:r>
        <w:fldChar w:fldCharType="separate"/>
      </w:r>
      <w:r>
        <w:t>34</w:t>
      </w:r>
      <w:r>
        <w:fldChar w:fldCharType="end"/>
      </w:r>
      <w:r>
        <w:fldChar w:fldCharType="end"/>
      </w:r>
    </w:p>
    <w:p>
      <w:pPr>
        <w:pStyle w:val="19"/>
        <w:tabs>
          <w:tab w:val="right" w:leader="dot" w:pos="9354"/>
        </w:tabs>
      </w:pPr>
      <w:r>
        <w:fldChar w:fldCharType="begin"/>
      </w:r>
      <w:r>
        <w:instrText xml:space="preserve"> HYPERLINK \l _Toc19657 </w:instrText>
      </w:r>
      <w:r>
        <w:fldChar w:fldCharType="separate"/>
      </w:r>
      <w:r>
        <w:rPr>
          <w:rFonts w:hint="eastAsia" w:ascii="黑体" w:hAnsi="黑体"/>
          <w:bCs w:val="0"/>
          <w:szCs w:val="32"/>
        </w:rPr>
        <w:t>条文说明</w:t>
      </w:r>
      <w:r>
        <w:tab/>
      </w:r>
      <w:r>
        <w:fldChar w:fldCharType="begin"/>
      </w:r>
      <w:r>
        <w:instrText xml:space="preserve"> PAGEREF _Toc19657 \h </w:instrText>
      </w:r>
      <w:r>
        <w:fldChar w:fldCharType="separate"/>
      </w:r>
      <w:r>
        <w:t>36</w:t>
      </w:r>
      <w:r>
        <w:fldChar w:fldCharType="end"/>
      </w:r>
      <w:r>
        <w:fldChar w:fldCharType="end"/>
      </w:r>
    </w:p>
    <w:p>
      <w:pPr>
        <w:pStyle w:val="19"/>
        <w:tabs>
          <w:tab w:val="right" w:leader="dot" w:pos="9354"/>
        </w:tabs>
      </w:pPr>
    </w:p>
    <w:p>
      <w:pPr>
        <w:pStyle w:val="91"/>
        <w:spacing w:after="468"/>
        <w:sectPr>
          <w:headerReference r:id="rId11" w:type="default"/>
          <w:footerReference r:id="rId13" w:type="default"/>
          <w:headerReference r:id="rId12" w:type="even"/>
          <w:footerReference r:id="rId14"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0"/>
    <w:p>
      <w:pPr>
        <w:pStyle w:val="89"/>
        <w:spacing w:before="900" w:after="468"/>
        <w:rPr>
          <w:rFonts w:hAnsi="黑体"/>
        </w:rPr>
      </w:pPr>
      <w:bookmarkStart w:id="24" w:name="_Toc27295"/>
      <w:bookmarkStart w:id="25" w:name="BookMark2"/>
      <w:r>
        <w:rPr>
          <w:rFonts w:hAnsi="黑体"/>
          <w:spacing w:val="320"/>
        </w:rPr>
        <w:t>前</w:t>
      </w:r>
      <w:r>
        <w:rPr>
          <w:rFonts w:hAnsi="黑体"/>
        </w:rPr>
        <w:t>言</w:t>
      </w:r>
      <w:bookmarkEnd w:id="21"/>
      <w:bookmarkEnd w:id="22"/>
      <w:bookmarkEnd w:id="23"/>
      <w:bookmarkEnd w:id="24"/>
    </w:p>
    <w:p>
      <w:pPr>
        <w:pStyle w:val="56"/>
        <w:ind w:firstLine="420"/>
        <w:rPr>
          <w:rFonts w:hAnsi="宋体"/>
        </w:rPr>
      </w:pPr>
      <w:r>
        <w:rPr>
          <w:rFonts w:hint="eastAsia" w:hAnsi="宋体"/>
        </w:rPr>
        <w:t>本文件按照GB/T 1.1—2020《标准化工作导则  第1部分：标准化文件的结构和起草规则》的规定起草。</w:t>
      </w:r>
    </w:p>
    <w:p>
      <w:pPr>
        <w:pStyle w:val="56"/>
        <w:ind w:firstLine="420"/>
        <w:rPr>
          <w:rFonts w:hAnsi="宋体"/>
        </w:rPr>
      </w:pPr>
    </w:p>
    <w:p>
      <w:pPr>
        <w:pStyle w:val="56"/>
        <w:ind w:firstLine="420"/>
        <w:rPr>
          <w:rFonts w:hAnsi="宋体"/>
        </w:rPr>
      </w:pPr>
      <w:r>
        <w:rPr>
          <w:rFonts w:hint="eastAsia" w:hAnsi="宋体"/>
        </w:rPr>
        <w:t>本文件由湖北省住房和城乡建设厅提出并归口。</w:t>
      </w:r>
    </w:p>
    <w:p>
      <w:pPr>
        <w:pStyle w:val="56"/>
        <w:ind w:firstLine="420"/>
        <w:rPr>
          <w:rFonts w:hAnsi="宋体" w:cs="宋体"/>
          <w:szCs w:val="21"/>
        </w:rPr>
      </w:pPr>
      <w:r>
        <w:rPr>
          <w:rFonts w:hint="eastAsia" w:hAnsi="宋体"/>
        </w:rPr>
        <w:t>本文件主要起草单位：</w:t>
      </w:r>
      <w:r>
        <w:rPr>
          <w:rFonts w:hint="eastAsia" w:hAnsi="宋体" w:cs="宋体"/>
          <w:szCs w:val="21"/>
        </w:rPr>
        <w:t>中南建筑设计院股份有限公司、</w:t>
      </w:r>
      <w:r>
        <w:rPr>
          <w:rFonts w:hint="eastAsia" w:hAnsi="宋体" w:cs="宋体"/>
        </w:rPr>
        <w:t>湖北省建筑设计院有限公司</w:t>
      </w:r>
      <w:r>
        <w:rPr>
          <w:rFonts w:hint="eastAsia" w:hAnsi="宋体" w:cs="宋体"/>
          <w:b/>
          <w:bCs/>
        </w:rPr>
        <w:t>、</w:t>
      </w:r>
      <w:r>
        <w:rPr>
          <w:rFonts w:hint="eastAsia" w:hAnsi="宋体" w:cs="宋体"/>
          <w:szCs w:val="21"/>
        </w:rPr>
        <w:t>卓典科技（湖北）有限公司</w:t>
      </w:r>
    </w:p>
    <w:p>
      <w:pPr>
        <w:adjustRightInd/>
        <w:spacing w:line="240" w:lineRule="auto"/>
        <w:ind w:firstLine="420" w:firstLineChars="200"/>
        <w:rPr>
          <w:rFonts w:ascii="宋体" w:hAnsi="宋体" w:cs="宋体"/>
        </w:rPr>
      </w:pPr>
      <w:r>
        <w:rPr>
          <w:rFonts w:hint="eastAsia" w:ascii="宋体" w:hAnsi="宋体"/>
        </w:rPr>
        <w:t>本文</w:t>
      </w:r>
      <w:r>
        <w:rPr>
          <w:rFonts w:hint="eastAsia" w:ascii="宋体" w:hAnsi="宋体"/>
          <w:lang w:eastAsia="zh-CN"/>
        </w:rPr>
        <w:t>件</w:t>
      </w:r>
      <w:r>
        <w:rPr>
          <w:rFonts w:ascii="宋体" w:hAnsi="宋体"/>
        </w:rPr>
        <w:t>参加起草单位：</w:t>
      </w:r>
      <w:r>
        <w:rPr>
          <w:rFonts w:hint="eastAsia" w:ascii="宋体" w:hAnsi="宋体" w:cs="宋体"/>
        </w:rPr>
        <w:t>中建三局第二建设工程有限公司、中国医药集团联合工程有限公司、湖北恒创建筑勘察设计有限公司、浠水县建筑勘察设计院、黄石城乡规划建筑设计院、海南津杭设计工程咨询有限公司、湖南城市学院设计研究院有限公司、海南卓典高科技开发有限公司、重庆卓典建设工程有限公司</w:t>
      </w:r>
    </w:p>
    <w:p>
      <w:pPr>
        <w:pStyle w:val="56"/>
        <w:ind w:firstLine="420"/>
        <w:rPr>
          <w:rFonts w:hAnsi="宋体" w:cs="宋体"/>
          <w:szCs w:val="21"/>
        </w:rPr>
      </w:pPr>
      <w:r>
        <w:rPr>
          <w:rFonts w:hint="eastAsia" w:hAnsi="宋体"/>
        </w:rPr>
        <w:t xml:space="preserve">本文件主要起草人： </w:t>
      </w:r>
      <w:r>
        <w:rPr>
          <w:rFonts w:hint="eastAsia" w:hAnsi="宋体" w:cs="宋体"/>
          <w:szCs w:val="21"/>
        </w:rPr>
        <w:t>刘炳清 李宏胜 彭桂皎 冉颖 谢成 张雄伟 王衍 陈海同 曹纲文</w:t>
      </w:r>
    </w:p>
    <w:p>
      <w:pPr>
        <w:pStyle w:val="56"/>
        <w:ind w:firstLine="420"/>
        <w:rPr>
          <w:rFonts w:hAnsi="宋体"/>
        </w:rPr>
      </w:pPr>
      <w:r>
        <w:rPr>
          <w:rFonts w:hint="eastAsia" w:hAnsi="宋体"/>
        </w:rPr>
        <w:t xml:space="preserve">本文件参与起草人： </w:t>
      </w:r>
      <w:r>
        <w:rPr>
          <w:rFonts w:hint="eastAsia" w:hAnsi="宋体" w:cs="宋体"/>
          <w:szCs w:val="21"/>
        </w:rPr>
        <w:t>钱世益 张浩 周秀恒 赵亚雄 姜剑飞 曾洪超 陈玉娟 刘会进 方凡 谭燕姬 刘鑫 熊海全 彭仕龙</w:t>
      </w:r>
    </w:p>
    <w:p>
      <w:pPr>
        <w:pStyle w:val="56"/>
        <w:ind w:firstLine="420"/>
        <w:rPr>
          <w:rFonts w:hAnsi="宋体"/>
        </w:rPr>
      </w:pPr>
    </w:p>
    <w:p>
      <w:pPr>
        <w:pStyle w:val="56"/>
        <w:ind w:firstLine="420"/>
        <w:rPr>
          <w:rFonts w:hAnsi="宋体"/>
        </w:rPr>
      </w:pPr>
    </w:p>
    <w:p>
      <w:pPr>
        <w:pStyle w:val="56"/>
        <w:ind w:firstLine="420"/>
        <w:rPr>
          <w:rFonts w:hint="eastAsia" w:hAnsi="宋体"/>
          <w:lang w:val="en-US" w:eastAsia="zh-CN"/>
        </w:rPr>
      </w:pPr>
      <w:r>
        <w:rPr>
          <w:rFonts w:hint="eastAsia" w:hAnsi="宋体"/>
        </w:rPr>
        <w:t>本文件实施应用中的疑问，可咨询湖北省住房和城乡建设厅，联系电话：027-68873088，邮箱：mail.hbszjt.net.cn；对本文件的有关修改意见建议请反馈至卓典科技（湖北）</w:t>
      </w:r>
      <w:r>
        <w:rPr>
          <w:rFonts w:hAnsi="宋体"/>
        </w:rPr>
        <w:t>有限公司</w:t>
      </w:r>
      <w:r>
        <w:rPr>
          <w:rFonts w:hint="eastAsia" w:hAnsi="宋体"/>
        </w:rPr>
        <w:t>，联系电话：027-</w:t>
      </w:r>
      <w:r>
        <w:rPr>
          <w:rFonts w:hAnsi="宋体"/>
        </w:rPr>
        <w:t>65279280</w:t>
      </w:r>
      <w:r>
        <w:rPr>
          <w:rFonts w:hint="eastAsia" w:hAnsi="宋体"/>
        </w:rPr>
        <w:t>，邮箱：</w:t>
      </w:r>
      <w:r>
        <w:rPr>
          <w:rFonts w:hAnsi="宋体"/>
        </w:rPr>
        <w:fldChar w:fldCharType="begin"/>
      </w:r>
      <w:r>
        <w:rPr>
          <w:rFonts w:hAnsi="宋体"/>
        </w:rPr>
        <w:instrText xml:space="preserve"> HYPERLINK "mailto:261523938@qq.com" </w:instrText>
      </w:r>
      <w:r>
        <w:rPr>
          <w:rFonts w:hAnsi="宋体"/>
        </w:rPr>
        <w:fldChar w:fldCharType="separate"/>
      </w:r>
      <w:r>
        <w:rPr>
          <w:rStyle w:val="32"/>
          <w:rFonts w:hAnsi="宋体"/>
        </w:rPr>
        <w:t>261523938@qq.c</w:t>
      </w:r>
      <w:r>
        <w:rPr>
          <w:rStyle w:val="32"/>
          <w:rFonts w:hint="eastAsia" w:hAnsi="宋体"/>
          <w:lang w:val="en-US" w:eastAsia="zh-CN"/>
        </w:rPr>
        <w:t>om</w:t>
      </w:r>
      <w:r>
        <w:rPr>
          <w:rFonts w:hAnsi="宋体"/>
        </w:rPr>
        <w:fldChar w:fldCharType="end"/>
      </w: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left="0" w:leftChars="0" w:firstLine="0" w:firstLineChars="0"/>
        <w:jc w:val="center"/>
        <w:rPr>
          <w:rFonts w:hint="eastAsia" w:ascii="黑体" w:hAnsi="黑体" w:eastAsia="黑体" w:cs="Times New Roman"/>
          <w:spacing w:val="320"/>
          <w:sz w:val="32"/>
          <w:lang w:val="en-US" w:eastAsia="zh-CN" w:bidi="ar-SA"/>
        </w:rPr>
      </w:pPr>
      <w:r>
        <w:rPr>
          <w:rFonts w:hint="eastAsia" w:ascii="黑体" w:hAnsi="黑体" w:eastAsia="黑体" w:cs="Times New Roman"/>
          <w:spacing w:val="320"/>
          <w:sz w:val="32"/>
          <w:lang w:val="en-US" w:eastAsia="zh-CN" w:bidi="ar-SA"/>
        </w:rPr>
        <w:t>引言</w:t>
      </w:r>
    </w:p>
    <w:p>
      <w:pPr>
        <w:pStyle w:val="56"/>
        <w:ind w:firstLine="420"/>
        <w:rPr>
          <w:rFonts w:hint="default" w:hAnsi="宋体"/>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螺杆灌注桩技术是在吸收了AJ桩（一种由混凝土和钢</w:t>
      </w:r>
      <w:r>
        <w:rPr>
          <w:rFonts w:hint="eastAsia" w:ascii="宋体" w:hAnsi="宋体" w:eastAsia="宋体" w:cs="宋体"/>
          <w:color w:val="auto"/>
          <w:sz w:val="21"/>
          <w:szCs w:val="21"/>
          <w:lang w:eastAsia="zh-CN"/>
        </w:rPr>
        <w:t>纤</w:t>
      </w:r>
      <w:r>
        <w:rPr>
          <w:rFonts w:hint="eastAsia" w:ascii="宋体" w:hAnsi="宋体" w:eastAsia="宋体" w:cs="宋体"/>
          <w:color w:val="auto"/>
          <w:sz w:val="21"/>
          <w:szCs w:val="21"/>
        </w:rPr>
        <w:t>维预制而成的全螺纹桩）、全螺纹灌注桩等技术优点的基础上，由我国自主创新的一种涵盖桩、成桩设备、成桩工法于一体的</w:t>
      </w:r>
      <w:r>
        <w:rPr>
          <w:rFonts w:hint="eastAsia" w:ascii="宋体" w:hAnsi="宋体" w:eastAsia="宋体" w:cs="宋体"/>
          <w:color w:val="auto"/>
          <w:sz w:val="21"/>
          <w:szCs w:val="21"/>
          <w:lang w:eastAsia="zh-CN"/>
        </w:rPr>
        <w:t>异</w:t>
      </w:r>
      <w:r>
        <w:rPr>
          <w:rFonts w:hint="eastAsia" w:ascii="宋体" w:hAnsi="宋体" w:eastAsia="宋体" w:cs="宋体"/>
          <w:color w:val="auto"/>
          <w:sz w:val="21"/>
          <w:szCs w:val="21"/>
        </w:rPr>
        <w:t>型灌注桩专利技术，对传统桩工艺技术进行了关键性变革，具有以下技术特征：</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0"/>
        <w:rPr>
          <w:rFonts w:hint="eastAsia" w:ascii="宋体" w:hAnsi="宋体" w:eastAsia="宋体" w:cs="宋体"/>
          <w:color w:val="auto"/>
          <w:sz w:val="21"/>
          <w:szCs w:val="21"/>
        </w:rPr>
      </w:pPr>
      <w:bookmarkStart w:id="26" w:name="_Toc19672"/>
      <w:r>
        <w:rPr>
          <w:rFonts w:hint="eastAsia" w:ascii="宋体" w:hAnsi="宋体" w:eastAsia="宋体" w:cs="宋体"/>
          <w:color w:val="auto"/>
          <w:sz w:val="21"/>
          <w:szCs w:val="21"/>
        </w:rPr>
        <w:t>1、成孔成桩一次性完成，杜绝因孔壁塌方造成的安全</w:t>
      </w:r>
      <w:r>
        <w:rPr>
          <w:rFonts w:hint="eastAsia" w:ascii="宋体" w:hAnsi="宋体" w:eastAsia="宋体" w:cs="宋体"/>
          <w:color w:val="auto"/>
          <w:sz w:val="21"/>
          <w:szCs w:val="21"/>
          <w:lang w:eastAsia="zh-CN"/>
        </w:rPr>
        <w:t>、质量</w:t>
      </w:r>
      <w:r>
        <w:rPr>
          <w:rFonts w:hint="eastAsia" w:ascii="宋体" w:hAnsi="宋体" w:eastAsia="宋体" w:cs="宋体"/>
          <w:color w:val="auto"/>
          <w:sz w:val="21"/>
          <w:szCs w:val="21"/>
        </w:rPr>
        <w:t>事故；</w:t>
      </w:r>
      <w:bookmarkEnd w:id="26"/>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2、桩身带有螺纹型构造，显著提高</w:t>
      </w:r>
      <w:r>
        <w:rPr>
          <w:rFonts w:hint="eastAsia" w:ascii="宋体" w:hAnsi="宋体" w:eastAsia="宋体" w:cs="宋体"/>
          <w:color w:val="auto"/>
          <w:sz w:val="21"/>
          <w:szCs w:val="21"/>
          <w:lang w:val="en-US" w:eastAsia="zh-CN"/>
        </w:rPr>
        <w:t>了基桩</w:t>
      </w:r>
      <w:r>
        <w:rPr>
          <w:rFonts w:hint="eastAsia" w:ascii="宋体" w:hAnsi="宋体" w:eastAsia="宋体" w:cs="宋体"/>
          <w:color w:val="auto"/>
          <w:sz w:val="21"/>
          <w:szCs w:val="21"/>
        </w:rPr>
        <w:t>承载力；</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3、施工高效，用材节约，有效降低工程造价；</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4、施工微取土、无须泥浆护壁、噪音和震动</w:t>
      </w:r>
      <w:r>
        <w:rPr>
          <w:rFonts w:hint="eastAsia" w:ascii="宋体" w:hAnsi="宋体" w:eastAsia="宋体" w:cs="宋体"/>
          <w:color w:val="auto"/>
          <w:sz w:val="21"/>
          <w:szCs w:val="21"/>
          <w:lang w:val="en-US" w:eastAsia="zh-CN"/>
        </w:rPr>
        <w:t>较小</w:t>
      </w:r>
      <w:r>
        <w:rPr>
          <w:rFonts w:hint="eastAsia" w:ascii="宋体" w:hAnsi="宋体" w:eastAsia="宋体" w:cs="宋体"/>
          <w:color w:val="auto"/>
          <w:sz w:val="21"/>
          <w:szCs w:val="21"/>
        </w:rPr>
        <w:t>。</w:t>
      </w:r>
    </w:p>
    <w:p>
      <w:pPr>
        <w:pStyle w:val="236"/>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color w:val="auto"/>
          <w:lang w:val="en-US" w:eastAsia="zh-CN"/>
        </w:rPr>
      </w:pPr>
      <w:r>
        <w:rPr>
          <w:rFonts w:hint="eastAsia" w:ascii="Times New Roman" w:hAnsi="Times New Roman" w:eastAsia="宋体" w:cs="Times New Roman"/>
          <w:color w:val="auto"/>
          <w:kern w:val="2"/>
          <w:sz w:val="21"/>
          <w:szCs w:val="21"/>
          <w:u w:val="none"/>
          <w:shd w:val="clear" w:color="auto" w:fill="auto"/>
          <w:lang w:val="en-US" w:eastAsia="zh-CN" w:bidi="ar-SA"/>
        </w:rPr>
        <w:t>螺杆灌注桩适用范围广泛，在桩基础及复合地基中均得到成功应用。近几年，螺杆灌注桩不仅在国内外建筑和市政工程中得到广泛应用，在公路、铁路、港口、水利等行业也得到迅速推广和应用。</w:t>
      </w:r>
    </w:p>
    <w:p>
      <w:pPr>
        <w:pStyle w:val="236"/>
        <w:keepNext w:val="0"/>
        <w:keepLines w:val="0"/>
        <w:pageBreakBefore w:val="0"/>
        <w:widowControl w:val="0"/>
        <w:kinsoku/>
        <w:wordWrap/>
        <w:overflowPunct/>
        <w:topLinePunct w:val="0"/>
        <w:autoSpaceDE/>
        <w:autoSpaceDN/>
        <w:bidi w:val="0"/>
        <w:adjustRightInd/>
        <w:snapToGrid/>
        <w:spacing w:line="240" w:lineRule="auto"/>
        <w:ind w:firstLine="200" w:firstLineChars="100"/>
        <w:jc w:val="left"/>
        <w:textAlignment w:val="auto"/>
        <w:rPr>
          <w:rFonts w:hint="eastAsia" w:ascii="宋体" w:hAnsi="宋体" w:eastAsia="宋体" w:cs="宋体"/>
          <w:color w:val="auto"/>
          <w:sz w:val="21"/>
          <w:szCs w:val="21"/>
        </w:rPr>
      </w:pPr>
      <w:r>
        <w:rPr>
          <w:rFonts w:hint="eastAsia"/>
          <w:color w:val="auto"/>
          <w:lang w:val="en-US" w:eastAsia="zh-CN"/>
        </w:rPr>
        <w:t xml:space="preserve">  </w:t>
      </w:r>
      <w:r>
        <w:rPr>
          <w:rFonts w:hint="eastAsia" w:ascii="宋体" w:hAnsi="宋体" w:eastAsia="宋体" w:cs="宋体"/>
          <w:color w:val="auto"/>
          <w:sz w:val="21"/>
          <w:szCs w:val="21"/>
        </w:rPr>
        <w:t>螺杆</w:t>
      </w:r>
      <w:r>
        <w:rPr>
          <w:rFonts w:hint="eastAsia" w:ascii="宋体" w:hAnsi="宋体" w:eastAsia="宋体" w:cs="宋体"/>
          <w:color w:val="auto"/>
          <w:sz w:val="21"/>
          <w:szCs w:val="21"/>
          <w:lang w:eastAsia="zh-CN"/>
        </w:rPr>
        <w:t>灌注</w:t>
      </w:r>
      <w:r>
        <w:rPr>
          <w:rFonts w:hint="eastAsia" w:ascii="宋体" w:hAnsi="宋体" w:eastAsia="宋体" w:cs="宋体"/>
          <w:color w:val="auto"/>
          <w:sz w:val="21"/>
          <w:szCs w:val="21"/>
        </w:rPr>
        <w:t>桩</w:t>
      </w:r>
      <w:r>
        <w:rPr>
          <w:rFonts w:hint="eastAsia" w:ascii="宋体" w:hAnsi="宋体" w:eastAsia="宋体" w:cs="宋体"/>
          <w:color w:val="auto"/>
          <w:sz w:val="21"/>
          <w:szCs w:val="21"/>
          <w:lang w:val="en-US" w:eastAsia="zh-CN"/>
        </w:rPr>
        <w:t>设计与施工要实现安全适用</w:t>
      </w:r>
      <w:r>
        <w:rPr>
          <w:rFonts w:hint="eastAsia" w:ascii="宋体" w:hAnsi="宋体" w:eastAsia="宋体" w:cs="宋体"/>
          <w:color w:val="auto"/>
          <w:sz w:val="21"/>
          <w:szCs w:val="21"/>
        </w:rPr>
        <w:t>、技术先进、经济合理、保证质量、节能环保等目标，应综合考虑工程与水文地质条件、 上部结构类型和荷载特征、施工技术及环境条件等因素，把握相关技术要点。</w:t>
      </w:r>
    </w:p>
    <w:p>
      <w:pPr>
        <w:pStyle w:val="56"/>
        <w:ind w:left="0" w:leftChars="0" w:firstLine="420" w:firstLineChars="200"/>
        <w:rPr>
          <w:rFonts w:hint="default" w:hAnsi="宋体"/>
          <w:lang w:val="en-US" w:eastAsia="zh-CN"/>
        </w:rPr>
      </w:pPr>
      <w:r>
        <w:rPr>
          <w:rFonts w:hint="eastAsia" w:ascii="宋体" w:hAnsi="宋体" w:eastAsia="宋体" w:cs="宋体"/>
          <w:color w:val="auto"/>
          <w:sz w:val="21"/>
          <w:szCs w:val="21"/>
          <w:lang w:eastAsia="zh-CN"/>
        </w:rPr>
        <w:t>本标准是在</w:t>
      </w:r>
      <w:r>
        <w:rPr>
          <w:rFonts w:hint="eastAsia" w:ascii="宋体" w:hAnsi="宋体" w:eastAsia="宋体" w:cs="宋体"/>
          <w:color w:val="auto"/>
          <w:sz w:val="21"/>
          <w:szCs w:val="21"/>
        </w:rPr>
        <w:t>总结了全国各地螺杆灌注桩</w:t>
      </w:r>
      <w:r>
        <w:rPr>
          <w:rFonts w:hint="eastAsia" w:ascii="宋体" w:hAnsi="宋体" w:eastAsia="宋体" w:cs="宋体"/>
          <w:color w:val="auto"/>
          <w:sz w:val="21"/>
          <w:szCs w:val="21"/>
          <w:lang w:eastAsia="zh-CN"/>
        </w:rPr>
        <w:t>设计、施工</w:t>
      </w:r>
      <w:r>
        <w:rPr>
          <w:rFonts w:hint="eastAsia" w:ascii="宋体" w:hAnsi="宋体" w:eastAsia="宋体" w:cs="宋体"/>
          <w:color w:val="auto"/>
          <w:sz w:val="21"/>
          <w:szCs w:val="21"/>
        </w:rPr>
        <w:t>经验，</w:t>
      </w:r>
      <w:r>
        <w:rPr>
          <w:rFonts w:hint="eastAsia" w:ascii="宋体" w:hAnsi="宋体" w:eastAsia="宋体" w:cs="宋体"/>
          <w:color w:val="auto"/>
          <w:sz w:val="21"/>
          <w:szCs w:val="21"/>
          <w:lang w:eastAsia="zh-CN"/>
        </w:rPr>
        <w:t>以多种方式</w:t>
      </w:r>
      <w:r>
        <w:rPr>
          <w:rFonts w:hint="eastAsia" w:ascii="宋体" w:hAnsi="宋体" w:eastAsia="宋体" w:cs="宋体"/>
          <w:color w:val="auto"/>
          <w:sz w:val="21"/>
          <w:szCs w:val="21"/>
        </w:rPr>
        <w:t>广泛征求了</w:t>
      </w:r>
      <w:r>
        <w:rPr>
          <w:rFonts w:hint="eastAsia" w:ascii="宋体" w:hAnsi="宋体" w:eastAsia="宋体" w:cs="宋体"/>
          <w:color w:val="auto"/>
          <w:sz w:val="21"/>
          <w:szCs w:val="21"/>
          <w:lang w:eastAsia="zh-CN"/>
        </w:rPr>
        <w:t>勘察</w:t>
      </w:r>
      <w:r>
        <w:rPr>
          <w:rFonts w:hint="eastAsia" w:ascii="宋体" w:hAnsi="宋体" w:eastAsia="宋体" w:cs="宋体"/>
          <w:color w:val="auto"/>
          <w:sz w:val="21"/>
          <w:szCs w:val="21"/>
        </w:rPr>
        <w:t>、设计、施工、科研、教学等各有关单位的意见，</w:t>
      </w:r>
      <w:r>
        <w:rPr>
          <w:rFonts w:hint="eastAsia" w:ascii="宋体" w:hAnsi="宋体" w:eastAsia="宋体" w:cs="宋体"/>
          <w:color w:val="auto"/>
          <w:sz w:val="21"/>
          <w:szCs w:val="21"/>
          <w:highlight w:val="none"/>
        </w:rPr>
        <w:t>经反复讨论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修改</w:t>
      </w:r>
      <w:r>
        <w:rPr>
          <w:rFonts w:hint="eastAsia" w:ascii="宋体" w:hAnsi="宋体" w:eastAsia="宋体" w:cs="宋体"/>
          <w:color w:val="auto"/>
          <w:sz w:val="21"/>
          <w:szCs w:val="21"/>
          <w:highlight w:val="none"/>
          <w:lang w:eastAsia="zh-CN"/>
        </w:rPr>
        <w:t>，最后经</w:t>
      </w:r>
      <w:r>
        <w:rPr>
          <w:rFonts w:hint="eastAsia" w:ascii="宋体" w:hAnsi="宋体" w:eastAsia="宋体" w:cs="宋体"/>
          <w:color w:val="auto"/>
          <w:sz w:val="21"/>
          <w:szCs w:val="21"/>
          <w:highlight w:val="none"/>
        </w:rPr>
        <w:t>审查定稿</w:t>
      </w:r>
      <w:r>
        <w:rPr>
          <w:rFonts w:hint="eastAsia" w:ascii="宋体" w:hAnsi="宋体" w:eastAsia="宋体" w:cs="宋体"/>
          <w:color w:val="auto"/>
          <w:sz w:val="21"/>
          <w:szCs w:val="21"/>
        </w:rPr>
        <w:t>。</w:t>
      </w: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pPr>
    </w:p>
    <w:p>
      <w:pPr>
        <w:pStyle w:val="56"/>
        <w:ind w:left="0" w:leftChars="0" w:firstLine="0" w:firstLineChars="0"/>
        <w:rPr>
          <w:rFonts w:hint="default" w:hAnsi="宋体"/>
          <w:lang w:val="en-US" w:eastAsia="zh-CN"/>
        </w:rPr>
      </w:pPr>
    </w:p>
    <w:p>
      <w:pPr>
        <w:pStyle w:val="56"/>
        <w:ind w:firstLine="420"/>
        <w:rPr>
          <w:rFonts w:hint="default" w:hAnsi="宋体"/>
          <w:lang w:val="en-US" w:eastAsia="zh-CN"/>
        </w:rPr>
      </w:pPr>
    </w:p>
    <w:p>
      <w:pPr>
        <w:pStyle w:val="56"/>
        <w:ind w:firstLine="420"/>
        <w:rPr>
          <w:rFonts w:hint="default" w:hAnsi="宋体"/>
          <w:lang w:val="en-US" w:eastAsia="zh-CN"/>
        </w:rPr>
        <w:sectPr>
          <w:pgSz w:w="11906" w:h="16838"/>
          <w:pgMar w:top="1928" w:right="1134" w:bottom="1134" w:left="1134" w:header="1418" w:footer="1134" w:gutter="284"/>
          <w:pgNumType w:fmt="upperRoman"/>
          <w:cols w:space="425" w:num="1"/>
          <w:formProt w:val="0"/>
          <w:docGrid w:type="lines" w:linePitch="312" w:charSpace="0"/>
        </w:sectPr>
      </w:pPr>
    </w:p>
    <w:bookmarkEnd w:id="25"/>
    <w:p>
      <w:pPr>
        <w:spacing w:line="20" w:lineRule="exact"/>
        <w:jc w:val="center"/>
        <w:rPr>
          <w:rFonts w:ascii="黑体" w:hAnsi="黑体" w:eastAsia="黑体"/>
          <w:sz w:val="32"/>
          <w:szCs w:val="32"/>
        </w:rPr>
      </w:pPr>
      <w:bookmarkStart w:id="27" w:name="BookMark4"/>
    </w:p>
    <w:sdt>
      <w:sdtPr>
        <w:tag w:val="NEW_STAND_NAME"/>
        <w:id w:val="595910757"/>
        <w:lock w:val="sdtLocked"/>
        <w:placeholder>
          <w:docPart w:val="BC4C00B9B63D4731B89BF213BF2B7DAD"/>
        </w:placeholder>
      </w:sdtPr>
      <w:sdtContent>
        <w:p>
          <w:pPr>
            <w:pStyle w:val="177"/>
            <w:spacing w:before="3" w:beforeLines="1" w:after="686" w:afterLines="220"/>
          </w:pPr>
          <w:bookmarkStart w:id="28" w:name="NEW_STAND_NAME"/>
          <w:r>
            <w:rPr>
              <w:rFonts w:hint="eastAsia"/>
            </w:rPr>
            <w:t>螺杆灌注桩技术规程</w:t>
          </w:r>
        </w:p>
      </w:sdtContent>
    </w:sdt>
    <w:bookmarkEnd w:id="28"/>
    <w:p>
      <w:pPr>
        <w:pStyle w:val="104"/>
        <w:spacing w:before="312" w:after="312"/>
        <w:rPr>
          <w:rFonts w:hAnsi="黑体" w:cs="黑体"/>
        </w:rPr>
      </w:pPr>
      <w:bookmarkStart w:id="29" w:name="_Toc28448"/>
      <w:bookmarkStart w:id="30" w:name="_Toc24884211"/>
      <w:bookmarkStart w:id="31" w:name="_Toc24884218"/>
      <w:bookmarkStart w:id="32" w:name="_Toc124159323"/>
      <w:bookmarkStart w:id="33" w:name="_Toc17233333"/>
      <w:bookmarkStart w:id="34" w:name="_Toc124595513"/>
      <w:bookmarkStart w:id="35" w:name="_Toc124089086"/>
      <w:bookmarkStart w:id="36" w:name="_Toc26986771"/>
      <w:bookmarkStart w:id="37" w:name="_Toc26648465"/>
      <w:bookmarkStart w:id="38" w:name="_Toc26718930"/>
      <w:bookmarkStart w:id="39" w:name="_Toc124089279"/>
      <w:bookmarkStart w:id="40" w:name="_Toc17233325"/>
      <w:bookmarkStart w:id="41" w:name="_Toc26986530"/>
      <w:bookmarkStart w:id="42" w:name="_Toc97191423"/>
      <w:r>
        <w:rPr>
          <w:rFonts w:hint="eastAsia" w:hAnsi="黑体" w:cs="黑体"/>
        </w:rPr>
        <w:t>范围</w:t>
      </w:r>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56"/>
        <w:ind w:firstLine="420"/>
        <w:rPr>
          <w:rFonts w:hint="eastAsia" w:ascii="黑体" w:hAnsi="黑体" w:eastAsia="黑体" w:cs="黑体"/>
          <w:lang w:val="en-US" w:eastAsia="zh-CN"/>
        </w:rPr>
      </w:pPr>
      <w:r>
        <w:rPr>
          <w:rFonts w:hint="eastAsia" w:ascii="黑体" w:hAnsi="黑体" w:eastAsia="黑体" w:cs="黑体"/>
        </w:rPr>
        <w:t>本文件规定了螺杆灌注桩</w:t>
      </w:r>
      <w:r>
        <w:rPr>
          <w:rFonts w:hint="eastAsia" w:ascii="黑体" w:hAnsi="黑体" w:eastAsia="黑体" w:cs="黑体"/>
          <w:lang w:val="en-US" w:eastAsia="zh-CN"/>
        </w:rPr>
        <w:t>的术语和符号、构造、勘察、设计与计算的要求，以及为确保螺杆灌注桩应用中做到安全适用、技术先进、经济合理、确保质量、保护环境，对螺杆灌注桩施工及检测提出了要求。</w:t>
      </w:r>
    </w:p>
    <w:p>
      <w:pPr>
        <w:pStyle w:val="56"/>
        <w:ind w:firstLine="420"/>
        <w:rPr>
          <w:rFonts w:hint="eastAsia" w:ascii="黑体" w:hAnsi="黑体" w:eastAsia="黑体" w:cs="黑体"/>
          <w:lang w:val="en-US" w:eastAsia="zh-CN"/>
        </w:rPr>
      </w:pPr>
      <w:r>
        <w:rPr>
          <w:rFonts w:hint="eastAsia" w:ascii="黑体" w:hAnsi="黑体" w:eastAsia="黑体" w:cs="黑体"/>
          <w:lang w:val="en-US" w:eastAsia="zh-CN"/>
        </w:rPr>
        <w:t>本文件适用于螺杆灌注桩基础的勘察、设计、施工及检验。</w:t>
      </w:r>
    </w:p>
    <w:p>
      <w:pPr>
        <w:pStyle w:val="104"/>
        <w:spacing w:before="312" w:after="312"/>
        <w:rPr>
          <w:rFonts w:hAnsi="黑体" w:cs="黑体"/>
        </w:rPr>
      </w:pPr>
      <w:bookmarkStart w:id="43" w:name="_Toc24884219"/>
      <w:bookmarkStart w:id="44" w:name="_Toc17233334"/>
      <w:bookmarkStart w:id="45" w:name="_Toc26718931"/>
      <w:bookmarkStart w:id="46" w:name="_Toc26648466"/>
      <w:bookmarkStart w:id="47" w:name="_Toc97191424"/>
      <w:bookmarkStart w:id="48" w:name="_Toc17233326"/>
      <w:bookmarkStart w:id="49" w:name="_Toc26986531"/>
      <w:bookmarkStart w:id="50" w:name="_Toc124595514"/>
      <w:bookmarkStart w:id="51" w:name="_Toc11394"/>
      <w:bookmarkStart w:id="52" w:name="_Toc124089280"/>
      <w:bookmarkStart w:id="53" w:name="_Toc124089087"/>
      <w:bookmarkStart w:id="54" w:name="_Toc124159324"/>
      <w:bookmarkStart w:id="55" w:name="_Toc26986772"/>
      <w:bookmarkStart w:id="56" w:name="_Toc24884212"/>
      <w:r>
        <w:rPr>
          <w:rFonts w:hint="eastAsia" w:hAnsi="黑体" w:cs="黑体"/>
        </w:rPr>
        <w:t>规范性引用文件</w:t>
      </w:r>
      <w:bookmarkEnd w:id="43"/>
      <w:bookmarkEnd w:id="44"/>
      <w:bookmarkEnd w:id="45"/>
      <w:bookmarkEnd w:id="46"/>
      <w:bookmarkEnd w:id="47"/>
      <w:bookmarkEnd w:id="48"/>
      <w:bookmarkEnd w:id="49"/>
      <w:bookmarkEnd w:id="50"/>
      <w:bookmarkEnd w:id="51"/>
      <w:bookmarkEnd w:id="52"/>
      <w:bookmarkEnd w:id="53"/>
      <w:bookmarkEnd w:id="54"/>
      <w:bookmarkEnd w:id="55"/>
      <w:bookmarkEnd w:id="56"/>
    </w:p>
    <w:sdt>
      <w:sdtPr>
        <w:rPr>
          <w:rFonts w:hint="eastAsia" w:ascii="黑体" w:hAnsi="黑体" w:eastAsia="黑体" w:cs="黑体"/>
        </w:rPr>
        <w:id w:val="715848253"/>
        <w:placeholder>
          <w:docPart w:val="C9C576A342EB4A36B30E523A5803BA74"/>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ascii="黑体" w:hAnsi="黑体" w:eastAsia="黑体" w:cs="黑体"/>
        </w:rPr>
      </w:sdtEndPr>
      <w:sdtContent>
        <w:p>
          <w:pPr>
            <w:pStyle w:val="56"/>
            <w:ind w:firstLine="420"/>
            <w:rPr>
              <w:rFonts w:ascii="黑体" w:hAnsi="黑体" w:eastAsia="黑体" w:cs="黑体"/>
            </w:rPr>
          </w:pPr>
          <w:r>
            <w:rPr>
              <w:rFonts w:hint="eastAsia" w:ascii="黑体" w:hAnsi="黑体" w:eastAsia="黑体" w:cs="黑体"/>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6"/>
        <w:ind w:firstLine="420"/>
        <w:rPr>
          <w:rFonts w:ascii="黑体" w:hAnsi="黑体" w:eastAsia="黑体" w:cs="黑体"/>
        </w:rPr>
      </w:pPr>
      <w:r>
        <w:rPr>
          <w:rFonts w:hint="eastAsia" w:ascii="黑体" w:hAnsi="黑体" w:eastAsia="黑体" w:cs="黑体"/>
        </w:rPr>
        <w:t>GB 50007</w:t>
      </w:r>
      <w:r>
        <w:rPr>
          <w:rFonts w:hint="eastAsia" w:ascii="黑体" w:hAnsi="黑体" w:eastAsia="黑体" w:cs="黑体"/>
          <w:lang w:val="en-US" w:eastAsia="zh-CN"/>
        </w:rPr>
        <w:t xml:space="preserve"> </w:t>
      </w:r>
      <w:r>
        <w:rPr>
          <w:rFonts w:hint="eastAsia" w:ascii="黑体" w:hAnsi="黑体" w:eastAsia="黑体" w:cs="黑体"/>
        </w:rPr>
        <w:t>建筑地基基础设计规范</w:t>
      </w:r>
    </w:p>
    <w:p>
      <w:pPr>
        <w:pStyle w:val="56"/>
        <w:ind w:firstLine="420"/>
        <w:rPr>
          <w:rFonts w:hint="eastAsia" w:ascii="黑体" w:hAnsi="黑体" w:eastAsia="黑体" w:cs="黑体"/>
        </w:rPr>
      </w:pPr>
      <w:r>
        <w:rPr>
          <w:rFonts w:hint="eastAsia" w:ascii="黑体" w:hAnsi="黑体" w:eastAsia="黑体" w:cs="黑体"/>
        </w:rPr>
        <w:t>GB 50010</w:t>
      </w:r>
      <w:r>
        <w:rPr>
          <w:rFonts w:hint="eastAsia" w:ascii="黑体" w:hAnsi="黑体" w:eastAsia="黑体" w:cs="黑体"/>
          <w:lang w:val="en-US" w:eastAsia="zh-CN"/>
        </w:rPr>
        <w:t xml:space="preserve"> </w:t>
      </w:r>
      <w:r>
        <w:rPr>
          <w:rFonts w:hint="eastAsia" w:ascii="黑体" w:hAnsi="黑体" w:eastAsia="黑体" w:cs="黑体"/>
        </w:rPr>
        <w:t>混凝土结构设计规范</w:t>
      </w:r>
    </w:p>
    <w:p>
      <w:pPr>
        <w:pStyle w:val="56"/>
        <w:ind w:firstLine="420"/>
        <w:rPr>
          <w:rFonts w:ascii="黑体" w:hAnsi="黑体" w:eastAsia="黑体" w:cs="黑体"/>
        </w:rPr>
      </w:pPr>
      <w:r>
        <w:rPr>
          <w:rFonts w:hint="eastAsia" w:ascii="黑体" w:hAnsi="黑体" w:eastAsia="黑体" w:cs="黑体"/>
        </w:rPr>
        <w:t>GB 50021</w:t>
      </w:r>
      <w:r>
        <w:rPr>
          <w:rFonts w:hint="eastAsia" w:ascii="黑体" w:hAnsi="黑体" w:eastAsia="黑体" w:cs="黑体"/>
          <w:lang w:val="en-US" w:eastAsia="zh-CN"/>
        </w:rPr>
        <w:t xml:space="preserve"> </w:t>
      </w:r>
      <w:r>
        <w:rPr>
          <w:rFonts w:hint="eastAsia" w:ascii="黑体" w:hAnsi="黑体" w:eastAsia="黑体" w:cs="黑体"/>
        </w:rPr>
        <w:t>岩土工程勘察规范</w:t>
      </w:r>
    </w:p>
    <w:p>
      <w:pPr>
        <w:pStyle w:val="56"/>
        <w:ind w:firstLine="420"/>
        <w:rPr>
          <w:rFonts w:ascii="黑体" w:hAnsi="黑体" w:eastAsia="黑体" w:cs="黑体"/>
        </w:rPr>
      </w:pPr>
      <w:r>
        <w:rPr>
          <w:rFonts w:hint="eastAsia" w:ascii="黑体" w:hAnsi="黑体" w:eastAsia="黑体" w:cs="黑体"/>
        </w:rPr>
        <w:t>GB 50202</w:t>
      </w:r>
      <w:r>
        <w:rPr>
          <w:rFonts w:hint="eastAsia" w:ascii="黑体" w:hAnsi="黑体" w:eastAsia="黑体" w:cs="黑体"/>
          <w:lang w:val="en-US" w:eastAsia="zh-CN"/>
        </w:rPr>
        <w:t xml:space="preserve"> </w:t>
      </w:r>
      <w:r>
        <w:rPr>
          <w:rFonts w:hint="eastAsia" w:ascii="黑体" w:hAnsi="黑体" w:eastAsia="黑体" w:cs="黑体"/>
        </w:rPr>
        <w:t>建筑地基基础工程施工质量验收规范</w:t>
      </w:r>
    </w:p>
    <w:p>
      <w:pPr>
        <w:pStyle w:val="56"/>
        <w:ind w:firstLine="420"/>
        <w:rPr>
          <w:rFonts w:ascii="黑体" w:hAnsi="黑体" w:eastAsia="黑体" w:cs="黑体"/>
        </w:rPr>
      </w:pPr>
      <w:r>
        <w:rPr>
          <w:rFonts w:hint="eastAsia" w:ascii="黑体" w:hAnsi="黑体" w:eastAsia="黑体" w:cs="黑体"/>
        </w:rPr>
        <w:t>GB 50204</w:t>
      </w:r>
      <w:r>
        <w:rPr>
          <w:rFonts w:hint="eastAsia" w:ascii="黑体" w:hAnsi="黑体" w:eastAsia="黑体" w:cs="黑体"/>
          <w:lang w:val="en-US" w:eastAsia="zh-CN"/>
        </w:rPr>
        <w:t xml:space="preserve"> </w:t>
      </w:r>
      <w:r>
        <w:rPr>
          <w:rFonts w:hint="eastAsia" w:ascii="黑体" w:hAnsi="黑体" w:eastAsia="黑体" w:cs="黑体"/>
        </w:rPr>
        <w:t>混凝土结构工程施工质量验收规范</w:t>
      </w:r>
    </w:p>
    <w:p>
      <w:pPr>
        <w:pStyle w:val="56"/>
        <w:ind w:firstLine="420"/>
        <w:rPr>
          <w:rFonts w:ascii="黑体" w:hAnsi="黑体" w:eastAsia="黑体" w:cs="黑体"/>
        </w:rPr>
      </w:pPr>
      <w:r>
        <w:rPr>
          <w:rFonts w:hint="eastAsia" w:ascii="黑体" w:hAnsi="黑体" w:eastAsia="黑体" w:cs="黑体"/>
        </w:rPr>
        <w:t>JGJ 94</w:t>
      </w:r>
      <w:r>
        <w:rPr>
          <w:rFonts w:hint="eastAsia" w:ascii="黑体" w:hAnsi="黑体" w:eastAsia="黑体" w:cs="黑体"/>
          <w:lang w:val="en-US" w:eastAsia="zh-CN"/>
        </w:rPr>
        <w:t xml:space="preserve">   </w:t>
      </w:r>
      <w:r>
        <w:rPr>
          <w:rFonts w:hint="eastAsia" w:ascii="黑体" w:hAnsi="黑体" w:eastAsia="黑体" w:cs="黑体"/>
        </w:rPr>
        <w:t>建筑桩基技术规范</w:t>
      </w:r>
    </w:p>
    <w:p>
      <w:pPr>
        <w:pStyle w:val="56"/>
        <w:ind w:firstLine="420"/>
        <w:rPr>
          <w:rFonts w:ascii="黑体" w:hAnsi="黑体" w:eastAsia="黑体" w:cs="黑体"/>
        </w:rPr>
      </w:pPr>
      <w:r>
        <w:rPr>
          <w:rFonts w:hint="eastAsia" w:ascii="黑体" w:hAnsi="黑体" w:eastAsia="黑体" w:cs="黑体"/>
        </w:rPr>
        <w:t>JGJ 79</w:t>
      </w:r>
      <w:r>
        <w:rPr>
          <w:rFonts w:hint="eastAsia" w:ascii="黑体" w:hAnsi="黑体" w:eastAsia="黑体" w:cs="黑体"/>
          <w:lang w:val="en-US" w:eastAsia="zh-CN"/>
        </w:rPr>
        <w:t xml:space="preserve">   </w:t>
      </w:r>
      <w:r>
        <w:rPr>
          <w:rFonts w:hint="eastAsia" w:ascii="黑体" w:hAnsi="黑体" w:eastAsia="黑体" w:cs="黑体"/>
        </w:rPr>
        <w:t>建筑地基处理技术规范</w:t>
      </w:r>
    </w:p>
    <w:p>
      <w:pPr>
        <w:pStyle w:val="56"/>
        <w:ind w:firstLine="420"/>
        <w:rPr>
          <w:rFonts w:ascii="黑体" w:hAnsi="黑体" w:eastAsia="黑体" w:cs="黑体"/>
        </w:rPr>
      </w:pPr>
      <w:r>
        <w:rPr>
          <w:rFonts w:hint="eastAsia" w:ascii="黑体" w:hAnsi="黑体" w:eastAsia="黑体" w:cs="黑体"/>
        </w:rPr>
        <w:t>JGJ 106</w:t>
      </w:r>
      <w:r>
        <w:rPr>
          <w:rFonts w:hint="eastAsia" w:ascii="黑体" w:hAnsi="黑体" w:eastAsia="黑体" w:cs="黑体"/>
          <w:lang w:val="en-US" w:eastAsia="zh-CN"/>
        </w:rPr>
        <w:t xml:space="preserve">  </w:t>
      </w:r>
      <w:r>
        <w:rPr>
          <w:rFonts w:hint="eastAsia" w:ascii="黑体" w:hAnsi="黑体" w:eastAsia="黑体" w:cs="黑体"/>
        </w:rPr>
        <w:t>建筑基桩检测技术规范</w:t>
      </w:r>
    </w:p>
    <w:p>
      <w:pPr>
        <w:pStyle w:val="56"/>
        <w:ind w:firstLine="304" w:firstLineChars="145"/>
        <w:rPr>
          <w:rFonts w:ascii="黑体" w:hAnsi="黑体" w:eastAsia="黑体" w:cs="黑体"/>
        </w:rPr>
      </w:pPr>
      <w:r>
        <w:rPr>
          <w:rFonts w:hint="eastAsia" w:ascii="黑体" w:hAnsi="黑体" w:eastAsia="黑体" w:cs="黑体"/>
        </w:rPr>
        <w:t xml:space="preserve"> JGJ 52</w:t>
      </w:r>
      <w:r>
        <w:rPr>
          <w:rFonts w:hint="eastAsia" w:ascii="黑体" w:hAnsi="黑体" w:eastAsia="黑体" w:cs="黑体"/>
          <w:lang w:val="en-US" w:eastAsia="zh-CN"/>
        </w:rPr>
        <w:t xml:space="preserve">   </w:t>
      </w:r>
      <w:r>
        <w:rPr>
          <w:rFonts w:hint="eastAsia" w:ascii="黑体" w:hAnsi="黑体" w:eastAsia="黑体" w:cs="黑体"/>
        </w:rPr>
        <w:t>普通混凝土用砂石质量标准及验收方法</w:t>
      </w:r>
    </w:p>
    <w:p>
      <w:pPr>
        <w:pStyle w:val="56"/>
        <w:ind w:firstLine="420"/>
        <w:rPr>
          <w:rFonts w:ascii="黑体" w:hAnsi="黑体" w:eastAsia="黑体" w:cs="黑体"/>
        </w:rPr>
      </w:pPr>
      <w:r>
        <w:rPr>
          <w:rFonts w:hint="eastAsia" w:ascii="黑体" w:hAnsi="黑体" w:eastAsia="黑体" w:cs="黑体"/>
        </w:rPr>
        <w:t>DB42/242</w:t>
      </w:r>
      <w:r>
        <w:rPr>
          <w:rFonts w:hint="eastAsia" w:ascii="黑体" w:hAnsi="黑体" w:eastAsia="黑体" w:cs="黑体"/>
          <w:lang w:val="en-US" w:eastAsia="zh-CN"/>
        </w:rPr>
        <w:t xml:space="preserve"> </w:t>
      </w:r>
      <w:r>
        <w:rPr>
          <w:rFonts w:hint="eastAsia" w:ascii="黑体" w:hAnsi="黑体" w:eastAsia="黑体" w:cs="黑体"/>
        </w:rPr>
        <w:t>建筑地基基础技术规范</w:t>
      </w:r>
    </w:p>
    <w:p>
      <w:pPr>
        <w:pStyle w:val="56"/>
        <w:ind w:firstLine="0" w:firstLineChars="0"/>
        <w:rPr>
          <w:rFonts w:ascii="黑体" w:hAnsi="黑体" w:eastAsia="黑体" w:cs="黑体"/>
        </w:rPr>
      </w:pPr>
    </w:p>
    <w:p>
      <w:pPr>
        <w:pStyle w:val="104"/>
        <w:spacing w:before="312" w:after="312"/>
        <w:rPr>
          <w:rFonts w:hAnsi="黑体" w:cs="黑体"/>
          <w:szCs w:val="21"/>
        </w:rPr>
      </w:pPr>
      <w:bookmarkStart w:id="57" w:name="_Toc124159325"/>
      <w:bookmarkStart w:id="58" w:name="_Toc124089088"/>
      <w:bookmarkStart w:id="59" w:name="_Toc124089281"/>
      <w:bookmarkStart w:id="60" w:name="_Toc97191425"/>
      <w:bookmarkStart w:id="61" w:name="_Toc7833"/>
      <w:bookmarkStart w:id="62" w:name="_Toc124595515"/>
      <w:r>
        <w:rPr>
          <w:rFonts w:hint="eastAsia" w:hAnsi="黑体" w:cs="黑体"/>
          <w:szCs w:val="21"/>
        </w:rPr>
        <w:t>术语和</w:t>
      </w:r>
      <w:bookmarkEnd w:id="57"/>
      <w:bookmarkEnd w:id="58"/>
      <w:bookmarkEnd w:id="59"/>
      <w:bookmarkEnd w:id="60"/>
      <w:r>
        <w:rPr>
          <w:rFonts w:hint="eastAsia" w:hAnsi="黑体" w:cs="黑体"/>
          <w:szCs w:val="21"/>
        </w:rPr>
        <w:t>符号</w:t>
      </w:r>
      <w:bookmarkEnd w:id="61"/>
      <w:bookmarkEnd w:id="62"/>
    </w:p>
    <w:sdt>
      <w:sdtPr>
        <w:rPr>
          <w:rFonts w:hint="eastAsia" w:ascii="黑体" w:hAnsi="黑体" w:eastAsia="黑体" w:cs="黑体"/>
          <w:szCs w:val="21"/>
        </w:rPr>
        <w:id w:val="-1909835108"/>
        <w:placeholder>
          <w:docPart w:val="E75F90EA20244DDFA70FE8209C49DA8C"/>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ascii="黑体" w:hAnsi="黑体" w:eastAsia="黑体" w:cs="黑体"/>
          <w:szCs w:val="21"/>
        </w:rPr>
      </w:sdtEndPr>
      <w:sdtContent>
        <w:p>
          <w:pPr>
            <w:pStyle w:val="56"/>
            <w:ind w:firstLine="420"/>
            <w:rPr>
              <w:rFonts w:ascii="黑体" w:hAnsi="黑体" w:eastAsia="黑体" w:cs="黑体"/>
              <w:szCs w:val="21"/>
            </w:rPr>
          </w:pPr>
          <w:bookmarkStart w:id="63" w:name="_Toc26986532"/>
          <w:bookmarkEnd w:id="63"/>
          <w:r>
            <w:rPr>
              <w:rFonts w:hint="eastAsia" w:ascii="黑体" w:hAnsi="黑体" w:eastAsia="黑体" w:cs="黑体"/>
              <w:szCs w:val="21"/>
            </w:rPr>
            <w:t>下列术语和符号适用于本文件。</w:t>
          </w:r>
        </w:p>
      </w:sdtContent>
    </w:sdt>
    <w:p>
      <w:pPr>
        <w:pStyle w:val="105"/>
        <w:numPr>
          <w:ilvl w:val="2"/>
          <w:numId w:val="0"/>
        </w:numPr>
        <w:spacing w:before="156" w:after="156"/>
        <w:rPr>
          <w:rFonts w:hAnsi="黑体" w:cs="黑体"/>
          <w:kern w:val="2"/>
          <w:szCs w:val="21"/>
        </w:rPr>
      </w:pPr>
      <w:bookmarkStart w:id="64" w:name="_Toc124595516"/>
      <w:bookmarkStart w:id="65" w:name="_Toc26827"/>
      <w:r>
        <w:rPr>
          <w:rFonts w:hint="eastAsia" w:hAnsi="黑体" w:cs="黑体"/>
          <w:szCs w:val="21"/>
        </w:rPr>
        <w:t>3.1  术语</w:t>
      </w:r>
      <w:bookmarkEnd w:id="64"/>
      <w:bookmarkEnd w:id="65"/>
    </w:p>
    <w:p>
      <w:pPr>
        <w:pStyle w:val="65"/>
        <w:spacing w:before="156" w:after="156"/>
        <w:rPr>
          <w:rFonts w:hAnsi="黑体" w:cs="黑体"/>
          <w:kern w:val="2"/>
          <w:szCs w:val="21"/>
        </w:rPr>
      </w:pPr>
      <w:bookmarkStart w:id="66" w:name="_Toc124595517"/>
      <w:r>
        <w:rPr>
          <w:rFonts w:hint="eastAsia" w:hAnsi="黑体" w:cs="黑体"/>
          <w:szCs w:val="21"/>
        </w:rPr>
        <w:t>螺杆灌注桩  part-screw pile</w:t>
      </w:r>
      <w:bookmarkEnd w:id="66"/>
    </w:p>
    <w:p>
      <w:pPr>
        <w:rPr>
          <w:rFonts w:ascii="黑体" w:hAnsi="黑体" w:eastAsia="黑体" w:cs="黑体"/>
        </w:rPr>
      </w:pPr>
      <w:r>
        <w:rPr>
          <w:rFonts w:hint="eastAsia" w:ascii="黑体" w:hAnsi="黑体" w:eastAsia="黑体" w:cs="黑体"/>
        </w:rPr>
        <w:t xml:space="preserve">   采用具有加压装置和同步技术的专用桩机形成的一种上部为圆柱型、下部为螺纹型的组合式挤土型灌注桩，简称“螺杆桩”。</w:t>
      </w:r>
    </w:p>
    <w:p>
      <w:pPr>
        <w:pStyle w:val="65"/>
        <w:spacing w:before="156" w:after="156"/>
        <w:rPr>
          <w:rFonts w:hAnsi="黑体" w:cs="黑体"/>
          <w:szCs w:val="21"/>
        </w:rPr>
      </w:pPr>
      <w:bookmarkStart w:id="67" w:name="_Toc124595518"/>
      <w:r>
        <w:rPr>
          <w:rFonts w:hint="eastAsia" w:hAnsi="黑体" w:cs="黑体"/>
          <w:szCs w:val="21"/>
        </w:rPr>
        <w:t xml:space="preserve">标准同步  </w:t>
      </w:r>
      <w:r>
        <w:fldChar w:fldCharType="begin"/>
      </w:r>
      <w:r>
        <w:instrText xml:space="preserve"> HYPERLINK "file:///C:\\Users\\Administrator\\Desktop\\湖北省地方标准《螺杆灌注桩技术规程（征求意见稿）》文件汇总\\湖北省地方标准《螺杆灌注桩技术规程（征求意见稿）》正文.docx" \l "standard" </w:instrText>
      </w:r>
      <w:r>
        <w:fldChar w:fldCharType="separate"/>
      </w:r>
      <w:r>
        <w:rPr>
          <w:rStyle w:val="32"/>
          <w:rFonts w:hint="eastAsia" w:ascii="黑体" w:hAnsi="黑体" w:eastAsia="黑体" w:cs="黑体"/>
          <w:szCs w:val="21"/>
        </w:rPr>
        <w:t>standard</w:t>
      </w:r>
      <w:r>
        <w:rPr>
          <w:rStyle w:val="32"/>
          <w:rFonts w:hint="eastAsia" w:ascii="黑体" w:hAnsi="黑体" w:eastAsia="黑体" w:cs="黑体"/>
          <w:szCs w:val="21"/>
        </w:rPr>
        <w:fldChar w:fldCharType="end"/>
      </w:r>
      <w:r>
        <w:rPr>
          <w:rFonts w:hint="eastAsia" w:hAnsi="黑体" w:cs="黑体"/>
          <w:szCs w:val="21"/>
        </w:rPr>
        <w:t xml:space="preserve"> synchronous manner</w:t>
      </w:r>
      <w:bookmarkEnd w:id="67"/>
    </w:p>
    <w:p>
      <w:pPr>
        <w:autoSpaceDE w:val="0"/>
        <w:ind w:firstLine="420" w:firstLineChars="200"/>
        <w:rPr>
          <w:rFonts w:ascii="黑体" w:hAnsi="黑体" w:eastAsia="黑体" w:cs="黑体"/>
        </w:rPr>
      </w:pPr>
      <w:r>
        <w:rPr>
          <w:rFonts w:hint="eastAsia" w:ascii="黑体" w:hAnsi="黑体" w:eastAsia="黑体" w:cs="黑体"/>
        </w:rPr>
        <w:t>钻杆每向上（下）相应位移一个螺距，钻杆相应正向（反向）旋转一周，所形成的桩孔或桩为等距螺纹。</w:t>
      </w:r>
    </w:p>
    <w:p>
      <w:pPr>
        <w:pStyle w:val="65"/>
        <w:spacing w:before="156" w:after="156"/>
        <w:rPr>
          <w:rFonts w:hAnsi="黑体" w:cs="黑体"/>
          <w:szCs w:val="21"/>
        </w:rPr>
      </w:pPr>
      <w:r>
        <w:rPr>
          <w:rFonts w:hint="eastAsia" w:hAnsi="黑体" w:cs="黑体"/>
          <w:b/>
          <w:bCs/>
          <w:szCs w:val="21"/>
        </w:rPr>
        <w:t xml:space="preserve">  </w:t>
      </w:r>
      <w:bookmarkStart w:id="68" w:name="_Toc124595519"/>
      <w:r>
        <w:rPr>
          <w:rFonts w:hint="eastAsia" w:hAnsi="黑体" w:cs="黑体"/>
          <w:szCs w:val="21"/>
        </w:rPr>
        <w:t>非标准同步  nonstandard synchronous manner</w:t>
      </w:r>
      <w:bookmarkEnd w:id="68"/>
    </w:p>
    <w:p>
      <w:pPr>
        <w:autoSpaceDE w:val="0"/>
        <w:ind w:firstLine="420" w:firstLineChars="200"/>
        <w:rPr>
          <w:rFonts w:ascii="黑体" w:hAnsi="黑体" w:eastAsia="黑体" w:cs="黑体"/>
        </w:rPr>
      </w:pPr>
      <w:r>
        <w:rPr>
          <w:rFonts w:hint="eastAsia" w:ascii="黑体" w:hAnsi="黑体" w:eastAsia="黑体" w:cs="黑体"/>
        </w:rPr>
        <w:t>钻杆每向上（下）相应位移一个螺距，钻杆相应反向（正向）旋转一周，所形成的桩孔或桩为非等距螺纹。</w:t>
      </w:r>
    </w:p>
    <w:p>
      <w:pPr>
        <w:pStyle w:val="65"/>
        <w:spacing w:before="156" w:after="156"/>
        <w:rPr>
          <w:rFonts w:hAnsi="黑体" w:cs="黑体"/>
          <w:szCs w:val="21"/>
        </w:rPr>
      </w:pPr>
      <w:bookmarkStart w:id="69" w:name="_Toc124595520"/>
      <w:r>
        <w:rPr>
          <w:rFonts w:hint="eastAsia" w:hAnsi="黑体" w:cs="黑体"/>
          <w:szCs w:val="21"/>
        </w:rPr>
        <w:t>非同步  un</w:t>
      </w:r>
      <w:r>
        <w:fldChar w:fldCharType="begin"/>
      </w:r>
      <w:r>
        <w:instrText xml:space="preserve"> HYPERLINK "file:///C:\\Users\\Administrator\\Desktop\\湖北省地方标准《螺杆灌注桩技术规程（征求意见稿）》文件汇总\\湖北省地方标准《螺杆灌注桩技术规程（征求意见稿）》正文.docx" \l "standard" </w:instrText>
      </w:r>
      <w:r>
        <w:fldChar w:fldCharType="separate"/>
      </w:r>
      <w:r>
        <w:rPr>
          <w:rStyle w:val="32"/>
          <w:rFonts w:hint="eastAsia" w:ascii="黑体" w:hAnsi="黑体" w:eastAsia="黑体" w:cs="黑体"/>
          <w:szCs w:val="21"/>
        </w:rPr>
        <w:t>standard</w:t>
      </w:r>
      <w:r>
        <w:rPr>
          <w:rStyle w:val="32"/>
          <w:rFonts w:hint="eastAsia" w:ascii="黑体" w:hAnsi="黑体" w:eastAsia="黑体" w:cs="黑体"/>
          <w:szCs w:val="21"/>
        </w:rPr>
        <w:fldChar w:fldCharType="end"/>
      </w:r>
      <w:r>
        <w:rPr>
          <w:rFonts w:hint="eastAsia" w:hAnsi="黑体" w:cs="黑体"/>
          <w:szCs w:val="21"/>
        </w:rPr>
        <w:t xml:space="preserve"> synchronous manner</w:t>
      </w:r>
      <w:bookmarkEnd w:id="69"/>
    </w:p>
    <w:p>
      <w:pPr>
        <w:autoSpaceDE w:val="0"/>
        <w:ind w:firstLine="420" w:firstLineChars="200"/>
        <w:rPr>
          <w:rFonts w:ascii="黑体" w:hAnsi="黑体" w:eastAsia="黑体" w:cs="黑体"/>
        </w:rPr>
      </w:pPr>
      <w:r>
        <w:rPr>
          <w:rFonts w:hint="eastAsia" w:ascii="黑体" w:hAnsi="黑体" w:eastAsia="黑体" w:cs="黑体"/>
        </w:rPr>
        <w:t>钻具向下（向上）移动一个螺距，钻杆旋转大于或小于一周，可改变转速和钻杆尺寸从而调整取土量，所形成的桩孔为圆柱形。</w:t>
      </w:r>
    </w:p>
    <w:p>
      <w:pPr>
        <w:pStyle w:val="65"/>
        <w:spacing w:before="156" w:after="156"/>
        <w:rPr>
          <w:rFonts w:hAnsi="黑体" w:cs="黑体"/>
          <w:szCs w:val="21"/>
        </w:rPr>
      </w:pPr>
      <w:bookmarkStart w:id="70" w:name="_Toc124595521"/>
      <w:r>
        <w:rPr>
          <w:rFonts w:hint="eastAsia" w:hAnsi="黑体" w:cs="黑体"/>
          <w:szCs w:val="21"/>
        </w:rPr>
        <w:t>螺牙 screw thread</w:t>
      </w:r>
      <w:bookmarkEnd w:id="70"/>
    </w:p>
    <w:p>
      <w:pPr>
        <w:autoSpaceDE w:val="0"/>
        <w:ind w:firstLine="420" w:firstLineChars="200"/>
        <w:rPr>
          <w:rFonts w:ascii="黑体" w:hAnsi="黑体" w:eastAsia="黑体" w:cs="黑体"/>
        </w:rPr>
      </w:pPr>
      <w:r>
        <w:rPr>
          <w:rFonts w:hint="eastAsia" w:ascii="黑体" w:hAnsi="黑体" w:eastAsia="黑体" w:cs="黑体"/>
        </w:rPr>
        <w:t>螺杆灌注桩桩身的螺纹段连续凸起部分。</w:t>
      </w:r>
    </w:p>
    <w:p>
      <w:pPr>
        <w:pStyle w:val="65"/>
        <w:spacing w:before="156" w:after="156"/>
        <w:rPr>
          <w:rFonts w:hAnsi="黑体" w:cs="黑体"/>
          <w:szCs w:val="21"/>
        </w:rPr>
      </w:pPr>
      <w:bookmarkStart w:id="71" w:name="_Toc124595522"/>
      <w:r>
        <w:rPr>
          <w:rFonts w:hint="eastAsia" w:hAnsi="黑体" w:cs="黑体"/>
          <w:szCs w:val="21"/>
        </w:rPr>
        <w:t>螺距 screw pitch</w:t>
      </w:r>
      <w:bookmarkEnd w:id="71"/>
    </w:p>
    <w:p>
      <w:pPr>
        <w:autoSpaceDE w:val="0"/>
        <w:ind w:firstLine="420" w:firstLineChars="200"/>
        <w:rPr>
          <w:rFonts w:ascii="黑体" w:hAnsi="黑体" w:eastAsia="黑体" w:cs="黑体"/>
        </w:rPr>
      </w:pPr>
      <w:r>
        <w:rPr>
          <w:rFonts w:hint="eastAsia" w:ascii="黑体" w:hAnsi="黑体" w:eastAsia="黑体" w:cs="黑体"/>
        </w:rPr>
        <w:t>螺杆灌注桩桩身螺纹段相邻螺牙之间的中心距。</w:t>
      </w:r>
    </w:p>
    <w:p>
      <w:pPr>
        <w:pStyle w:val="65"/>
        <w:spacing w:before="156" w:after="156"/>
        <w:rPr>
          <w:rFonts w:hAnsi="黑体" w:cs="黑体"/>
          <w:szCs w:val="21"/>
        </w:rPr>
      </w:pPr>
      <w:bookmarkStart w:id="72" w:name="_Toc124595523"/>
      <w:r>
        <w:rPr>
          <w:rFonts w:hint="eastAsia" w:hAnsi="黑体" w:cs="黑体"/>
          <w:szCs w:val="21"/>
        </w:rPr>
        <w:t>螺牙厚度 the thickness of the screw thread</w:t>
      </w:r>
      <w:bookmarkEnd w:id="72"/>
    </w:p>
    <w:p>
      <w:pPr>
        <w:autoSpaceDE w:val="0"/>
        <w:ind w:firstLine="420" w:firstLineChars="200"/>
        <w:rPr>
          <w:rFonts w:ascii="黑体" w:hAnsi="黑体" w:eastAsia="黑体" w:cs="黑体"/>
        </w:rPr>
      </w:pPr>
      <w:r>
        <w:rPr>
          <w:rFonts w:hint="eastAsia" w:ascii="黑体" w:hAnsi="黑体" w:eastAsia="黑体" w:cs="黑体"/>
        </w:rPr>
        <w:t>螺牙沿轴线方向的长度。</w:t>
      </w:r>
    </w:p>
    <w:p>
      <w:pPr>
        <w:pStyle w:val="65"/>
        <w:spacing w:before="156" w:after="156"/>
        <w:rPr>
          <w:rFonts w:hAnsi="黑体" w:cs="黑体"/>
          <w:szCs w:val="21"/>
        </w:rPr>
      </w:pPr>
      <w:bookmarkStart w:id="73" w:name="_Toc124595524"/>
      <w:r>
        <w:rPr>
          <w:rFonts w:hint="eastAsia" w:hAnsi="黑体" w:cs="黑体"/>
          <w:szCs w:val="21"/>
        </w:rPr>
        <w:t>螺牙宽度 the width of the screw thread</w:t>
      </w:r>
      <w:bookmarkEnd w:id="73"/>
    </w:p>
    <w:p>
      <w:pPr>
        <w:autoSpaceDE w:val="0"/>
        <w:ind w:firstLine="420" w:firstLineChars="200"/>
        <w:rPr>
          <w:rFonts w:ascii="黑体" w:hAnsi="黑体" w:eastAsia="黑体" w:cs="黑体"/>
        </w:rPr>
      </w:pPr>
      <w:r>
        <w:rPr>
          <w:rFonts w:hint="eastAsia" w:ascii="黑体" w:hAnsi="黑体" w:eastAsia="黑体" w:cs="黑体"/>
        </w:rPr>
        <w:t>螺牙垂直于轴线方向的长度。</w:t>
      </w:r>
    </w:p>
    <w:p>
      <w:pPr>
        <w:pStyle w:val="65"/>
        <w:spacing w:before="156" w:after="156"/>
        <w:rPr>
          <w:rFonts w:hAnsi="黑体" w:cs="黑体"/>
          <w:szCs w:val="21"/>
        </w:rPr>
      </w:pPr>
      <w:bookmarkStart w:id="74" w:name="_Toc124595525"/>
      <w:r>
        <w:rPr>
          <w:rFonts w:hint="eastAsia" w:hAnsi="黑体" w:cs="黑体"/>
          <w:szCs w:val="21"/>
        </w:rPr>
        <w:t>桩芯 pile core</w:t>
      </w:r>
      <w:bookmarkEnd w:id="74"/>
    </w:p>
    <w:p>
      <w:pPr>
        <w:autoSpaceDE w:val="0"/>
        <w:ind w:firstLine="420" w:firstLineChars="200"/>
        <w:rPr>
          <w:rFonts w:ascii="黑体" w:hAnsi="黑体" w:eastAsia="黑体" w:cs="黑体"/>
        </w:rPr>
      </w:pPr>
      <w:r>
        <w:rPr>
          <w:rFonts w:hint="eastAsia" w:ascii="黑体" w:hAnsi="黑体" w:eastAsia="黑体" w:cs="黑体"/>
        </w:rPr>
        <w:t>螺杆灌注桩螺纹段不包括螺牙的桩体。</w:t>
      </w:r>
    </w:p>
    <w:p>
      <w:pPr>
        <w:pStyle w:val="65"/>
        <w:spacing w:before="156" w:after="156"/>
        <w:rPr>
          <w:rFonts w:hAnsi="黑体" w:cs="黑体"/>
          <w:szCs w:val="21"/>
        </w:rPr>
      </w:pPr>
      <w:bookmarkStart w:id="75" w:name="_Toc124595526"/>
      <w:r>
        <w:rPr>
          <w:rFonts w:hint="eastAsia" w:hAnsi="黑体" w:cs="黑体"/>
          <w:szCs w:val="21"/>
        </w:rPr>
        <w:t>螺杆灌注桩内径 inner diameter of part-screw pile</w:t>
      </w:r>
      <w:bookmarkEnd w:id="75"/>
    </w:p>
    <w:p>
      <w:pPr>
        <w:autoSpaceDE w:val="0"/>
        <w:ind w:firstLine="420" w:firstLineChars="200"/>
        <w:rPr>
          <w:rFonts w:ascii="黑体" w:hAnsi="黑体" w:eastAsia="黑体" w:cs="黑体"/>
        </w:rPr>
      </w:pPr>
      <w:r>
        <w:rPr>
          <w:rFonts w:hint="eastAsia" w:ascii="黑体" w:hAnsi="黑体" w:eastAsia="黑体" w:cs="黑体"/>
        </w:rPr>
        <w:t>螺杆灌注桩桩芯的直径。</w:t>
      </w:r>
    </w:p>
    <w:p>
      <w:pPr>
        <w:pStyle w:val="65"/>
        <w:spacing w:before="156" w:after="156"/>
        <w:rPr>
          <w:rFonts w:hAnsi="黑体" w:cs="黑体"/>
          <w:szCs w:val="21"/>
        </w:rPr>
      </w:pPr>
      <w:bookmarkStart w:id="76" w:name="_Toc124595527"/>
      <w:r>
        <w:rPr>
          <w:rFonts w:hint="eastAsia" w:hAnsi="黑体" w:cs="黑体"/>
          <w:szCs w:val="21"/>
        </w:rPr>
        <w:t>螺杆灌注桩外径 external diameter of part- screw pile</w:t>
      </w:r>
      <w:bookmarkEnd w:id="76"/>
    </w:p>
    <w:p>
      <w:pPr>
        <w:autoSpaceDE w:val="0"/>
        <w:ind w:firstLine="420" w:firstLineChars="200"/>
        <w:rPr>
          <w:rFonts w:ascii="黑体" w:hAnsi="黑体" w:eastAsia="黑体" w:cs="黑体"/>
        </w:rPr>
      </w:pPr>
      <w:r>
        <w:rPr>
          <w:rFonts w:hint="eastAsia" w:ascii="黑体" w:hAnsi="黑体" w:eastAsia="黑体" w:cs="黑体"/>
        </w:rPr>
        <w:t>螺杆灌注桩桩身包括螺牙在内的桩体直径。</w:t>
      </w:r>
    </w:p>
    <w:p>
      <w:pPr>
        <w:pStyle w:val="65"/>
        <w:spacing w:before="156" w:after="156"/>
        <w:rPr>
          <w:rFonts w:hAnsi="黑体" w:cs="黑体"/>
          <w:b/>
          <w:bCs/>
          <w:szCs w:val="21"/>
        </w:rPr>
      </w:pPr>
      <w:bookmarkStart w:id="77" w:name="_Toc124595528"/>
      <w:r>
        <w:rPr>
          <w:rFonts w:hint="eastAsia" w:hAnsi="黑体" w:cs="黑体"/>
          <w:szCs w:val="21"/>
        </w:rPr>
        <w:t>螺杆灌注桩扩大体 expanded body of part-screw pile</w:t>
      </w:r>
      <w:bookmarkEnd w:id="77"/>
    </w:p>
    <w:p>
      <w:pPr>
        <w:autoSpaceDE w:val="0"/>
        <w:ind w:firstLine="420" w:firstLineChars="200"/>
        <w:rPr>
          <w:rFonts w:ascii="黑体" w:hAnsi="黑体" w:eastAsia="黑体" w:cs="黑体"/>
        </w:rPr>
      </w:pPr>
      <w:r>
        <w:rPr>
          <w:rFonts w:hint="eastAsia" w:ascii="黑体" w:hAnsi="黑体" w:eastAsia="黑体" w:cs="黑体"/>
        </w:rPr>
        <w:t>在螺杆灌注桩桩身或桩端部分通过重复压灌或机械挤土扩孔连续泵送混凝土形成的扩大桩身。</w:t>
      </w:r>
    </w:p>
    <w:p>
      <w:pPr>
        <w:pStyle w:val="105"/>
        <w:numPr>
          <w:ilvl w:val="2"/>
          <w:numId w:val="0"/>
        </w:numPr>
        <w:spacing w:before="156" w:after="156"/>
        <w:rPr>
          <w:rFonts w:hAnsi="黑体" w:cs="黑体"/>
          <w:szCs w:val="21"/>
        </w:rPr>
      </w:pPr>
      <w:bookmarkStart w:id="78" w:name="_Toc2883"/>
      <w:bookmarkStart w:id="79" w:name="_Toc124595529"/>
      <w:r>
        <w:rPr>
          <w:rFonts w:hint="eastAsia" w:hAnsi="黑体" w:cs="黑体"/>
          <w:szCs w:val="21"/>
        </w:rPr>
        <w:t>3.2  符号</w:t>
      </w:r>
      <w:bookmarkEnd w:id="78"/>
      <w:bookmarkEnd w:id="79"/>
      <w:r>
        <w:rPr>
          <w:rFonts w:hint="eastAsia" w:hAnsi="黑体" w:cs="黑体"/>
          <w:szCs w:val="21"/>
        </w:rPr>
        <w:t xml:space="preserve"> </w:t>
      </w:r>
    </w:p>
    <w:p>
      <w:pPr>
        <w:pStyle w:val="65"/>
        <w:spacing w:before="156" w:after="156"/>
        <w:rPr>
          <w:rFonts w:hAnsi="黑体" w:cs="黑体"/>
          <w:szCs w:val="21"/>
        </w:rPr>
      </w:pPr>
      <w:bookmarkStart w:id="80" w:name="_Toc25648"/>
      <w:bookmarkEnd w:id="80"/>
      <w:bookmarkStart w:id="81" w:name="_Toc124595530"/>
      <w:r>
        <w:rPr>
          <w:rFonts w:hint="eastAsia" w:hAnsi="黑体" w:cs="黑体"/>
          <w:szCs w:val="21"/>
        </w:rPr>
        <w:t>作用和作用效应</w:t>
      </w:r>
      <w:bookmarkEnd w:id="81"/>
    </w:p>
    <w:p>
      <w:pPr>
        <w:autoSpaceDE w:val="0"/>
        <w:ind w:left="1050" w:leftChars="200" w:hanging="630" w:hangingChars="300"/>
        <w:rPr>
          <w:rFonts w:ascii="黑体" w:hAnsi="黑体" w:eastAsia="黑体" w:cs="黑体"/>
        </w:rPr>
      </w:pPr>
      <w:r>
        <w:rPr>
          <w:rFonts w:hint="eastAsia" w:ascii="黑体" w:hAnsi="黑体" w:eastAsia="黑体" w:cs="黑体"/>
        </w:rPr>
        <w:drawing>
          <wp:inline distT="0" distB="0" distL="0" distR="0">
            <wp:extent cx="177165" cy="177165"/>
            <wp:effectExtent l="0" t="0" r="0" b="0"/>
            <wp:docPr id="80" name="图片 80" descr="C:\Users\ADMINI~1\AppData\Local\Temp\ksohtml9220\wps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0" name="图片 80" descr="C:\Users\ADMINI~1\AppData\Local\Temp\ksohtml9220\wps1.png"/>
                    <pic:cNvPicPr>
                      <a:picLocks noChangeAspect="true" noChangeArrowheads="true"/>
                    </pic:cNvPicPr>
                  </pic:nvPicPr>
                  <pic:blipFill>
                    <a:blip r:embed="rId31">
                      <a:extLst>
                        <a:ext uri="{28A0092B-C50C-407E-A947-70E740481C1C}">
                          <a14:useLocalDpi xmlns:a14="http://schemas.microsoft.com/office/drawing/2010/main" val="false"/>
                        </a:ext>
                      </a:extLst>
                    </a:blip>
                    <a:srcRect/>
                    <a:stretch>
                      <a:fillRect/>
                    </a:stretch>
                  </pic:blipFill>
                  <pic:spPr>
                    <a:xfrm>
                      <a:off x="0" y="0"/>
                      <a:ext cx="177165" cy="177165"/>
                    </a:xfrm>
                    <a:prstGeom prst="rect">
                      <a:avLst/>
                    </a:prstGeom>
                    <a:noFill/>
                    <a:ln>
                      <a:noFill/>
                    </a:ln>
                  </pic:spPr>
                </pic:pic>
              </a:graphicData>
            </a:graphic>
          </wp:inline>
        </w:drawing>
      </w:r>
      <w:r>
        <w:rPr>
          <w:rFonts w:hint="eastAsia" w:ascii="黑体" w:hAnsi="黑体" w:eastAsia="黑体" w:cs="黑体"/>
        </w:rPr>
        <w:t>——相应于荷载效应基本组合时，作用于螺杆灌注桩桩顶的轴向压力设计值；</w:t>
      </w:r>
    </w:p>
    <w:p>
      <w:pPr>
        <w:autoSpaceDE w:val="0"/>
        <w:ind w:left="1050" w:leftChars="200" w:hanging="630" w:hangingChars="300"/>
        <w:rPr>
          <w:rFonts w:ascii="黑体" w:hAnsi="黑体" w:eastAsia="黑体" w:cs="黑体"/>
        </w:rPr>
      </w:pPr>
      <w:r>
        <w:rPr>
          <w:rFonts w:hint="eastAsia" w:ascii="黑体" w:hAnsi="黑体" w:eastAsia="黑体" w:cs="黑体"/>
        </w:rPr>
        <w:drawing>
          <wp:inline distT="0" distB="0" distL="0" distR="0">
            <wp:extent cx="204470" cy="231775"/>
            <wp:effectExtent l="0" t="0" r="5080" b="0"/>
            <wp:docPr id="79" name="图片 79" descr="C:\Users\ADMINI~1\AppData\Local\Temp\ksohtml9220\wps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9" name="图片 79" descr="C:\Users\ADMINI~1\AppData\Local\Temp\ksohtml9220\wps2.png"/>
                    <pic:cNvPicPr>
                      <a:picLocks noChangeAspect="true" noChangeArrowheads="true"/>
                    </pic:cNvPicPr>
                  </pic:nvPicPr>
                  <pic:blipFill>
                    <a:blip r:embed="rId32">
                      <a:extLst>
                        <a:ext uri="{28A0092B-C50C-407E-A947-70E740481C1C}">
                          <a14:useLocalDpi xmlns:a14="http://schemas.microsoft.com/office/drawing/2010/main" val="false"/>
                        </a:ext>
                      </a:extLst>
                    </a:blip>
                    <a:srcRect/>
                    <a:stretch>
                      <a:fillRect/>
                    </a:stretch>
                  </pic:blipFill>
                  <pic:spPr>
                    <a:xfrm>
                      <a:off x="0" y="0"/>
                      <a:ext cx="204470" cy="231775"/>
                    </a:xfrm>
                    <a:prstGeom prst="rect">
                      <a:avLst/>
                    </a:prstGeom>
                    <a:noFill/>
                    <a:ln>
                      <a:noFill/>
                    </a:ln>
                  </pic:spPr>
                </pic:pic>
              </a:graphicData>
            </a:graphic>
          </wp:inline>
        </w:drawing>
      </w:r>
      <w:r>
        <w:rPr>
          <w:rFonts w:hint="eastAsia" w:ascii="黑体" w:hAnsi="黑体" w:eastAsia="黑体" w:cs="黑体"/>
        </w:rPr>
        <w:t>——相应于荷载效应基本组合时，作用于螺杆灌注桩螺纹段顶截面的轴向压力设计值。</w:t>
      </w:r>
    </w:p>
    <w:p>
      <w:pPr>
        <w:autoSpaceDE w:val="0"/>
        <w:ind w:left="1050" w:leftChars="200" w:hanging="630" w:hangingChars="300"/>
        <w:rPr>
          <w:rFonts w:ascii="黑体" w:hAnsi="黑体" w:eastAsia="黑体" w:cs="黑体"/>
        </w:rPr>
      </w:pPr>
      <w:r>
        <w:rPr>
          <w:rFonts w:hint="eastAsia" w:ascii="黑体" w:hAnsi="黑体" w:eastAsia="黑体" w:cs="黑体"/>
        </w:rPr>
        <w:t xml:space="preserve"> </w:t>
      </w:r>
    </w:p>
    <w:p>
      <w:pPr>
        <w:pStyle w:val="65"/>
        <w:spacing w:before="156" w:after="156"/>
        <w:rPr>
          <w:rFonts w:hAnsi="黑体" w:cs="黑体"/>
          <w:szCs w:val="21"/>
        </w:rPr>
      </w:pPr>
      <w:bookmarkStart w:id="82" w:name="_Toc124595531"/>
      <w:r>
        <w:rPr>
          <w:rFonts w:hint="eastAsia" w:hAnsi="黑体" w:cs="黑体"/>
          <w:szCs w:val="21"/>
        </w:rPr>
        <w:t>抗力和材料性能</w:t>
      </w:r>
      <w:bookmarkEnd w:id="82"/>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63830" cy="231775"/>
            <wp:effectExtent l="0" t="0" r="7620" b="0"/>
            <wp:docPr id="78" name="图片 78" descr="C:\Users\ADMINI~1\AppData\Local\Temp\ksohtml9220\wps3.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8" name="图片 78" descr="C:\Users\ADMINI~1\AppData\Local\Temp\ksohtml9220\wps3.png"/>
                    <pic:cNvPicPr>
                      <a:picLocks noChangeAspect="true" noChangeArrowheads="true"/>
                    </pic:cNvPicPr>
                  </pic:nvPicPr>
                  <pic:blipFill>
                    <a:blip r:embed="rId33">
                      <a:extLst>
                        <a:ext uri="{28A0092B-C50C-407E-A947-70E740481C1C}">
                          <a14:useLocalDpi xmlns:a14="http://schemas.microsoft.com/office/drawing/2010/main" val="false"/>
                        </a:ext>
                      </a:extLst>
                    </a:blip>
                    <a:srcRect/>
                    <a:stretch>
                      <a:fillRect/>
                    </a:stretch>
                  </pic:blipFill>
                  <pic:spPr>
                    <a:xfrm>
                      <a:off x="0" y="0"/>
                      <a:ext cx="163830" cy="231775"/>
                    </a:xfrm>
                    <a:prstGeom prst="rect">
                      <a:avLst/>
                    </a:prstGeom>
                    <a:noFill/>
                    <a:ln>
                      <a:noFill/>
                    </a:ln>
                  </pic:spPr>
                </pic:pic>
              </a:graphicData>
            </a:graphic>
          </wp:inline>
        </w:drawing>
      </w:r>
      <w:r>
        <w:rPr>
          <w:rFonts w:hint="eastAsia" w:ascii="黑体" w:hAnsi="黑体" w:eastAsia="黑体" w:cs="黑体"/>
        </w:rPr>
        <w:t xml:space="preserve"> ——混凝土轴心抗压强度设计值；</w:t>
      </w:r>
    </w:p>
    <w:p>
      <w:pPr>
        <w:autoSpaceDE w:val="0"/>
        <w:ind w:firstLine="420" w:firstLineChars="200"/>
        <w:rPr>
          <w:rFonts w:ascii="黑体" w:hAnsi="黑体" w:eastAsia="黑体" w:cs="黑体"/>
        </w:rPr>
      </w:pPr>
      <w:r>
        <w:rPr>
          <w:rFonts w:hint="eastAsia" w:ascii="黑体" w:hAnsi="黑体" w:eastAsia="黑体" w:cs="黑体"/>
        </w:rPr>
        <w:t xml:space="preserve"> </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91135" cy="245745"/>
            <wp:effectExtent l="0" t="0" r="0" b="1905"/>
            <wp:docPr id="77" name="图片 77" descr="C:\Users\ADMINI~1\AppData\Local\Temp\ksohtml9220\wps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7" name="图片 77" descr="C:\Users\ADMINI~1\AppData\Local\Temp\ksohtml9220\wps4.png"/>
                    <pic:cNvPicPr>
                      <a:picLocks noChangeAspect="true" noChangeArrowheads="true"/>
                    </pic:cNvPicPr>
                  </pic:nvPicPr>
                  <pic:blipFill>
                    <a:blip r:embed="rId34">
                      <a:extLst>
                        <a:ext uri="{28A0092B-C50C-407E-A947-70E740481C1C}">
                          <a14:useLocalDpi xmlns:a14="http://schemas.microsoft.com/office/drawing/2010/main" val="false"/>
                        </a:ext>
                      </a:extLst>
                    </a:blip>
                    <a:srcRect/>
                    <a:stretch>
                      <a:fillRect/>
                    </a:stretch>
                  </pic:blipFill>
                  <pic:spPr>
                    <a:xfrm>
                      <a:off x="0" y="0"/>
                      <a:ext cx="191135" cy="245745"/>
                    </a:xfrm>
                    <a:prstGeom prst="rect">
                      <a:avLst/>
                    </a:prstGeom>
                    <a:noFill/>
                    <a:ln>
                      <a:noFill/>
                    </a:ln>
                  </pic:spPr>
                </pic:pic>
              </a:graphicData>
            </a:graphic>
          </wp:inline>
        </w:drawing>
      </w:r>
      <w:r>
        <w:rPr>
          <w:rFonts w:hint="eastAsia" w:ascii="黑体" w:hAnsi="黑体" w:eastAsia="黑体" w:cs="黑体"/>
        </w:rPr>
        <w:t>——纵向主筋抗压强度设计值；</w:t>
      </w:r>
    </w:p>
    <w:p>
      <w:pPr>
        <w:autoSpaceDE w:val="0"/>
        <w:ind w:left="1260" w:leftChars="200" w:hanging="840" w:hangingChars="400"/>
        <w:rPr>
          <w:rFonts w:ascii="黑体" w:hAnsi="黑体" w:eastAsia="黑体" w:cs="黑体"/>
        </w:rPr>
      </w:pPr>
      <w:r>
        <w:rPr>
          <w:rFonts w:hint="eastAsia" w:ascii="黑体" w:hAnsi="黑体" w:eastAsia="黑体" w:cs="黑体"/>
        </w:rPr>
        <w:drawing>
          <wp:inline distT="0" distB="0" distL="0" distR="0">
            <wp:extent cx="204470" cy="231775"/>
            <wp:effectExtent l="0" t="0" r="5080" b="0"/>
            <wp:docPr id="76" name="图片 76" descr="C:\Users\ADMINI~1\AppData\Local\Temp\ksohtml9220\wps5.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6" name="图片 76" descr="C:\Users\ADMINI~1\AppData\Local\Temp\ksohtml9220\wps5.png"/>
                    <pic:cNvPicPr>
                      <a:picLocks noChangeAspect="true" noChangeArrowheads="true"/>
                    </pic:cNvPicPr>
                  </pic:nvPicPr>
                  <pic:blipFill>
                    <a:blip r:embed="rId35">
                      <a:extLst>
                        <a:ext uri="{28A0092B-C50C-407E-A947-70E740481C1C}">
                          <a14:useLocalDpi xmlns:a14="http://schemas.microsoft.com/office/drawing/2010/main" val="false"/>
                        </a:ext>
                      </a:extLst>
                    </a:blip>
                    <a:srcRect/>
                    <a:stretch>
                      <a:fillRect/>
                    </a:stretch>
                  </pic:blipFill>
                  <pic:spPr>
                    <a:xfrm>
                      <a:off x="0" y="0"/>
                      <a:ext cx="204470" cy="231775"/>
                    </a:xfrm>
                    <a:prstGeom prst="rect">
                      <a:avLst/>
                    </a:prstGeom>
                    <a:noFill/>
                    <a:ln>
                      <a:noFill/>
                    </a:ln>
                  </pic:spPr>
                </pic:pic>
              </a:graphicData>
            </a:graphic>
          </wp:inline>
        </w:drawing>
      </w:r>
      <w:r>
        <w:rPr>
          <w:rFonts w:hint="eastAsia" w:ascii="黑体" w:hAnsi="黑体" w:eastAsia="黑体" w:cs="黑体"/>
        </w:rPr>
        <w:t>—— 桩体混凝土试块（边长150mm的立方体）标准养护28d立方体抗压强度平均值；</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245745" cy="231775"/>
            <wp:effectExtent l="0" t="0" r="1905" b="0"/>
            <wp:docPr id="75" name="图片 75" descr="C:\Users\ADMINI~1\AppData\Local\Temp\ksohtml9220\wps6.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5" name="图片 75" descr="C:\Users\ADMINI~1\AppData\Local\Temp\ksohtml9220\wps6.png"/>
                    <pic:cNvPicPr>
                      <a:picLocks noChangeAspect="true" noChangeArrowheads="true"/>
                    </pic:cNvPicPr>
                  </pic:nvPicPr>
                  <pic:blipFill>
                    <a:blip r:embed="rId36">
                      <a:extLst>
                        <a:ext uri="{28A0092B-C50C-407E-A947-70E740481C1C}">
                          <a14:useLocalDpi xmlns:a14="http://schemas.microsoft.com/office/drawing/2010/main" val="false"/>
                        </a:ext>
                      </a:extLst>
                    </a:blip>
                    <a:srcRect/>
                    <a:stretch>
                      <a:fillRect/>
                    </a:stretch>
                  </pic:blipFill>
                  <pic:spPr>
                    <a:xfrm>
                      <a:off x="0" y="0"/>
                      <a:ext cx="245745" cy="231775"/>
                    </a:xfrm>
                    <a:prstGeom prst="rect">
                      <a:avLst/>
                    </a:prstGeom>
                    <a:noFill/>
                    <a:ln>
                      <a:noFill/>
                    </a:ln>
                  </pic:spPr>
                </pic:pic>
              </a:graphicData>
            </a:graphic>
          </wp:inline>
        </w:drawing>
      </w:r>
      <w:r>
        <w:rPr>
          <w:rFonts w:hint="eastAsia" w:ascii="黑体" w:hAnsi="黑体" w:eastAsia="黑体" w:cs="黑体"/>
        </w:rPr>
        <w:t xml:space="preserve"> ——复合地基承载力特征值；</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204470" cy="231775"/>
            <wp:effectExtent l="0" t="0" r="5080" b="0"/>
            <wp:docPr id="74" name="图片 74" descr="C:\Users\ADMINI~1\AppData\Local\Temp\ksohtml9220\wps7.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4" name="图片 74" descr="C:\Users\ADMINI~1\AppData\Local\Temp\ksohtml9220\wps7.png"/>
                    <pic:cNvPicPr>
                      <a:picLocks noChangeAspect="true" noChangeArrowheads="true"/>
                    </pic:cNvPicPr>
                  </pic:nvPicPr>
                  <pic:blipFill>
                    <a:blip r:embed="rId37">
                      <a:extLst>
                        <a:ext uri="{28A0092B-C50C-407E-A947-70E740481C1C}">
                          <a14:useLocalDpi xmlns:a14="http://schemas.microsoft.com/office/drawing/2010/main" val="false"/>
                        </a:ext>
                      </a:extLst>
                    </a:blip>
                    <a:srcRect/>
                    <a:stretch>
                      <a:fillRect/>
                    </a:stretch>
                  </pic:blipFill>
                  <pic:spPr>
                    <a:xfrm>
                      <a:off x="0" y="0"/>
                      <a:ext cx="204470" cy="231775"/>
                    </a:xfrm>
                    <a:prstGeom prst="rect">
                      <a:avLst/>
                    </a:prstGeom>
                    <a:noFill/>
                    <a:ln>
                      <a:noFill/>
                    </a:ln>
                  </pic:spPr>
                </pic:pic>
              </a:graphicData>
            </a:graphic>
          </wp:inline>
        </w:drawing>
      </w:r>
      <w:r>
        <w:rPr>
          <w:rFonts w:hint="eastAsia" w:ascii="黑体" w:hAnsi="黑体" w:eastAsia="黑体" w:cs="黑体"/>
        </w:rPr>
        <w:t xml:space="preserve"> ——处理后桩间土承载力特征值；</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259080" cy="245745"/>
            <wp:effectExtent l="0" t="0" r="7620" b="1905"/>
            <wp:docPr id="72" name="图片 72" descr="C:\Users\ADMINI~1\AppData\Local\Temp\ksohtml9220\wps8.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2" name="图片 72" descr="C:\Users\ADMINI~1\AppData\Local\Temp\ksohtml9220\wps8.png"/>
                    <pic:cNvPicPr>
                      <a:picLocks noChangeAspect="true" noChangeArrowheads="true"/>
                    </pic:cNvPicPr>
                  </pic:nvPicPr>
                  <pic:blipFill>
                    <a:blip r:embed="rId38">
                      <a:extLst>
                        <a:ext uri="{28A0092B-C50C-407E-A947-70E740481C1C}">
                          <a14:useLocalDpi xmlns:a14="http://schemas.microsoft.com/office/drawing/2010/main" val="false"/>
                        </a:ext>
                      </a:extLst>
                    </a:blip>
                    <a:srcRect/>
                    <a:stretch>
                      <a:fillRect/>
                    </a:stretch>
                  </pic:blipFill>
                  <pic:spPr>
                    <a:xfrm>
                      <a:off x="0" y="0"/>
                      <a:ext cx="259080" cy="245745"/>
                    </a:xfrm>
                    <a:prstGeom prst="rect">
                      <a:avLst/>
                    </a:prstGeom>
                    <a:noFill/>
                    <a:ln>
                      <a:noFill/>
                    </a:ln>
                  </pic:spPr>
                </pic:pic>
              </a:graphicData>
            </a:graphic>
          </wp:inline>
        </w:drawing>
      </w:r>
      <w:r>
        <w:rPr>
          <w:rFonts w:hint="eastAsia" w:ascii="黑体" w:hAnsi="黑体" w:eastAsia="黑体" w:cs="黑体"/>
        </w:rPr>
        <w:t>——深度修正后的复合地基承载力特征值；</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218440" cy="231775"/>
            <wp:effectExtent l="0" t="0" r="0" b="0"/>
            <wp:docPr id="71" name="图片 71" descr="C:\Users\ADMINI~1\AppData\Local\Temp\ksohtml9220\wps9.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1" name="图片 71" descr="C:\Users\ADMINI~1\AppData\Local\Temp\ksohtml9220\wps9.png"/>
                    <pic:cNvPicPr>
                      <a:picLocks noChangeAspect="true" noChangeArrowheads="true"/>
                    </pic:cNvPicPr>
                  </pic:nvPicPr>
                  <pic:blipFill>
                    <a:blip r:embed="rId39">
                      <a:extLst>
                        <a:ext uri="{28A0092B-C50C-407E-A947-70E740481C1C}">
                          <a14:useLocalDpi xmlns:a14="http://schemas.microsoft.com/office/drawing/2010/main" val="false"/>
                        </a:ext>
                      </a:extLst>
                    </a:blip>
                    <a:srcRect/>
                    <a:stretch>
                      <a:fillRect/>
                    </a:stretch>
                  </pic:blipFill>
                  <pic:spPr>
                    <a:xfrm>
                      <a:off x="0" y="0"/>
                      <a:ext cx="218440" cy="231775"/>
                    </a:xfrm>
                    <a:prstGeom prst="rect">
                      <a:avLst/>
                    </a:prstGeom>
                    <a:noFill/>
                    <a:ln>
                      <a:noFill/>
                    </a:ln>
                  </pic:spPr>
                </pic:pic>
              </a:graphicData>
            </a:graphic>
          </wp:inline>
        </w:drawing>
      </w:r>
      <w:r>
        <w:rPr>
          <w:rFonts w:hint="eastAsia" w:ascii="黑体" w:hAnsi="黑体" w:eastAsia="黑体" w:cs="黑体"/>
        </w:rPr>
        <w:t>——岩石单轴饱和抗压强度标准值；</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245745" cy="231775"/>
            <wp:effectExtent l="0" t="0" r="1905" b="0"/>
            <wp:docPr id="70" name="图片 70" descr="C:\Users\ADMINI~1\AppData\Local\Temp\ksohtml9220\wps10.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0" name="图片 70" descr="C:\Users\ADMINI~1\AppData\Local\Temp\ksohtml9220\wps10.png"/>
                    <pic:cNvPicPr>
                      <a:picLocks noChangeAspect="true" noChangeArrowheads="true"/>
                    </pic:cNvPicPr>
                  </pic:nvPicPr>
                  <pic:blipFill>
                    <a:blip r:embed="rId40">
                      <a:extLst>
                        <a:ext uri="{28A0092B-C50C-407E-A947-70E740481C1C}">
                          <a14:useLocalDpi xmlns:a14="http://schemas.microsoft.com/office/drawing/2010/main" val="false"/>
                        </a:ext>
                      </a:extLst>
                    </a:blip>
                    <a:srcRect/>
                    <a:stretch>
                      <a:fillRect/>
                    </a:stretch>
                  </pic:blipFill>
                  <pic:spPr>
                    <a:xfrm>
                      <a:off x="0" y="0"/>
                      <a:ext cx="245745" cy="231775"/>
                    </a:xfrm>
                    <a:prstGeom prst="rect">
                      <a:avLst/>
                    </a:prstGeom>
                    <a:noFill/>
                    <a:ln>
                      <a:noFill/>
                    </a:ln>
                  </pic:spPr>
                </pic:pic>
              </a:graphicData>
            </a:graphic>
          </wp:inline>
        </w:drawing>
      </w:r>
      <w:r>
        <w:rPr>
          <w:rFonts w:hint="eastAsia" w:ascii="黑体" w:hAnsi="黑体" w:eastAsia="黑体" w:cs="黑体"/>
        </w:rPr>
        <w:t xml:space="preserve"> ——螺杆灌注桩单桩竖向极限承载力标准值；</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259080" cy="231775"/>
            <wp:effectExtent l="0" t="0" r="7620" b="0"/>
            <wp:docPr id="69" name="图片 69" descr="C:\Users\ADMINI~1\AppData\Local\Temp\ksohtml9220\wps1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9" name="图片 69" descr="C:\Users\ADMINI~1\AppData\Local\Temp\ksohtml9220\wps11.png"/>
                    <pic:cNvPicPr>
                      <a:picLocks noChangeAspect="true" noChangeArrowheads="true"/>
                    </pic:cNvPicPr>
                  </pic:nvPicPr>
                  <pic:blipFill>
                    <a:blip r:embed="rId41">
                      <a:extLst>
                        <a:ext uri="{28A0092B-C50C-407E-A947-70E740481C1C}">
                          <a14:useLocalDpi xmlns:a14="http://schemas.microsoft.com/office/drawing/2010/main" val="false"/>
                        </a:ext>
                      </a:extLst>
                    </a:blip>
                    <a:srcRect/>
                    <a:stretch>
                      <a:fillRect/>
                    </a:stretch>
                  </pic:blipFill>
                  <pic:spPr>
                    <a:xfrm>
                      <a:off x="0" y="0"/>
                      <a:ext cx="259080" cy="231775"/>
                    </a:xfrm>
                    <a:prstGeom prst="rect">
                      <a:avLst/>
                    </a:prstGeom>
                    <a:noFill/>
                    <a:ln>
                      <a:noFill/>
                    </a:ln>
                  </pic:spPr>
                </pic:pic>
              </a:graphicData>
            </a:graphic>
          </wp:inline>
        </w:drawing>
      </w:r>
      <w:r>
        <w:rPr>
          <w:rFonts w:hint="eastAsia" w:ascii="黑体" w:hAnsi="黑体" w:eastAsia="黑体" w:cs="黑体"/>
        </w:rPr>
        <w:t>——螺杆灌注桩直杆段极限侧阻力标准值；</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300355" cy="231775"/>
            <wp:effectExtent l="0" t="0" r="4445" b="0"/>
            <wp:docPr id="68" name="图片 68" descr="C:\Users\ADMINI~1\AppData\Local\Temp\ksohtml9220\wps1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8" name="图片 68" descr="C:\Users\ADMINI~1\AppData\Local\Temp\ksohtml9220\wps12.png"/>
                    <pic:cNvPicPr>
                      <a:picLocks noChangeAspect="true" noChangeArrowheads="true"/>
                    </pic:cNvPicPr>
                  </pic:nvPicPr>
                  <pic:blipFill>
                    <a:blip r:embed="rId42">
                      <a:extLst>
                        <a:ext uri="{28A0092B-C50C-407E-A947-70E740481C1C}">
                          <a14:useLocalDpi xmlns:a14="http://schemas.microsoft.com/office/drawing/2010/main" val="false"/>
                        </a:ext>
                      </a:extLst>
                    </a:blip>
                    <a:srcRect/>
                    <a:stretch>
                      <a:fillRect/>
                    </a:stretch>
                  </pic:blipFill>
                  <pic:spPr>
                    <a:xfrm>
                      <a:off x="0" y="0"/>
                      <a:ext cx="300355" cy="231775"/>
                    </a:xfrm>
                    <a:prstGeom prst="rect">
                      <a:avLst/>
                    </a:prstGeom>
                    <a:noFill/>
                    <a:ln>
                      <a:noFill/>
                    </a:ln>
                  </pic:spPr>
                </pic:pic>
              </a:graphicData>
            </a:graphic>
          </wp:inline>
        </w:drawing>
      </w:r>
      <w:r>
        <w:rPr>
          <w:rFonts w:hint="eastAsia" w:ascii="黑体" w:hAnsi="黑体" w:eastAsia="黑体" w:cs="黑体"/>
        </w:rPr>
        <w:t>——螺杆灌注桩螺纹段极限侧阻力标准值；</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286385" cy="231775"/>
            <wp:effectExtent l="0" t="0" r="0" b="0"/>
            <wp:docPr id="67" name="图片 67" descr="C:\Users\ADMINI~1\AppData\Local\Temp\ksohtml9220\wps13.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7" name="图片 67" descr="C:\Users\ADMINI~1\AppData\Local\Temp\ksohtml9220\wps13.png"/>
                    <pic:cNvPicPr>
                      <a:picLocks noChangeAspect="true" noChangeArrowheads="true"/>
                    </pic:cNvPicPr>
                  </pic:nvPicPr>
                  <pic:blipFill>
                    <a:blip r:embed="rId43">
                      <a:extLst>
                        <a:ext uri="{28A0092B-C50C-407E-A947-70E740481C1C}">
                          <a14:useLocalDpi xmlns:a14="http://schemas.microsoft.com/office/drawing/2010/main" val="false"/>
                        </a:ext>
                      </a:extLst>
                    </a:blip>
                    <a:srcRect/>
                    <a:stretch>
                      <a:fillRect/>
                    </a:stretch>
                  </pic:blipFill>
                  <pic:spPr>
                    <a:xfrm>
                      <a:off x="0" y="0"/>
                      <a:ext cx="286385" cy="231775"/>
                    </a:xfrm>
                    <a:prstGeom prst="rect">
                      <a:avLst/>
                    </a:prstGeom>
                    <a:noFill/>
                    <a:ln>
                      <a:noFill/>
                    </a:ln>
                  </pic:spPr>
                </pic:pic>
              </a:graphicData>
            </a:graphic>
          </wp:inline>
        </w:drawing>
      </w:r>
      <w:r>
        <w:rPr>
          <w:rFonts w:hint="eastAsia" w:ascii="黑体" w:hAnsi="黑体" w:eastAsia="黑体" w:cs="黑体"/>
        </w:rPr>
        <w:t>——螺杆灌注桩扩大体段极限侧阻力标准值；</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259080" cy="245745"/>
            <wp:effectExtent l="0" t="0" r="7620" b="1905"/>
            <wp:docPr id="66" name="图片 66" descr="C:\Users\ADMINI~1\AppData\Local\Temp\ksohtml9220\wps1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6" name="图片 66" descr="C:\Users\ADMINI~1\AppData\Local\Temp\ksohtml9220\wps14.png"/>
                    <pic:cNvPicPr>
                      <a:picLocks noChangeAspect="true" noChangeArrowheads="true"/>
                    </pic:cNvPicPr>
                  </pic:nvPicPr>
                  <pic:blipFill>
                    <a:blip r:embed="rId44">
                      <a:extLst>
                        <a:ext uri="{28A0092B-C50C-407E-A947-70E740481C1C}">
                          <a14:useLocalDpi xmlns:a14="http://schemas.microsoft.com/office/drawing/2010/main" val="false"/>
                        </a:ext>
                      </a:extLst>
                    </a:blip>
                    <a:srcRect/>
                    <a:stretch>
                      <a:fillRect/>
                    </a:stretch>
                  </pic:blipFill>
                  <pic:spPr>
                    <a:xfrm>
                      <a:off x="0" y="0"/>
                      <a:ext cx="259080" cy="245745"/>
                    </a:xfrm>
                    <a:prstGeom prst="rect">
                      <a:avLst/>
                    </a:prstGeom>
                    <a:noFill/>
                    <a:ln>
                      <a:noFill/>
                    </a:ln>
                  </pic:spPr>
                </pic:pic>
              </a:graphicData>
            </a:graphic>
          </wp:inline>
        </w:drawing>
      </w:r>
      <w:r>
        <w:rPr>
          <w:rFonts w:hint="eastAsia" w:ascii="黑体" w:hAnsi="黑体" w:eastAsia="黑体" w:cs="黑体"/>
        </w:rPr>
        <w:t>—— 螺杆灌注桩的极限端阻力标准值；</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231775" cy="231775"/>
            <wp:effectExtent l="0" t="0" r="0" b="0"/>
            <wp:docPr id="65" name="图片 65" descr="C:\Users\ADMINI~1\AppData\Local\Temp\ksohtml9220\wps15.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5" name="图片 65" descr="C:\Users\ADMINI~1\AppData\Local\Temp\ksohtml9220\wps15.png"/>
                    <pic:cNvPicPr>
                      <a:picLocks noChangeAspect="true" noChangeArrowheads="true"/>
                    </pic:cNvPicPr>
                  </pic:nvPicPr>
                  <pic:blipFill>
                    <a:blip r:embed="rId45">
                      <a:extLst>
                        <a:ext uri="{28A0092B-C50C-407E-A947-70E740481C1C}">
                          <a14:useLocalDpi xmlns:a14="http://schemas.microsoft.com/office/drawing/2010/main" val="false"/>
                        </a:ext>
                      </a:extLst>
                    </a:blip>
                    <a:srcRect/>
                    <a:stretch>
                      <a:fillRect/>
                    </a:stretch>
                  </pic:blipFill>
                  <pic:spPr>
                    <a:xfrm>
                      <a:off x="0" y="0"/>
                      <a:ext cx="231775" cy="231775"/>
                    </a:xfrm>
                    <a:prstGeom prst="rect">
                      <a:avLst/>
                    </a:prstGeom>
                    <a:noFill/>
                    <a:ln>
                      <a:noFill/>
                    </a:ln>
                  </pic:spPr>
                </pic:pic>
              </a:graphicData>
            </a:graphic>
          </wp:inline>
        </w:drawing>
      </w:r>
      <w:r>
        <w:rPr>
          <w:rFonts w:hint="eastAsia" w:ascii="黑体" w:hAnsi="黑体" w:eastAsia="黑体" w:cs="黑体"/>
        </w:rPr>
        <w:t>——螺杆灌注桩嵌岩段总极限阻力标准值；</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245745" cy="231775"/>
            <wp:effectExtent l="0" t="0" r="1905" b="0"/>
            <wp:docPr id="64" name="图片 64" descr="C:\Users\ADMINI~1\AppData\Local\Temp\ksohtml9220\wps16.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4" name="图片 64" descr="C:\Users\ADMINI~1\AppData\Local\Temp\ksohtml9220\wps16.png"/>
                    <pic:cNvPicPr>
                      <a:picLocks noChangeAspect="true" noChangeArrowheads="true"/>
                    </pic:cNvPicPr>
                  </pic:nvPicPr>
                  <pic:blipFill>
                    <a:blip r:embed="rId46">
                      <a:extLst>
                        <a:ext uri="{28A0092B-C50C-407E-A947-70E740481C1C}">
                          <a14:useLocalDpi xmlns:a14="http://schemas.microsoft.com/office/drawing/2010/main" val="false"/>
                        </a:ext>
                      </a:extLst>
                    </a:blip>
                    <a:srcRect/>
                    <a:stretch>
                      <a:fillRect/>
                    </a:stretch>
                  </pic:blipFill>
                  <pic:spPr>
                    <a:xfrm>
                      <a:off x="0" y="0"/>
                      <a:ext cx="245745" cy="231775"/>
                    </a:xfrm>
                    <a:prstGeom prst="rect">
                      <a:avLst/>
                    </a:prstGeom>
                    <a:noFill/>
                    <a:ln>
                      <a:noFill/>
                    </a:ln>
                  </pic:spPr>
                </pic:pic>
              </a:graphicData>
            </a:graphic>
          </wp:inline>
        </w:drawing>
      </w:r>
      <w:r>
        <w:rPr>
          <w:rFonts w:hint="eastAsia" w:ascii="黑体" w:hAnsi="黑体" w:eastAsia="黑体" w:cs="黑体"/>
        </w:rPr>
        <w:t>——螺杆灌注桩非嵌岩段总极限侧阻力标准值；</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245745" cy="231775"/>
            <wp:effectExtent l="0" t="0" r="1905" b="0"/>
            <wp:docPr id="31" name="图片 31" descr="C:\Users\ADMINI~1\AppData\Local\Temp\ksohtml9220\wps17.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1" name="图片 31" descr="C:\Users\ADMINI~1\AppData\Local\Temp\ksohtml9220\wps17.png"/>
                    <pic:cNvPicPr>
                      <a:picLocks noChangeAspect="true" noChangeArrowheads="true"/>
                    </pic:cNvPicPr>
                  </pic:nvPicPr>
                  <pic:blipFill>
                    <a:blip r:embed="rId47">
                      <a:extLst>
                        <a:ext uri="{28A0092B-C50C-407E-A947-70E740481C1C}">
                          <a14:useLocalDpi xmlns:a14="http://schemas.microsoft.com/office/drawing/2010/main" val="false"/>
                        </a:ext>
                      </a:extLst>
                    </a:blip>
                    <a:srcRect/>
                    <a:stretch>
                      <a:fillRect/>
                    </a:stretch>
                  </pic:blipFill>
                  <pic:spPr>
                    <a:xfrm>
                      <a:off x="0" y="0"/>
                      <a:ext cx="245745" cy="231775"/>
                    </a:xfrm>
                    <a:prstGeom prst="rect">
                      <a:avLst/>
                    </a:prstGeom>
                    <a:noFill/>
                    <a:ln>
                      <a:noFill/>
                    </a:ln>
                  </pic:spPr>
                </pic:pic>
              </a:graphicData>
            </a:graphic>
          </wp:inline>
        </w:drawing>
      </w:r>
      <w:r>
        <w:rPr>
          <w:rFonts w:hint="eastAsia" w:ascii="黑体" w:hAnsi="黑体" w:eastAsia="黑体" w:cs="黑体"/>
        </w:rPr>
        <w:t>——桩身范围内第i层土的极限侧阻力标准值；</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231775" cy="245745"/>
            <wp:effectExtent l="0" t="0" r="0" b="1905"/>
            <wp:docPr id="30" name="图片 30" descr="C:\Users\ADMINI~1\AppData\Local\Temp\ksohtml9220\wps18.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0" name="图片 30" descr="C:\Users\ADMINI~1\AppData\Local\Temp\ksohtml9220\wps18.png"/>
                    <pic:cNvPicPr>
                      <a:picLocks noChangeAspect="true" noChangeArrowheads="true"/>
                    </pic:cNvPicPr>
                  </pic:nvPicPr>
                  <pic:blipFill>
                    <a:blip r:embed="rId48">
                      <a:extLst>
                        <a:ext uri="{28A0092B-C50C-407E-A947-70E740481C1C}">
                          <a14:useLocalDpi xmlns:a14="http://schemas.microsoft.com/office/drawing/2010/main" val="false"/>
                        </a:ext>
                      </a:extLst>
                    </a:blip>
                    <a:srcRect/>
                    <a:stretch>
                      <a:fillRect/>
                    </a:stretch>
                  </pic:blipFill>
                  <pic:spPr>
                    <a:xfrm>
                      <a:off x="0" y="0"/>
                      <a:ext cx="231775" cy="245745"/>
                    </a:xfrm>
                    <a:prstGeom prst="rect">
                      <a:avLst/>
                    </a:prstGeom>
                    <a:noFill/>
                    <a:ln>
                      <a:noFill/>
                    </a:ln>
                  </pic:spPr>
                </pic:pic>
              </a:graphicData>
            </a:graphic>
          </wp:inline>
        </w:drawing>
      </w:r>
      <w:r>
        <w:rPr>
          <w:rFonts w:hint="eastAsia" w:ascii="黑体" w:hAnsi="黑体" w:eastAsia="黑体" w:cs="黑体"/>
        </w:rPr>
        <w:t>——极限端阻力标准值；</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91135" cy="231775"/>
            <wp:effectExtent l="0" t="0" r="0" b="0"/>
            <wp:docPr id="29" name="图片 29" descr="C:\Users\ADMINI~1\AppData\Local\Temp\ksohtml9220\wps19.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9" name="图片 29" descr="C:\Users\ADMINI~1\AppData\Local\Temp\ksohtml9220\wps19.png"/>
                    <pic:cNvPicPr>
                      <a:picLocks noChangeAspect="true" noChangeArrowheads="true"/>
                    </pic:cNvPicPr>
                  </pic:nvPicPr>
                  <pic:blipFill>
                    <a:blip r:embed="rId49">
                      <a:extLst>
                        <a:ext uri="{28A0092B-C50C-407E-A947-70E740481C1C}">
                          <a14:useLocalDpi xmlns:a14="http://schemas.microsoft.com/office/drawing/2010/main" val="false"/>
                        </a:ext>
                      </a:extLst>
                    </a:blip>
                    <a:srcRect/>
                    <a:stretch>
                      <a:fillRect/>
                    </a:stretch>
                  </pic:blipFill>
                  <pic:spPr>
                    <a:xfrm>
                      <a:off x="0" y="0"/>
                      <a:ext cx="191135" cy="231775"/>
                    </a:xfrm>
                    <a:prstGeom prst="rect">
                      <a:avLst/>
                    </a:prstGeom>
                    <a:noFill/>
                    <a:ln>
                      <a:noFill/>
                    </a:ln>
                  </pic:spPr>
                </pic:pic>
              </a:graphicData>
            </a:graphic>
          </wp:inline>
        </w:drawing>
      </w:r>
      <w:r>
        <w:rPr>
          <w:rFonts w:hint="eastAsia" w:ascii="黑体" w:hAnsi="黑体" w:eastAsia="黑体" w:cs="黑体"/>
        </w:rPr>
        <w:t xml:space="preserve"> ——螺杆灌注桩单桩竖向承载力特征值；</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91135" cy="231775"/>
            <wp:effectExtent l="0" t="0" r="0" b="0"/>
            <wp:docPr id="28" name="图片 28" descr="C:\Users\ADMINI~1\AppData\Local\Temp\ksohtml9220\wps20.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8" name="图片 28" descr="C:\Users\ADMINI~1\AppData\Local\Temp\ksohtml9220\wps20.png"/>
                    <pic:cNvPicPr>
                      <a:picLocks noChangeAspect="true" noChangeArrowheads="true"/>
                    </pic:cNvPicPr>
                  </pic:nvPicPr>
                  <pic:blipFill>
                    <a:blip r:embed="rId50">
                      <a:extLst>
                        <a:ext uri="{28A0092B-C50C-407E-A947-70E740481C1C}">
                          <a14:useLocalDpi xmlns:a14="http://schemas.microsoft.com/office/drawing/2010/main" val="false"/>
                        </a:ext>
                      </a:extLst>
                    </a:blip>
                    <a:srcRect/>
                    <a:stretch>
                      <a:fillRect/>
                    </a:stretch>
                  </pic:blipFill>
                  <pic:spPr>
                    <a:xfrm>
                      <a:off x="0" y="0"/>
                      <a:ext cx="191135" cy="231775"/>
                    </a:xfrm>
                    <a:prstGeom prst="rect">
                      <a:avLst/>
                    </a:prstGeom>
                    <a:noFill/>
                    <a:ln>
                      <a:noFill/>
                    </a:ln>
                  </pic:spPr>
                </pic:pic>
              </a:graphicData>
            </a:graphic>
          </wp:inline>
        </w:drawing>
      </w:r>
      <w:r>
        <w:rPr>
          <w:rFonts w:hint="eastAsia" w:ascii="黑体" w:hAnsi="黑体" w:eastAsia="黑体" w:cs="黑体"/>
        </w:rPr>
        <w:t xml:space="preserve"> ——作用于螺纹段顶截面的轴向压力计算值；</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218440" cy="231775"/>
            <wp:effectExtent l="0" t="0" r="0" b="0"/>
            <wp:docPr id="27" name="图片 27" descr="C:\Users\ADMINI~1\AppData\Local\Temp\ksohtml9220\wps2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7" name="图片 27" descr="C:\Users\ADMINI~1\AppData\Local\Temp\ksohtml9220\wps21.png"/>
                    <pic:cNvPicPr>
                      <a:picLocks noChangeAspect="true" noChangeArrowheads="true"/>
                    </pic:cNvPicPr>
                  </pic:nvPicPr>
                  <pic:blipFill>
                    <a:blip r:embed="rId51">
                      <a:extLst>
                        <a:ext uri="{28A0092B-C50C-407E-A947-70E740481C1C}">
                          <a14:useLocalDpi xmlns:a14="http://schemas.microsoft.com/office/drawing/2010/main" val="false"/>
                        </a:ext>
                      </a:extLst>
                    </a:blip>
                    <a:srcRect/>
                    <a:stretch>
                      <a:fillRect/>
                    </a:stretch>
                  </pic:blipFill>
                  <pic:spPr>
                    <a:xfrm>
                      <a:off x="0" y="0"/>
                      <a:ext cx="218440" cy="231775"/>
                    </a:xfrm>
                    <a:prstGeom prst="rect">
                      <a:avLst/>
                    </a:prstGeom>
                    <a:noFill/>
                    <a:ln>
                      <a:noFill/>
                    </a:ln>
                  </pic:spPr>
                </pic:pic>
              </a:graphicData>
            </a:graphic>
          </wp:inline>
        </w:drawing>
      </w:r>
      <w:r>
        <w:rPr>
          <w:rFonts w:hint="eastAsia" w:ascii="黑体" w:hAnsi="黑体" w:eastAsia="黑体" w:cs="黑体"/>
        </w:rPr>
        <w:t>——螺杆灌注桩单桩竖向抗拔承载力特征值；</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245745" cy="231775"/>
            <wp:effectExtent l="0" t="0" r="1905" b="0"/>
            <wp:docPr id="26" name="图片 26" descr="C:\Users\ADMINI~1\AppData\Local\Temp\ksohtml9220\wps2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26" descr="C:\Users\ADMINI~1\AppData\Local\Temp\ksohtml9220\wps22.png"/>
                    <pic:cNvPicPr>
                      <a:picLocks noChangeAspect="true" noChangeArrowheads="true"/>
                    </pic:cNvPicPr>
                  </pic:nvPicPr>
                  <pic:blipFill>
                    <a:blip r:embed="rId52">
                      <a:extLst>
                        <a:ext uri="{28A0092B-C50C-407E-A947-70E740481C1C}">
                          <a14:useLocalDpi xmlns:a14="http://schemas.microsoft.com/office/drawing/2010/main" val="false"/>
                        </a:ext>
                      </a:extLst>
                    </a:blip>
                    <a:srcRect/>
                    <a:stretch>
                      <a:fillRect/>
                    </a:stretch>
                  </pic:blipFill>
                  <pic:spPr>
                    <a:xfrm>
                      <a:off x="0" y="0"/>
                      <a:ext cx="245745" cy="231775"/>
                    </a:xfrm>
                    <a:prstGeom prst="rect">
                      <a:avLst/>
                    </a:prstGeom>
                    <a:noFill/>
                    <a:ln>
                      <a:noFill/>
                    </a:ln>
                  </pic:spPr>
                </pic:pic>
              </a:graphicData>
            </a:graphic>
          </wp:inline>
        </w:drawing>
      </w:r>
      <w:r>
        <w:rPr>
          <w:rFonts w:hint="eastAsia" w:ascii="黑体" w:hAnsi="黑体" w:eastAsia="黑体" w:cs="黑体"/>
        </w:rPr>
        <w:t>——螺杆灌注桩直杆段抗拔极限承载力标准值；</w:t>
      </w:r>
    </w:p>
    <w:p>
      <w:pPr>
        <w:autoSpaceDE w:val="0"/>
        <w:rPr>
          <w:rFonts w:ascii="黑体" w:hAnsi="黑体" w:eastAsia="黑体" w:cs="黑体"/>
        </w:rPr>
      </w:pPr>
      <w:r>
        <w:rPr>
          <w:rFonts w:hint="eastAsia" w:ascii="黑体" w:hAnsi="黑体" w:eastAsia="黑体" w:cs="黑体"/>
        </w:rPr>
        <w:t xml:space="preserve">    </w:t>
      </w:r>
      <w:r>
        <w:rPr>
          <w:rFonts w:hint="eastAsia" w:ascii="黑体" w:hAnsi="黑体" w:eastAsia="黑体" w:cs="黑体"/>
        </w:rPr>
        <w:drawing>
          <wp:inline distT="0" distB="0" distL="0" distR="0">
            <wp:extent cx="259080" cy="231775"/>
            <wp:effectExtent l="0" t="0" r="7620" b="0"/>
            <wp:docPr id="25" name="图片 25" descr="C:\Users\ADMINI~1\AppData\Local\Temp\ksohtml9220\wps23.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 name="图片 25" descr="C:\Users\ADMINI~1\AppData\Local\Temp\ksohtml9220\wps23.png"/>
                    <pic:cNvPicPr>
                      <a:picLocks noChangeAspect="true" noChangeArrowheads="true"/>
                    </pic:cNvPicPr>
                  </pic:nvPicPr>
                  <pic:blipFill>
                    <a:blip r:embed="rId53">
                      <a:extLst>
                        <a:ext uri="{28A0092B-C50C-407E-A947-70E740481C1C}">
                          <a14:useLocalDpi xmlns:a14="http://schemas.microsoft.com/office/drawing/2010/main" val="false"/>
                        </a:ext>
                      </a:extLst>
                    </a:blip>
                    <a:srcRect/>
                    <a:stretch>
                      <a:fillRect/>
                    </a:stretch>
                  </pic:blipFill>
                  <pic:spPr>
                    <a:xfrm>
                      <a:off x="0" y="0"/>
                      <a:ext cx="259080" cy="231775"/>
                    </a:xfrm>
                    <a:prstGeom prst="rect">
                      <a:avLst/>
                    </a:prstGeom>
                    <a:noFill/>
                    <a:ln>
                      <a:noFill/>
                    </a:ln>
                  </pic:spPr>
                </pic:pic>
              </a:graphicData>
            </a:graphic>
          </wp:inline>
        </w:drawing>
      </w:r>
      <w:r>
        <w:rPr>
          <w:rFonts w:hint="eastAsia" w:ascii="黑体" w:hAnsi="黑体" w:eastAsia="黑体" w:cs="黑体"/>
        </w:rPr>
        <w:t>——螺杆灌注桩螺纹段抗拔极限承载力标准值；</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259080" cy="231775"/>
            <wp:effectExtent l="0" t="0" r="7620" b="0"/>
            <wp:docPr id="24" name="图片 24" descr="C:\Users\ADMINI~1\AppData\Local\Temp\ksohtml9220\wps2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24" descr="C:\Users\ADMINI~1\AppData\Local\Temp\ksohtml9220\wps24.png"/>
                    <pic:cNvPicPr>
                      <a:picLocks noChangeAspect="true" noChangeArrowheads="true"/>
                    </pic:cNvPicPr>
                  </pic:nvPicPr>
                  <pic:blipFill>
                    <a:blip r:embed="rId54">
                      <a:extLst>
                        <a:ext uri="{28A0092B-C50C-407E-A947-70E740481C1C}">
                          <a14:useLocalDpi xmlns:a14="http://schemas.microsoft.com/office/drawing/2010/main" val="false"/>
                        </a:ext>
                      </a:extLst>
                    </a:blip>
                    <a:srcRect/>
                    <a:stretch>
                      <a:fillRect/>
                    </a:stretch>
                  </pic:blipFill>
                  <pic:spPr>
                    <a:xfrm>
                      <a:off x="0" y="0"/>
                      <a:ext cx="259080" cy="231775"/>
                    </a:xfrm>
                    <a:prstGeom prst="rect">
                      <a:avLst/>
                    </a:prstGeom>
                    <a:noFill/>
                    <a:ln>
                      <a:noFill/>
                    </a:ln>
                  </pic:spPr>
                </pic:pic>
              </a:graphicData>
            </a:graphic>
          </wp:inline>
        </w:drawing>
      </w:r>
      <w:r>
        <w:rPr>
          <w:rFonts w:hint="eastAsia" w:ascii="黑体" w:hAnsi="黑体" w:eastAsia="黑体" w:cs="黑体"/>
        </w:rPr>
        <w:t>——螺杆灌注桩扩大体段单桩抗拔极限承载力标准值。</w:t>
      </w:r>
    </w:p>
    <w:p>
      <w:pPr>
        <w:pStyle w:val="65"/>
        <w:spacing w:before="156" w:after="156"/>
        <w:rPr>
          <w:rFonts w:hAnsi="黑体" w:cs="黑体"/>
          <w:szCs w:val="21"/>
        </w:rPr>
      </w:pPr>
      <w:bookmarkStart w:id="83" w:name="_Toc124595532"/>
      <w:r>
        <w:rPr>
          <w:rFonts w:hint="eastAsia" w:hAnsi="黑体" w:cs="黑体"/>
          <w:szCs w:val="21"/>
        </w:rPr>
        <w:t>几何参数</w:t>
      </w:r>
      <w:bookmarkEnd w:id="83"/>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36525" cy="136525"/>
            <wp:effectExtent l="0" t="0" r="0" b="0"/>
            <wp:docPr id="23" name="图片 23" descr="C:\Users\ADMINI~1\AppData\Local\Temp\ksohtml9220\wps25.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23" descr="C:\Users\ADMINI~1\AppData\Local\Temp\ksohtml9220\wps25.png"/>
                    <pic:cNvPicPr>
                      <a:picLocks noChangeAspect="true" noChangeArrowheads="true"/>
                    </pic:cNvPicPr>
                  </pic:nvPicPr>
                  <pic:blipFill>
                    <a:blip r:embed="rId55">
                      <a:extLst>
                        <a:ext uri="{28A0092B-C50C-407E-A947-70E740481C1C}">
                          <a14:useLocalDpi xmlns:a14="http://schemas.microsoft.com/office/drawing/2010/main" val="false"/>
                        </a:ext>
                      </a:extLst>
                    </a:blip>
                    <a:srcRect/>
                    <a:stretch>
                      <a:fillRect/>
                    </a:stretch>
                  </pic:blipFill>
                  <pic:spPr>
                    <a:xfrm>
                      <a:off x="0" y="0"/>
                      <a:ext cx="136525" cy="136525"/>
                    </a:xfrm>
                    <a:prstGeom prst="rect">
                      <a:avLst/>
                    </a:prstGeom>
                    <a:noFill/>
                    <a:ln>
                      <a:noFill/>
                    </a:ln>
                  </pic:spPr>
                </pic:pic>
              </a:graphicData>
            </a:graphic>
          </wp:inline>
        </w:drawing>
      </w:r>
      <w:r>
        <w:rPr>
          <w:rFonts w:hint="eastAsia" w:ascii="黑体" w:hAnsi="黑体" w:eastAsia="黑体" w:cs="黑体"/>
        </w:rPr>
        <w:t>——桩身周长；</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245745" cy="259080"/>
            <wp:effectExtent l="0" t="0" r="1905" b="7620"/>
            <wp:docPr id="22" name="图片 22" descr="C:\Users\ADMINI~1\AppData\Local\Temp\ksohtml9220\wps26.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22" descr="C:\Users\ADMINI~1\AppData\Local\Temp\ksohtml9220\wps26.png"/>
                    <pic:cNvPicPr>
                      <a:picLocks noChangeAspect="true" noChangeArrowheads="true"/>
                    </pic:cNvPicPr>
                  </pic:nvPicPr>
                  <pic:blipFill>
                    <a:blip r:embed="rId56">
                      <a:extLst>
                        <a:ext uri="{28A0092B-C50C-407E-A947-70E740481C1C}">
                          <a14:useLocalDpi xmlns:a14="http://schemas.microsoft.com/office/drawing/2010/main" val="false"/>
                        </a:ext>
                      </a:extLst>
                    </a:blip>
                    <a:srcRect/>
                    <a:stretch>
                      <a:fillRect/>
                    </a:stretch>
                  </pic:blipFill>
                  <pic:spPr>
                    <a:xfrm>
                      <a:off x="0" y="0"/>
                      <a:ext cx="245745" cy="259080"/>
                    </a:xfrm>
                    <a:prstGeom prst="rect">
                      <a:avLst/>
                    </a:prstGeom>
                    <a:noFill/>
                    <a:ln>
                      <a:noFill/>
                    </a:ln>
                  </pic:spPr>
                </pic:pic>
              </a:graphicData>
            </a:graphic>
          </wp:inline>
        </w:drawing>
      </w:r>
      <w:r>
        <w:rPr>
          <w:rFonts w:hint="eastAsia" w:ascii="黑体" w:hAnsi="黑体" w:eastAsia="黑体" w:cs="黑体"/>
        </w:rPr>
        <w:t xml:space="preserve"> ——螺杆灌注桩直杆段横截面积；</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259080" cy="259080"/>
            <wp:effectExtent l="0" t="0" r="7620" b="7620"/>
            <wp:docPr id="21" name="图片 21" descr="C:\Users\ADMINI~1\AppData\Local\Temp\ksohtml9220\wps27.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21" descr="C:\Users\ADMINI~1\AppData\Local\Temp\ksohtml9220\wps27.png"/>
                    <pic:cNvPicPr>
                      <a:picLocks noChangeAspect="true" noChangeArrowheads="true"/>
                    </pic:cNvPicPr>
                  </pic:nvPicPr>
                  <pic:blipFill>
                    <a:blip r:embed="rId57">
                      <a:extLst>
                        <a:ext uri="{28A0092B-C50C-407E-A947-70E740481C1C}">
                          <a14:useLocalDpi xmlns:a14="http://schemas.microsoft.com/office/drawing/2010/main" val="false"/>
                        </a:ext>
                      </a:extLst>
                    </a:blip>
                    <a:srcRect/>
                    <a:stretch>
                      <a:fillRect/>
                    </a:stretch>
                  </pic:blipFill>
                  <pic:spPr>
                    <a:xfrm>
                      <a:off x="0" y="0"/>
                      <a:ext cx="259080" cy="259080"/>
                    </a:xfrm>
                    <a:prstGeom prst="rect">
                      <a:avLst/>
                    </a:prstGeom>
                    <a:noFill/>
                    <a:ln>
                      <a:noFill/>
                    </a:ln>
                  </pic:spPr>
                </pic:pic>
              </a:graphicData>
            </a:graphic>
          </wp:inline>
        </w:drawing>
      </w:r>
      <w:r>
        <w:rPr>
          <w:rFonts w:hint="eastAsia" w:ascii="黑体" w:hAnsi="黑体" w:eastAsia="黑体" w:cs="黑体"/>
        </w:rPr>
        <w:t xml:space="preserve"> ——螺杆灌注桩扩大体段横截面积；</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91135" cy="231775"/>
            <wp:effectExtent l="0" t="0" r="0" b="0"/>
            <wp:docPr id="20" name="图片 20" descr="C:\Users\ADMINI~1\AppData\Local\Temp\ksohtml9220\wps28.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20" descr="C:\Users\ADMINI~1\AppData\Local\Temp\ksohtml9220\wps28.png"/>
                    <pic:cNvPicPr>
                      <a:picLocks noChangeAspect="true" noChangeArrowheads="true"/>
                    </pic:cNvPicPr>
                  </pic:nvPicPr>
                  <pic:blipFill>
                    <a:blip r:embed="rId58">
                      <a:extLst>
                        <a:ext uri="{28A0092B-C50C-407E-A947-70E740481C1C}">
                          <a14:useLocalDpi xmlns:a14="http://schemas.microsoft.com/office/drawing/2010/main" val="false"/>
                        </a:ext>
                      </a:extLst>
                    </a:blip>
                    <a:srcRect/>
                    <a:stretch>
                      <a:fillRect/>
                    </a:stretch>
                  </pic:blipFill>
                  <pic:spPr>
                    <a:xfrm>
                      <a:off x="0" y="0"/>
                      <a:ext cx="191135" cy="231775"/>
                    </a:xfrm>
                    <a:prstGeom prst="rect">
                      <a:avLst/>
                    </a:prstGeom>
                    <a:noFill/>
                    <a:ln>
                      <a:noFill/>
                    </a:ln>
                  </pic:spPr>
                </pic:pic>
              </a:graphicData>
            </a:graphic>
          </wp:inline>
        </w:drawing>
      </w:r>
      <w:r>
        <w:rPr>
          <w:rFonts w:hint="eastAsia" w:ascii="黑体" w:hAnsi="黑体" w:eastAsia="黑体" w:cs="黑体"/>
        </w:rPr>
        <w:t xml:space="preserve"> ——螺杆灌注桩桩芯横截面积；</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91135" cy="231775"/>
            <wp:effectExtent l="0" t="0" r="0" b="0"/>
            <wp:docPr id="19" name="图片 19" descr="C:\Users\ADMINI~1\AppData\Local\Temp\ksohtml9220\wps29.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19" descr="C:\Users\ADMINI~1\AppData\Local\Temp\ksohtml9220\wps29.png"/>
                    <pic:cNvPicPr>
                      <a:picLocks noChangeAspect="true" noChangeArrowheads="true"/>
                    </pic:cNvPicPr>
                  </pic:nvPicPr>
                  <pic:blipFill>
                    <a:blip r:embed="rId59">
                      <a:extLst>
                        <a:ext uri="{28A0092B-C50C-407E-A947-70E740481C1C}">
                          <a14:useLocalDpi xmlns:a14="http://schemas.microsoft.com/office/drawing/2010/main" val="false"/>
                        </a:ext>
                      </a:extLst>
                    </a:blip>
                    <a:srcRect/>
                    <a:stretch>
                      <a:fillRect/>
                    </a:stretch>
                  </pic:blipFill>
                  <pic:spPr>
                    <a:xfrm>
                      <a:off x="0" y="0"/>
                      <a:ext cx="191135" cy="231775"/>
                    </a:xfrm>
                    <a:prstGeom prst="rect">
                      <a:avLst/>
                    </a:prstGeom>
                    <a:noFill/>
                    <a:ln>
                      <a:noFill/>
                    </a:ln>
                  </pic:spPr>
                </pic:pic>
              </a:graphicData>
            </a:graphic>
          </wp:inline>
        </w:drawing>
      </w:r>
      <w:r>
        <w:rPr>
          <w:rFonts w:hint="eastAsia" w:ascii="黑体" w:hAnsi="黑体" w:eastAsia="黑体" w:cs="黑体"/>
        </w:rPr>
        <w:t xml:space="preserve"> ——纵向主筋截面面积；</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36525" cy="177165"/>
            <wp:effectExtent l="0" t="0" r="0" b="0"/>
            <wp:docPr id="18" name="图片 18" descr="C:\Users\ADMINI~1\AppData\Local\Temp\ksohtml9220\wps30.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18" descr="C:\Users\ADMINI~1\AppData\Local\Temp\ksohtml9220\wps30.png"/>
                    <pic:cNvPicPr>
                      <a:picLocks noChangeAspect="true" noChangeArrowheads="true"/>
                    </pic:cNvPicPr>
                  </pic:nvPicPr>
                  <pic:blipFill>
                    <a:blip r:embed="rId60">
                      <a:extLst>
                        <a:ext uri="{28A0092B-C50C-407E-A947-70E740481C1C}">
                          <a14:useLocalDpi xmlns:a14="http://schemas.microsoft.com/office/drawing/2010/main" val="false"/>
                        </a:ext>
                      </a:extLst>
                    </a:blip>
                    <a:srcRect/>
                    <a:stretch>
                      <a:fillRect/>
                    </a:stretch>
                  </pic:blipFill>
                  <pic:spPr>
                    <a:xfrm>
                      <a:off x="0" y="0"/>
                      <a:ext cx="136525" cy="177165"/>
                    </a:xfrm>
                    <a:prstGeom prst="rect">
                      <a:avLst/>
                    </a:prstGeom>
                    <a:noFill/>
                    <a:ln>
                      <a:noFill/>
                    </a:ln>
                  </pic:spPr>
                </pic:pic>
              </a:graphicData>
            </a:graphic>
          </wp:inline>
        </w:drawing>
      </w:r>
      <w:r>
        <w:rPr>
          <w:rFonts w:hint="eastAsia" w:ascii="黑体" w:hAnsi="黑体" w:eastAsia="黑体" w:cs="黑体"/>
        </w:rPr>
        <w:t xml:space="preserve"> ——基础埋置深度；</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77165" cy="218440"/>
            <wp:effectExtent l="0" t="0" r="0" b="0"/>
            <wp:docPr id="17" name="图片 17" descr="C:\Users\ADMINI~1\AppData\Local\Temp\ksohtml9220\wps3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17" descr="C:\Users\ADMINI~1\AppData\Local\Temp\ksohtml9220\wps31.png"/>
                    <pic:cNvPicPr>
                      <a:picLocks noChangeAspect="true" noChangeArrowheads="true"/>
                    </pic:cNvPicPr>
                  </pic:nvPicPr>
                  <pic:blipFill>
                    <a:blip r:embed="rId61">
                      <a:extLst>
                        <a:ext uri="{28A0092B-C50C-407E-A947-70E740481C1C}">
                          <a14:useLocalDpi xmlns:a14="http://schemas.microsoft.com/office/drawing/2010/main" val="false"/>
                        </a:ext>
                      </a:extLst>
                    </a:blip>
                    <a:srcRect/>
                    <a:stretch>
                      <a:fillRect/>
                    </a:stretch>
                  </pic:blipFill>
                  <pic:spPr>
                    <a:xfrm>
                      <a:off x="0" y="0"/>
                      <a:ext cx="177165" cy="218440"/>
                    </a:xfrm>
                    <a:prstGeom prst="rect">
                      <a:avLst/>
                    </a:prstGeom>
                    <a:noFill/>
                    <a:ln>
                      <a:noFill/>
                    </a:ln>
                  </pic:spPr>
                </pic:pic>
              </a:graphicData>
            </a:graphic>
          </wp:inline>
        </w:drawing>
      </w:r>
      <w:r>
        <w:rPr>
          <w:rFonts w:hint="eastAsia" w:ascii="黑体" w:hAnsi="黑体" w:eastAsia="黑体" w:cs="黑体"/>
        </w:rPr>
        <w:t xml:space="preserve"> ——螺杆灌注桩桩外径；</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77165" cy="231775"/>
            <wp:effectExtent l="0" t="0" r="0" b="0"/>
            <wp:docPr id="16" name="图片 16" descr="C:\Users\ADMINI~1\AppData\Local\Temp\ksohtml9220\wps3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16" descr="C:\Users\ADMINI~1\AppData\Local\Temp\ksohtml9220\wps32.png"/>
                    <pic:cNvPicPr>
                      <a:picLocks noChangeAspect="true" noChangeArrowheads="true"/>
                    </pic:cNvPicPr>
                  </pic:nvPicPr>
                  <pic:blipFill>
                    <a:blip r:embed="rId62">
                      <a:extLst>
                        <a:ext uri="{28A0092B-C50C-407E-A947-70E740481C1C}">
                          <a14:useLocalDpi xmlns:a14="http://schemas.microsoft.com/office/drawing/2010/main" val="false"/>
                        </a:ext>
                      </a:extLst>
                    </a:blip>
                    <a:srcRect/>
                    <a:stretch>
                      <a:fillRect/>
                    </a:stretch>
                  </pic:blipFill>
                  <pic:spPr>
                    <a:xfrm>
                      <a:off x="0" y="0"/>
                      <a:ext cx="177165" cy="231775"/>
                    </a:xfrm>
                    <a:prstGeom prst="rect">
                      <a:avLst/>
                    </a:prstGeom>
                    <a:noFill/>
                    <a:ln>
                      <a:noFill/>
                    </a:ln>
                  </pic:spPr>
                </pic:pic>
              </a:graphicData>
            </a:graphic>
          </wp:inline>
        </w:drawing>
      </w:r>
      <w:r>
        <w:rPr>
          <w:rFonts w:hint="eastAsia" w:ascii="黑体" w:hAnsi="黑体" w:eastAsia="黑体" w:cs="黑体"/>
        </w:rPr>
        <w:t xml:space="preserve"> ——螺杆灌注桩桩内径；</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77165" cy="218440"/>
            <wp:effectExtent l="0" t="0" r="0" b="0"/>
            <wp:docPr id="15" name="图片 15" descr="C:\Users\ADMINI~1\AppData\Local\Temp\ksohtml9220\wps33.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5" descr="C:\Users\ADMINI~1\AppData\Local\Temp\ksohtml9220\wps33.png"/>
                    <pic:cNvPicPr>
                      <a:picLocks noChangeAspect="true" noChangeArrowheads="true"/>
                    </pic:cNvPicPr>
                  </pic:nvPicPr>
                  <pic:blipFill>
                    <a:blip r:embed="rId63">
                      <a:extLst>
                        <a:ext uri="{28A0092B-C50C-407E-A947-70E740481C1C}">
                          <a14:useLocalDpi xmlns:a14="http://schemas.microsoft.com/office/drawing/2010/main" val="false"/>
                        </a:ext>
                      </a:extLst>
                    </a:blip>
                    <a:srcRect/>
                    <a:stretch>
                      <a:fillRect/>
                    </a:stretch>
                  </pic:blipFill>
                  <pic:spPr>
                    <a:xfrm>
                      <a:off x="0" y="0"/>
                      <a:ext cx="177165" cy="218440"/>
                    </a:xfrm>
                    <a:prstGeom prst="rect">
                      <a:avLst/>
                    </a:prstGeom>
                    <a:noFill/>
                    <a:ln>
                      <a:noFill/>
                    </a:ln>
                  </pic:spPr>
                </pic:pic>
              </a:graphicData>
            </a:graphic>
          </wp:inline>
        </w:drawing>
      </w:r>
      <w:r>
        <w:rPr>
          <w:rFonts w:hint="eastAsia" w:ascii="黑体" w:hAnsi="黑体" w:eastAsia="黑体" w:cs="黑体"/>
        </w:rPr>
        <w:t xml:space="preserve"> ——螺杆灌注桩桩扩大体外径；</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77165" cy="231775"/>
            <wp:effectExtent l="0" t="0" r="0" b="0"/>
            <wp:docPr id="14" name="图片 14" descr="C:\Users\ADMINI~1\AppData\Local\Temp\ksohtml9220\wps3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14" descr="C:\Users\ADMINI~1\AppData\Local\Temp\ksohtml9220\wps34.png"/>
                    <pic:cNvPicPr>
                      <a:picLocks noChangeAspect="true" noChangeArrowheads="true"/>
                    </pic:cNvPicPr>
                  </pic:nvPicPr>
                  <pic:blipFill>
                    <a:blip r:embed="rId64">
                      <a:extLst>
                        <a:ext uri="{28A0092B-C50C-407E-A947-70E740481C1C}">
                          <a14:useLocalDpi xmlns:a14="http://schemas.microsoft.com/office/drawing/2010/main" val="false"/>
                        </a:ext>
                      </a:extLst>
                    </a:blip>
                    <a:srcRect/>
                    <a:stretch>
                      <a:fillRect/>
                    </a:stretch>
                  </pic:blipFill>
                  <pic:spPr>
                    <a:xfrm>
                      <a:off x="0" y="0"/>
                      <a:ext cx="177165" cy="231775"/>
                    </a:xfrm>
                    <a:prstGeom prst="rect">
                      <a:avLst/>
                    </a:prstGeom>
                    <a:noFill/>
                    <a:ln>
                      <a:noFill/>
                    </a:ln>
                  </pic:spPr>
                </pic:pic>
              </a:graphicData>
            </a:graphic>
          </wp:inline>
        </w:drawing>
      </w:r>
      <w:r>
        <w:rPr>
          <w:rFonts w:hint="eastAsia" w:ascii="黑体" w:hAnsi="黑体" w:eastAsia="黑体" w:cs="黑体"/>
        </w:rPr>
        <w:t xml:space="preserve"> ——一根桩分担的处理地基面积的等效圆直径；</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09220" cy="231775"/>
            <wp:effectExtent l="0" t="0" r="5080" b="0"/>
            <wp:docPr id="13" name="图片 13" descr="C:\Users\ADMINI~1\AppData\Local\Temp\ksohtml9220\wps35.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3" descr="C:\Users\ADMINI~1\AppData\Local\Temp\ksohtml9220\wps35.png"/>
                    <pic:cNvPicPr>
                      <a:picLocks noChangeAspect="true" noChangeArrowheads="true"/>
                    </pic:cNvPicPr>
                  </pic:nvPicPr>
                  <pic:blipFill>
                    <a:blip r:embed="rId65">
                      <a:extLst>
                        <a:ext uri="{28A0092B-C50C-407E-A947-70E740481C1C}">
                          <a14:useLocalDpi xmlns:a14="http://schemas.microsoft.com/office/drawing/2010/main" val="false"/>
                        </a:ext>
                      </a:extLst>
                    </a:blip>
                    <a:srcRect/>
                    <a:stretch>
                      <a:fillRect/>
                    </a:stretch>
                  </pic:blipFill>
                  <pic:spPr>
                    <a:xfrm>
                      <a:off x="0" y="0"/>
                      <a:ext cx="109220" cy="231775"/>
                    </a:xfrm>
                    <a:prstGeom prst="rect">
                      <a:avLst/>
                    </a:prstGeom>
                    <a:noFill/>
                    <a:ln>
                      <a:noFill/>
                    </a:ln>
                  </pic:spPr>
                </pic:pic>
              </a:graphicData>
            </a:graphic>
          </wp:inline>
        </w:drawing>
      </w:r>
      <w:r>
        <w:rPr>
          <w:rFonts w:hint="eastAsia" w:ascii="黑体" w:hAnsi="黑体" w:eastAsia="黑体" w:cs="黑体"/>
        </w:rPr>
        <w:t>——桩长范围内第i层土的厚度。</w:t>
      </w:r>
    </w:p>
    <w:p>
      <w:pPr>
        <w:pStyle w:val="65"/>
        <w:spacing w:before="156" w:after="156"/>
        <w:rPr>
          <w:rFonts w:hAnsi="黑体" w:cs="黑体"/>
          <w:szCs w:val="21"/>
        </w:rPr>
      </w:pPr>
      <w:bookmarkStart w:id="84" w:name="_Toc124595533"/>
      <w:r>
        <w:rPr>
          <w:rFonts w:hint="eastAsia" w:hAnsi="黑体" w:cs="黑体"/>
          <w:szCs w:val="21"/>
        </w:rPr>
        <w:t>计算系数</w:t>
      </w:r>
      <w:bookmarkEnd w:id="84"/>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77165" cy="231775"/>
            <wp:effectExtent l="0" t="0" r="0" b="0"/>
            <wp:docPr id="12" name="图片 12" descr="C:\Users\ADMINI~1\AppData\Local\Temp\ksohtml9220\wps36.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12" descr="C:\Users\ADMINI~1\AppData\Local\Temp\ksohtml9220\wps36.png"/>
                    <pic:cNvPicPr>
                      <a:picLocks noChangeAspect="true" noChangeArrowheads="true"/>
                    </pic:cNvPicPr>
                  </pic:nvPicPr>
                  <pic:blipFill>
                    <a:blip r:embed="rId66">
                      <a:extLst>
                        <a:ext uri="{28A0092B-C50C-407E-A947-70E740481C1C}">
                          <a14:useLocalDpi xmlns:a14="http://schemas.microsoft.com/office/drawing/2010/main" val="false"/>
                        </a:ext>
                      </a:extLst>
                    </a:blip>
                    <a:srcRect/>
                    <a:stretch>
                      <a:fillRect/>
                    </a:stretch>
                  </pic:blipFill>
                  <pic:spPr>
                    <a:xfrm>
                      <a:off x="0" y="0"/>
                      <a:ext cx="177165" cy="231775"/>
                    </a:xfrm>
                    <a:prstGeom prst="rect">
                      <a:avLst/>
                    </a:prstGeom>
                    <a:noFill/>
                    <a:ln>
                      <a:noFill/>
                    </a:ln>
                  </pic:spPr>
                </pic:pic>
              </a:graphicData>
            </a:graphic>
          </wp:inline>
        </w:drawing>
      </w:r>
      <w:r>
        <w:rPr>
          <w:rFonts w:hint="eastAsia" w:ascii="黑体" w:hAnsi="黑体" w:eastAsia="黑体" w:cs="黑体"/>
        </w:rPr>
        <w:t>——直杆段第i层土的极限侧阻力的提高系数；</w:t>
      </w:r>
    </w:p>
    <w:p>
      <w:pPr>
        <w:autoSpaceDE w:val="0"/>
        <w:ind w:left="1050" w:leftChars="200" w:hanging="630" w:hangingChars="300"/>
        <w:rPr>
          <w:rFonts w:ascii="黑体" w:hAnsi="黑体" w:eastAsia="黑体" w:cs="黑体"/>
        </w:rPr>
      </w:pPr>
      <w:r>
        <w:rPr>
          <w:rFonts w:hint="eastAsia" w:ascii="黑体" w:hAnsi="黑体" w:eastAsia="黑体" w:cs="黑体"/>
        </w:rPr>
        <w:drawing>
          <wp:inline distT="0" distB="0" distL="0" distR="0">
            <wp:extent cx="177165" cy="231775"/>
            <wp:effectExtent l="0" t="0" r="0" b="0"/>
            <wp:docPr id="11" name="图片 11" descr="C:\Users\ADMINI~1\AppData\Local\Temp\ksohtml9220\wps37.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1" descr="C:\Users\ADMINI~1\AppData\Local\Temp\ksohtml9220\wps37.png"/>
                    <pic:cNvPicPr>
                      <a:picLocks noChangeAspect="true" noChangeArrowheads="true"/>
                    </pic:cNvPicPr>
                  </pic:nvPicPr>
                  <pic:blipFill>
                    <a:blip r:embed="rId67">
                      <a:extLst>
                        <a:ext uri="{28A0092B-C50C-407E-A947-70E740481C1C}">
                          <a14:useLocalDpi xmlns:a14="http://schemas.microsoft.com/office/drawing/2010/main" val="false"/>
                        </a:ext>
                      </a:extLst>
                    </a:blip>
                    <a:srcRect/>
                    <a:stretch>
                      <a:fillRect/>
                    </a:stretch>
                  </pic:blipFill>
                  <pic:spPr>
                    <a:xfrm>
                      <a:off x="0" y="0"/>
                      <a:ext cx="177165" cy="231775"/>
                    </a:xfrm>
                    <a:prstGeom prst="rect">
                      <a:avLst/>
                    </a:prstGeom>
                    <a:noFill/>
                    <a:ln>
                      <a:noFill/>
                    </a:ln>
                  </pic:spPr>
                </pic:pic>
              </a:graphicData>
            </a:graphic>
          </wp:inline>
        </w:drawing>
      </w:r>
      <w:r>
        <w:rPr>
          <w:rFonts w:hint="eastAsia" w:ascii="黑体" w:hAnsi="黑体" w:eastAsia="黑体" w:cs="黑体"/>
        </w:rPr>
        <w:t>——螺纹段与扩大体段第i层土的极限侧阻力的提高系数；</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77165" cy="177165"/>
            <wp:effectExtent l="0" t="0" r="0" b="0"/>
            <wp:docPr id="10" name="图片 10" descr="C:\Users\ADMINI~1\AppData\Local\Temp\ksohtml9220\wps38.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descr="C:\Users\ADMINI~1\AppData\Local\Temp\ksohtml9220\wps38.png"/>
                    <pic:cNvPicPr>
                      <a:picLocks noChangeAspect="true" noChangeArrowheads="true"/>
                    </pic:cNvPicPr>
                  </pic:nvPicPr>
                  <pic:blipFill>
                    <a:blip r:embed="rId68">
                      <a:extLst>
                        <a:ext uri="{28A0092B-C50C-407E-A947-70E740481C1C}">
                          <a14:useLocalDpi xmlns:a14="http://schemas.microsoft.com/office/drawing/2010/main" val="false"/>
                        </a:ext>
                      </a:extLst>
                    </a:blip>
                    <a:srcRect/>
                    <a:stretch>
                      <a:fillRect/>
                    </a:stretch>
                  </pic:blipFill>
                  <pic:spPr>
                    <a:xfrm>
                      <a:off x="0" y="0"/>
                      <a:ext cx="177165" cy="177165"/>
                    </a:xfrm>
                    <a:prstGeom prst="rect">
                      <a:avLst/>
                    </a:prstGeom>
                    <a:noFill/>
                    <a:ln>
                      <a:noFill/>
                    </a:ln>
                  </pic:spPr>
                </pic:pic>
              </a:graphicData>
            </a:graphic>
          </wp:inline>
        </w:drawing>
      </w:r>
      <w:r>
        <w:rPr>
          <w:rFonts w:hint="eastAsia" w:ascii="黑体" w:hAnsi="黑体" w:eastAsia="黑体" w:cs="黑体"/>
        </w:rPr>
        <w:t>——安全系数</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36525" cy="177165"/>
            <wp:effectExtent l="0" t="0" r="0" b="0"/>
            <wp:docPr id="9" name="图片 9" descr="C:\Users\ADMINI~1\AppData\Local\Temp\ksohtml9220\wps39.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descr="C:\Users\ADMINI~1\AppData\Local\Temp\ksohtml9220\wps39.png"/>
                    <pic:cNvPicPr>
                      <a:picLocks noChangeAspect="true" noChangeArrowheads="true"/>
                    </pic:cNvPicPr>
                  </pic:nvPicPr>
                  <pic:blipFill>
                    <a:blip r:embed="rId69">
                      <a:extLst>
                        <a:ext uri="{28A0092B-C50C-407E-A947-70E740481C1C}">
                          <a14:useLocalDpi xmlns:a14="http://schemas.microsoft.com/office/drawing/2010/main" val="false"/>
                        </a:ext>
                      </a:extLst>
                    </a:blip>
                    <a:srcRect/>
                    <a:stretch>
                      <a:fillRect/>
                    </a:stretch>
                  </pic:blipFill>
                  <pic:spPr>
                    <a:xfrm>
                      <a:off x="0" y="0"/>
                      <a:ext cx="136525" cy="177165"/>
                    </a:xfrm>
                    <a:prstGeom prst="rect">
                      <a:avLst/>
                    </a:prstGeom>
                    <a:noFill/>
                    <a:ln>
                      <a:noFill/>
                    </a:ln>
                  </pic:spPr>
                </pic:pic>
              </a:graphicData>
            </a:graphic>
          </wp:inline>
        </w:drawing>
      </w:r>
      <w:r>
        <w:rPr>
          <w:rFonts w:hint="eastAsia" w:ascii="黑体" w:hAnsi="黑体" w:eastAsia="黑体" w:cs="黑体"/>
        </w:rPr>
        <w:t>——抗拔系数；</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77165" cy="136525"/>
            <wp:effectExtent l="0" t="0" r="0" b="0"/>
            <wp:docPr id="8" name="图片 8" descr="C:\Users\ADMINI~1\AppData\Local\Temp\ksohtml9220\wps40.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descr="C:\Users\ADMINI~1\AppData\Local\Temp\ksohtml9220\wps40.png"/>
                    <pic:cNvPicPr>
                      <a:picLocks noChangeAspect="true" noChangeArrowheads="true"/>
                    </pic:cNvPicPr>
                  </pic:nvPicPr>
                  <pic:blipFill>
                    <a:blip r:embed="rId70">
                      <a:extLst>
                        <a:ext uri="{28A0092B-C50C-407E-A947-70E740481C1C}">
                          <a14:useLocalDpi xmlns:a14="http://schemas.microsoft.com/office/drawing/2010/main" val="false"/>
                        </a:ext>
                      </a:extLst>
                    </a:blip>
                    <a:srcRect/>
                    <a:stretch>
                      <a:fillRect/>
                    </a:stretch>
                  </pic:blipFill>
                  <pic:spPr>
                    <a:xfrm>
                      <a:off x="0" y="0"/>
                      <a:ext cx="177165" cy="136525"/>
                    </a:xfrm>
                    <a:prstGeom prst="rect">
                      <a:avLst/>
                    </a:prstGeom>
                    <a:noFill/>
                    <a:ln>
                      <a:noFill/>
                    </a:ln>
                  </pic:spPr>
                </pic:pic>
              </a:graphicData>
            </a:graphic>
          </wp:inline>
        </w:drawing>
      </w:r>
      <w:r>
        <w:rPr>
          <w:rFonts w:hint="eastAsia" w:ascii="黑体" w:hAnsi="黑体" w:eastAsia="黑体" w:cs="黑体"/>
        </w:rPr>
        <w:t>——面积置换率；</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49860" cy="204470"/>
            <wp:effectExtent l="0" t="0" r="2540" b="5080"/>
            <wp:docPr id="7" name="图片 7" descr="C:\Users\ADMINI~1\AppData\Local\Temp\ksohtml9220\wps4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descr="C:\Users\ADMINI~1\AppData\Local\Temp\ksohtml9220\wps41.png"/>
                    <pic:cNvPicPr>
                      <a:picLocks noChangeAspect="true" noChangeArrowheads="true"/>
                    </pic:cNvPicPr>
                  </pic:nvPicPr>
                  <pic:blipFill>
                    <a:blip r:embed="rId71">
                      <a:extLst>
                        <a:ext uri="{28A0092B-C50C-407E-A947-70E740481C1C}">
                          <a14:useLocalDpi xmlns:a14="http://schemas.microsoft.com/office/drawing/2010/main" val="false"/>
                        </a:ext>
                      </a:extLst>
                    </a:blip>
                    <a:srcRect/>
                    <a:stretch>
                      <a:fillRect/>
                    </a:stretch>
                  </pic:blipFill>
                  <pic:spPr>
                    <a:xfrm>
                      <a:off x="0" y="0"/>
                      <a:ext cx="149860" cy="204470"/>
                    </a:xfrm>
                    <a:prstGeom prst="rect">
                      <a:avLst/>
                    </a:prstGeom>
                    <a:noFill/>
                    <a:ln>
                      <a:noFill/>
                    </a:ln>
                  </pic:spPr>
                </pic:pic>
              </a:graphicData>
            </a:graphic>
          </wp:inline>
        </w:drawing>
      </w:r>
      <w:r>
        <w:rPr>
          <w:rFonts w:hint="eastAsia" w:ascii="黑体" w:hAnsi="黑体" w:eastAsia="黑体" w:cs="黑体"/>
        </w:rPr>
        <w:t>——桩间土承载力发挥系数；</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77165" cy="231775"/>
            <wp:effectExtent l="0" t="0" r="0" b="0"/>
            <wp:docPr id="6" name="图片 6" descr="C:\Users\ADMINI~1\AppData\Local\Temp\ksohtml9220\wps4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C:\Users\ADMINI~1\AppData\Local\Temp\ksohtml9220\wps42.png"/>
                    <pic:cNvPicPr>
                      <a:picLocks noChangeAspect="true" noChangeArrowheads="true"/>
                    </pic:cNvPicPr>
                  </pic:nvPicPr>
                  <pic:blipFill>
                    <a:blip r:embed="rId72">
                      <a:extLst>
                        <a:ext uri="{28A0092B-C50C-407E-A947-70E740481C1C}">
                          <a14:useLocalDpi xmlns:a14="http://schemas.microsoft.com/office/drawing/2010/main" val="false"/>
                        </a:ext>
                      </a:extLst>
                    </a:blip>
                    <a:srcRect/>
                    <a:stretch>
                      <a:fillRect/>
                    </a:stretch>
                  </pic:blipFill>
                  <pic:spPr>
                    <a:xfrm>
                      <a:off x="0" y="0"/>
                      <a:ext cx="177165" cy="231775"/>
                    </a:xfrm>
                    <a:prstGeom prst="rect">
                      <a:avLst/>
                    </a:prstGeom>
                    <a:noFill/>
                    <a:ln>
                      <a:noFill/>
                    </a:ln>
                  </pic:spPr>
                </pic:pic>
              </a:graphicData>
            </a:graphic>
          </wp:inline>
        </w:drawing>
      </w:r>
      <w:r>
        <w:rPr>
          <w:rFonts w:hint="eastAsia" w:ascii="黑体" w:hAnsi="黑体" w:eastAsia="黑体" w:cs="黑体"/>
        </w:rPr>
        <w:t>——基础底面以上土的加权平均重度；</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91135" cy="231775"/>
            <wp:effectExtent l="0" t="0" r="0" b="0"/>
            <wp:docPr id="4" name="图片 4" descr="C:\Users\ADMINI~1\AppData\Local\Temp\ksohtml9220\wps43.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C:\Users\ADMINI~1\AppData\Local\Temp\ksohtml9220\wps43.png"/>
                    <pic:cNvPicPr>
                      <a:picLocks noChangeAspect="true" noChangeArrowheads="true"/>
                    </pic:cNvPicPr>
                  </pic:nvPicPr>
                  <pic:blipFill>
                    <a:blip r:embed="rId73">
                      <a:extLst>
                        <a:ext uri="{28A0092B-C50C-407E-A947-70E740481C1C}">
                          <a14:useLocalDpi xmlns:a14="http://schemas.microsoft.com/office/drawing/2010/main" val="false"/>
                        </a:ext>
                      </a:extLst>
                    </a:blip>
                    <a:srcRect/>
                    <a:stretch>
                      <a:fillRect/>
                    </a:stretch>
                  </pic:blipFill>
                  <pic:spPr>
                    <a:xfrm>
                      <a:off x="0" y="0"/>
                      <a:ext cx="191135" cy="231775"/>
                    </a:xfrm>
                    <a:prstGeom prst="rect">
                      <a:avLst/>
                    </a:prstGeom>
                    <a:noFill/>
                    <a:ln>
                      <a:noFill/>
                    </a:ln>
                  </pic:spPr>
                </pic:pic>
              </a:graphicData>
            </a:graphic>
          </wp:inline>
        </w:drawing>
      </w:r>
      <w:r>
        <w:rPr>
          <w:rFonts w:hint="eastAsia" w:ascii="黑体" w:hAnsi="黑体" w:eastAsia="黑体" w:cs="黑体"/>
        </w:rPr>
        <w:t>——成桩工艺系数；</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49860" cy="231775"/>
            <wp:effectExtent l="0" t="0" r="2540" b="0"/>
            <wp:docPr id="2" name="图片 2" descr="C:\Users\ADMINI~1\AppData\Local\Temp\ksohtml9220\wps4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C:\Users\ADMINI~1\AppData\Local\Temp\ksohtml9220\wps44.png"/>
                    <pic:cNvPicPr>
                      <a:picLocks noChangeAspect="true" noChangeArrowheads="true"/>
                    </pic:cNvPicPr>
                  </pic:nvPicPr>
                  <pic:blipFill>
                    <a:blip r:embed="rId74">
                      <a:extLst>
                        <a:ext uri="{28A0092B-C50C-407E-A947-70E740481C1C}">
                          <a14:useLocalDpi xmlns:a14="http://schemas.microsoft.com/office/drawing/2010/main" val="false"/>
                        </a:ext>
                      </a:extLst>
                    </a:blip>
                    <a:srcRect/>
                    <a:stretch>
                      <a:fillRect/>
                    </a:stretch>
                  </pic:blipFill>
                  <pic:spPr>
                    <a:xfrm>
                      <a:off x="0" y="0"/>
                      <a:ext cx="149860" cy="231775"/>
                    </a:xfrm>
                    <a:prstGeom prst="rect">
                      <a:avLst/>
                    </a:prstGeom>
                    <a:noFill/>
                    <a:ln>
                      <a:noFill/>
                    </a:ln>
                  </pic:spPr>
                </pic:pic>
              </a:graphicData>
            </a:graphic>
          </wp:inline>
        </w:drawing>
      </w:r>
      <w:r>
        <w:rPr>
          <w:rFonts w:hint="eastAsia" w:ascii="黑体" w:hAnsi="黑体" w:eastAsia="黑体" w:cs="黑体"/>
        </w:rPr>
        <w:t xml:space="preserve"> ——单桩承载力发挥系数；</w:t>
      </w:r>
    </w:p>
    <w:p>
      <w:pPr>
        <w:autoSpaceDE w:val="0"/>
        <w:ind w:firstLine="420" w:firstLineChars="200"/>
        <w:rPr>
          <w:rFonts w:ascii="黑体" w:hAnsi="黑体" w:eastAsia="黑体" w:cs="黑体"/>
        </w:rPr>
      </w:pPr>
      <w:r>
        <w:rPr>
          <w:rFonts w:hint="eastAsia" w:ascii="黑体" w:hAnsi="黑体" w:eastAsia="黑体" w:cs="黑体"/>
        </w:rPr>
        <w:drawing>
          <wp:inline distT="0" distB="0" distL="0" distR="0">
            <wp:extent cx="177165" cy="218440"/>
            <wp:effectExtent l="0" t="0" r="0" b="0"/>
            <wp:docPr id="1" name="图片 1" descr="C:\Users\ADMINI~1\AppData\Local\Temp\ksohtml9220\wps45.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ksohtml9220\wps45.png"/>
                    <pic:cNvPicPr>
                      <a:picLocks noChangeAspect="true" noChangeArrowheads="true"/>
                    </pic:cNvPicPr>
                  </pic:nvPicPr>
                  <pic:blipFill>
                    <a:blip r:embed="rId75">
                      <a:extLst>
                        <a:ext uri="{28A0092B-C50C-407E-A947-70E740481C1C}">
                          <a14:useLocalDpi xmlns:a14="http://schemas.microsoft.com/office/drawing/2010/main" val="false"/>
                        </a:ext>
                      </a:extLst>
                    </a:blip>
                    <a:srcRect/>
                    <a:stretch>
                      <a:fillRect/>
                    </a:stretch>
                  </pic:blipFill>
                  <pic:spPr>
                    <a:xfrm>
                      <a:off x="0" y="0"/>
                      <a:ext cx="177165" cy="218440"/>
                    </a:xfrm>
                    <a:prstGeom prst="rect">
                      <a:avLst/>
                    </a:prstGeom>
                    <a:noFill/>
                    <a:ln>
                      <a:noFill/>
                    </a:ln>
                  </pic:spPr>
                </pic:pic>
              </a:graphicData>
            </a:graphic>
          </wp:inline>
        </w:drawing>
      </w:r>
      <w:r>
        <w:rPr>
          <w:rFonts w:hint="eastAsia" w:ascii="黑体" w:hAnsi="黑体" w:eastAsia="黑体" w:cs="黑体"/>
        </w:rPr>
        <w:t>——嵌岩段侧阻和端阻综合系数；</w:t>
      </w:r>
    </w:p>
    <w:p>
      <w:pPr>
        <w:autoSpaceDE w:val="0"/>
        <w:ind w:firstLine="420" w:firstLineChars="200"/>
        <w:rPr>
          <w:rFonts w:ascii="黑体" w:hAnsi="黑体" w:eastAsia="黑体" w:cs="黑体"/>
        </w:rPr>
      </w:pPr>
      <w:r>
        <w:rPr>
          <w:rFonts w:hint="eastAsia" w:ascii="黑体" w:hAnsi="黑体" w:eastAsia="黑体" w:cs="黑体"/>
          <w:i/>
          <w:iCs/>
          <w:kern w:val="0"/>
        </w:rPr>
        <w:t>y l</w:t>
      </w:r>
      <w:r>
        <w:rPr>
          <w:rFonts w:hint="eastAsia" w:ascii="黑体" w:hAnsi="黑体" w:eastAsia="黑体" w:cs="黑体"/>
        </w:rPr>
        <w:t>——土层液化影响折减影响系数。</w:t>
      </w:r>
    </w:p>
    <w:p>
      <w:pPr>
        <w:pStyle w:val="104"/>
        <w:spacing w:before="312" w:after="312"/>
        <w:rPr>
          <w:rFonts w:hAnsi="黑体" w:cs="黑体"/>
          <w:szCs w:val="21"/>
        </w:rPr>
      </w:pPr>
      <w:r>
        <w:rPr>
          <w:rFonts w:hint="eastAsia" w:hAnsi="黑体" w:cs="黑体"/>
          <w:szCs w:val="21"/>
        </w:rPr>
        <w:t xml:space="preserve"> </w:t>
      </w:r>
      <w:bookmarkStart w:id="85" w:name="_Toc14688"/>
      <w:bookmarkStart w:id="86" w:name="_Toc124595534"/>
      <w:r>
        <w:rPr>
          <w:rFonts w:hint="eastAsia" w:hAnsi="黑体" w:cs="黑体"/>
          <w:szCs w:val="21"/>
        </w:rPr>
        <w:t>基本规定</w:t>
      </w:r>
      <w:bookmarkEnd w:id="85"/>
      <w:bookmarkEnd w:id="86"/>
    </w:p>
    <w:p>
      <w:pPr>
        <w:pStyle w:val="105"/>
        <w:spacing w:before="156" w:after="156"/>
        <w:rPr>
          <w:rFonts w:hAnsi="黑体" w:cs="黑体"/>
          <w:szCs w:val="21"/>
        </w:rPr>
      </w:pPr>
      <w:bookmarkStart w:id="87" w:name="_Toc124595535"/>
      <w:bookmarkStart w:id="88" w:name="_Toc25706"/>
      <w:bookmarkStart w:id="89" w:name="_Toc124595595"/>
      <w:r>
        <w:rPr>
          <w:rFonts w:hint="eastAsia" w:hAnsi="黑体" w:cs="黑体"/>
          <w:szCs w:val="21"/>
        </w:rPr>
        <w:t>螺杆灌注桩的设计应满足承载力、变形、稳定性和耐久性要求。</w:t>
      </w:r>
      <w:bookmarkEnd w:id="87"/>
      <w:bookmarkEnd w:id="88"/>
      <w:bookmarkEnd w:id="89"/>
    </w:p>
    <w:p>
      <w:pPr>
        <w:pStyle w:val="105"/>
        <w:spacing w:before="156" w:after="156"/>
        <w:rPr>
          <w:rFonts w:hAnsi="黑体" w:cs="黑体"/>
          <w:szCs w:val="21"/>
        </w:rPr>
      </w:pPr>
      <w:bookmarkStart w:id="90" w:name="_Toc124595536"/>
      <w:bookmarkStart w:id="91" w:name="_Toc124595596"/>
      <w:bookmarkStart w:id="92" w:name="_Toc8536"/>
      <w:r>
        <w:rPr>
          <w:rFonts w:hint="eastAsia" w:hAnsi="黑体" w:cs="黑体"/>
          <w:szCs w:val="21"/>
        </w:rPr>
        <w:t>螺杆灌注桩可用于黏性土、粉土、砂土、碎石土、全风化岩、强风化岩、中风化软质岩等地层。当应用于流塑状黏性土、淤泥、淤泥质土、泥炭质土、泥炭、及硬岩等地层时，应通过现场试验或按地区经验确定适用性。</w:t>
      </w:r>
      <w:bookmarkEnd w:id="90"/>
      <w:bookmarkEnd w:id="91"/>
      <w:bookmarkEnd w:id="92"/>
    </w:p>
    <w:p>
      <w:pPr>
        <w:pStyle w:val="105"/>
        <w:spacing w:before="156" w:after="156"/>
        <w:rPr>
          <w:rFonts w:hAnsi="黑体" w:cs="黑体"/>
          <w:szCs w:val="21"/>
        </w:rPr>
      </w:pPr>
      <w:bookmarkStart w:id="93" w:name="_Toc124595597"/>
      <w:bookmarkStart w:id="94" w:name="_Toc124595537"/>
      <w:bookmarkStart w:id="95" w:name="_Toc21981"/>
      <w:r>
        <w:rPr>
          <w:rFonts w:hint="eastAsia" w:hAnsi="黑体" w:cs="黑体"/>
          <w:szCs w:val="21"/>
        </w:rPr>
        <w:t>螺杆灌注桩可用作桩基础中的基桩或复合地基中的增强体，应用于复合地基时增强体可不配钢筋。</w:t>
      </w:r>
      <w:bookmarkEnd w:id="93"/>
      <w:bookmarkEnd w:id="94"/>
      <w:bookmarkEnd w:id="95"/>
    </w:p>
    <w:p>
      <w:pPr>
        <w:pStyle w:val="105"/>
        <w:spacing w:before="156" w:after="156"/>
        <w:rPr>
          <w:rFonts w:hAnsi="黑体" w:cs="黑体"/>
          <w:szCs w:val="21"/>
        </w:rPr>
      </w:pPr>
      <w:bookmarkStart w:id="96" w:name="_Toc124595538"/>
      <w:bookmarkStart w:id="97" w:name="_Toc124595598"/>
      <w:bookmarkStart w:id="98" w:name="_Toc17934"/>
      <w:r>
        <w:rPr>
          <w:rFonts w:hint="eastAsia" w:hAnsi="黑体" w:cs="黑体"/>
          <w:szCs w:val="21"/>
        </w:rPr>
        <w:t>螺杆灌注桩可根据地层情况，选择组合式齿状螺纹钻具，形成挤土桩或部分挤土桩。</w:t>
      </w:r>
      <w:bookmarkEnd w:id="96"/>
      <w:bookmarkEnd w:id="97"/>
      <w:bookmarkEnd w:id="98"/>
    </w:p>
    <w:p>
      <w:pPr>
        <w:pStyle w:val="105"/>
        <w:spacing w:before="156" w:after="156"/>
        <w:rPr>
          <w:rFonts w:hAnsi="黑体" w:cs="黑体"/>
          <w:szCs w:val="21"/>
        </w:rPr>
      </w:pPr>
      <w:bookmarkStart w:id="99" w:name="_Toc7470"/>
      <w:bookmarkStart w:id="100" w:name="_Toc124595539"/>
      <w:bookmarkStart w:id="101" w:name="_Toc124595599"/>
      <w:r>
        <w:rPr>
          <w:rFonts w:hint="eastAsia" w:hAnsi="黑体" w:cs="黑体"/>
          <w:szCs w:val="21"/>
        </w:rPr>
        <w:t>螺杆灌注桩设计和施工前，应具备以下资料：</w:t>
      </w:r>
      <w:bookmarkEnd w:id="99"/>
      <w:bookmarkEnd w:id="100"/>
      <w:bookmarkEnd w:id="101"/>
    </w:p>
    <w:p>
      <w:pPr>
        <w:pStyle w:val="65"/>
        <w:spacing w:before="156" w:after="156"/>
        <w:rPr>
          <w:rFonts w:hAnsi="黑体" w:cs="黑体"/>
          <w:szCs w:val="21"/>
        </w:rPr>
      </w:pPr>
      <w:bookmarkStart w:id="102" w:name="_Toc124595540"/>
      <w:r>
        <w:rPr>
          <w:rFonts w:hint="eastAsia" w:hAnsi="黑体" w:cs="黑体"/>
          <w:szCs w:val="21"/>
        </w:rPr>
        <w:t>岩土工程详细勘察资料；</w:t>
      </w:r>
      <w:bookmarkEnd w:id="102"/>
    </w:p>
    <w:p>
      <w:pPr>
        <w:pStyle w:val="65"/>
        <w:spacing w:before="156" w:after="156"/>
        <w:rPr>
          <w:rFonts w:hAnsi="黑体" w:cs="黑体"/>
          <w:szCs w:val="21"/>
        </w:rPr>
      </w:pPr>
      <w:bookmarkStart w:id="103" w:name="_Toc124595541"/>
      <w:r>
        <w:rPr>
          <w:rFonts w:hint="eastAsia" w:hAnsi="黑体" w:cs="黑体"/>
          <w:szCs w:val="21"/>
        </w:rPr>
        <w:t>施工场地及环境条件的有关资料；</w:t>
      </w:r>
      <w:bookmarkEnd w:id="103"/>
    </w:p>
    <w:p>
      <w:pPr>
        <w:pStyle w:val="65"/>
        <w:spacing w:before="156" w:after="156"/>
        <w:rPr>
          <w:rFonts w:hAnsi="黑体" w:cs="黑体"/>
          <w:szCs w:val="21"/>
        </w:rPr>
      </w:pPr>
      <w:bookmarkStart w:id="104" w:name="_Toc124595542"/>
      <w:r>
        <w:rPr>
          <w:rFonts w:hint="eastAsia" w:hAnsi="黑体" w:cs="黑体"/>
          <w:szCs w:val="21"/>
        </w:rPr>
        <w:t>建筑物、构筑物的有关资料。</w:t>
      </w:r>
      <w:bookmarkEnd w:id="104"/>
    </w:p>
    <w:p>
      <w:pPr>
        <w:pStyle w:val="105"/>
        <w:spacing w:before="156" w:after="156"/>
        <w:rPr>
          <w:rFonts w:hAnsi="黑体" w:cs="黑体"/>
          <w:szCs w:val="21"/>
        </w:rPr>
      </w:pPr>
      <w:bookmarkStart w:id="105" w:name="_Toc124595600"/>
      <w:bookmarkStart w:id="106" w:name="_Toc28135"/>
      <w:bookmarkStart w:id="107" w:name="_Toc124595543"/>
      <w:r>
        <w:rPr>
          <w:rFonts w:hint="eastAsia" w:hAnsi="黑体" w:cs="黑体"/>
          <w:szCs w:val="21"/>
        </w:rPr>
        <w:t>螺杆灌注桩设计和施工前宜搜集本地区或相似场地上类似工程的工程经验、施工情况及技术经济指标等资料。</w:t>
      </w:r>
      <w:bookmarkEnd w:id="105"/>
      <w:bookmarkEnd w:id="106"/>
      <w:bookmarkEnd w:id="107"/>
    </w:p>
    <w:p>
      <w:pPr>
        <w:pStyle w:val="105"/>
        <w:spacing w:before="156" w:after="156"/>
        <w:rPr>
          <w:rFonts w:hAnsi="黑体" w:cs="黑体"/>
          <w:szCs w:val="21"/>
        </w:rPr>
      </w:pPr>
      <w:bookmarkStart w:id="108" w:name="_Toc20954"/>
      <w:bookmarkStart w:id="109" w:name="_Toc124595601"/>
      <w:bookmarkStart w:id="110" w:name="_Toc124595544"/>
      <w:r>
        <w:rPr>
          <w:rFonts w:hint="eastAsia" w:hAnsi="黑体" w:cs="黑体"/>
          <w:szCs w:val="21"/>
        </w:rPr>
        <w:t>当螺杆灌注桩用于上部结构荷载或刚度差异较大的工程时，宜按上部结构、基础和地基的共同作用方法进行承载力计算和变形验算。</w:t>
      </w:r>
      <w:bookmarkEnd w:id="108"/>
      <w:bookmarkEnd w:id="109"/>
      <w:bookmarkEnd w:id="110"/>
    </w:p>
    <w:p>
      <w:pPr>
        <w:pStyle w:val="105"/>
        <w:spacing w:before="156" w:after="156"/>
        <w:rPr>
          <w:rFonts w:hAnsi="黑体" w:cs="黑体"/>
          <w:szCs w:val="21"/>
        </w:rPr>
      </w:pPr>
      <w:bookmarkStart w:id="111" w:name="_Toc124595602"/>
      <w:bookmarkStart w:id="112" w:name="_Toc124595545"/>
      <w:bookmarkStart w:id="113" w:name="_Toc23129"/>
      <w:r>
        <w:rPr>
          <w:rFonts w:hint="eastAsia" w:hAnsi="黑体" w:cs="黑体"/>
          <w:szCs w:val="21"/>
        </w:rPr>
        <w:t>螺杆灌注桩的施工设备的性能应与地质条件、设计参数相匹配。</w:t>
      </w:r>
      <w:bookmarkEnd w:id="111"/>
      <w:bookmarkEnd w:id="112"/>
      <w:bookmarkEnd w:id="113"/>
    </w:p>
    <w:p>
      <w:pPr>
        <w:pStyle w:val="105"/>
        <w:spacing w:before="156" w:after="156"/>
        <w:rPr>
          <w:rFonts w:hAnsi="黑体" w:cs="黑体"/>
          <w:szCs w:val="21"/>
        </w:rPr>
      </w:pPr>
      <w:bookmarkStart w:id="114" w:name="_Toc124595603"/>
      <w:bookmarkStart w:id="115" w:name="_Toc124595546"/>
      <w:bookmarkStart w:id="116" w:name="_Toc16328"/>
      <w:r>
        <w:rPr>
          <w:rFonts w:hint="eastAsia" w:hAnsi="黑体" w:cs="黑体"/>
          <w:szCs w:val="21"/>
        </w:rPr>
        <w:t>螺杆灌注桩应按现行DB42/242的有关规定进行工程质量检验和验收。</w:t>
      </w:r>
      <w:bookmarkEnd w:id="114"/>
      <w:bookmarkEnd w:id="115"/>
      <w:bookmarkEnd w:id="116"/>
    </w:p>
    <w:p>
      <w:pPr>
        <w:pStyle w:val="105"/>
        <w:spacing w:before="156" w:after="156"/>
        <w:rPr>
          <w:rFonts w:hAnsi="黑体"/>
          <w:szCs w:val="21"/>
        </w:rPr>
      </w:pPr>
      <w:bookmarkStart w:id="117" w:name="_Toc124595604"/>
      <w:bookmarkStart w:id="118" w:name="_Toc124595547"/>
      <w:bookmarkStart w:id="119" w:name="_Toc32483"/>
      <w:r>
        <w:rPr>
          <w:rFonts w:hint="eastAsia" w:hAnsi="黑体"/>
          <w:szCs w:val="21"/>
        </w:rPr>
        <w:t>采用螺杆灌注桩的建筑物和构筑物在施工期间及使用期间，应按现行GB50007的有关规定进行沉降观测，直至沉降稳定。</w:t>
      </w:r>
      <w:bookmarkEnd w:id="117"/>
      <w:bookmarkEnd w:id="118"/>
      <w:bookmarkEnd w:id="119"/>
    </w:p>
    <w:p>
      <w:pPr>
        <w:pStyle w:val="105"/>
        <w:spacing w:before="156" w:after="156"/>
        <w:rPr>
          <w:rFonts w:hAnsi="黑体"/>
          <w:szCs w:val="21"/>
        </w:rPr>
      </w:pPr>
      <w:bookmarkStart w:id="120" w:name="_Toc124595605"/>
      <w:bookmarkStart w:id="121" w:name="_Toc124595548"/>
      <w:bookmarkStart w:id="122" w:name="_Toc28363"/>
      <w:r>
        <w:rPr>
          <w:rFonts w:hint="eastAsia" w:hAnsi="黑体"/>
          <w:szCs w:val="21"/>
        </w:rPr>
        <w:t>螺杆灌注桩应用于岩溶土洞及地面塌陷场地、采空区场地、人防洞室场地等特殊地质条件及特殊场地时，应按现行DB42/242执行</w:t>
      </w:r>
      <w:bookmarkEnd w:id="120"/>
      <w:bookmarkEnd w:id="121"/>
      <w:bookmarkEnd w:id="122"/>
    </w:p>
    <w:p>
      <w:pPr>
        <w:pStyle w:val="104"/>
        <w:spacing w:before="312" w:after="312"/>
        <w:rPr>
          <w:rFonts w:hAnsi="黑体"/>
          <w:szCs w:val="21"/>
        </w:rPr>
      </w:pPr>
      <w:bookmarkStart w:id="123" w:name="_Toc124595549"/>
      <w:bookmarkStart w:id="124" w:name="_Toc25885"/>
      <w:r>
        <w:rPr>
          <w:rFonts w:hint="eastAsia" w:hAnsi="黑体"/>
          <w:szCs w:val="21"/>
        </w:rPr>
        <w:t>勘察</w:t>
      </w:r>
      <w:bookmarkEnd w:id="123"/>
      <w:bookmarkEnd w:id="124"/>
    </w:p>
    <w:p>
      <w:pPr>
        <w:pStyle w:val="105"/>
        <w:spacing w:before="156" w:after="156"/>
        <w:rPr>
          <w:rFonts w:hAnsi="黑体"/>
          <w:szCs w:val="21"/>
        </w:rPr>
      </w:pPr>
      <w:bookmarkStart w:id="125" w:name="_Toc124595607"/>
      <w:bookmarkStart w:id="126" w:name="_Toc124595550"/>
      <w:bookmarkStart w:id="127" w:name="_Toc1787"/>
      <w:r>
        <w:rPr>
          <w:rFonts w:hint="eastAsia" w:hAnsi="黑体"/>
          <w:szCs w:val="21"/>
        </w:rPr>
        <w:t>岩土工程勘察前应搜集区域地质资料、当地工程经验，了解场地的工程地质与水文地质条件，并应取得下列资料：</w:t>
      </w:r>
      <w:bookmarkEnd w:id="125"/>
      <w:bookmarkEnd w:id="126"/>
      <w:bookmarkEnd w:id="127"/>
    </w:p>
    <w:p>
      <w:pPr>
        <w:pStyle w:val="65"/>
        <w:spacing w:before="156" w:after="156"/>
        <w:rPr>
          <w:rFonts w:hAnsi="黑体"/>
          <w:szCs w:val="21"/>
        </w:rPr>
      </w:pPr>
      <w:bookmarkStart w:id="128" w:name="_Toc124595551"/>
      <w:r>
        <w:rPr>
          <w:rFonts w:hint="eastAsia" w:hAnsi="黑体"/>
          <w:szCs w:val="21"/>
        </w:rPr>
        <w:t>建筑场地地形图、建筑总平面图等；</w:t>
      </w:r>
      <w:bookmarkEnd w:id="128"/>
    </w:p>
    <w:p>
      <w:pPr>
        <w:pStyle w:val="65"/>
        <w:spacing w:before="156" w:after="156"/>
        <w:rPr>
          <w:rFonts w:hAnsi="黑体"/>
          <w:szCs w:val="21"/>
        </w:rPr>
      </w:pPr>
      <w:bookmarkStart w:id="129" w:name="_Toc124595552"/>
      <w:r>
        <w:rPr>
          <w:rFonts w:hint="eastAsia" w:hAnsi="黑体"/>
          <w:szCs w:val="21"/>
        </w:rPr>
        <w:t>建筑物的高度、层数、结构类型、荷载、结构安全等级、基础形式和埋置深度，以及使用功能上的特殊要求等；</w:t>
      </w:r>
      <w:bookmarkEnd w:id="129"/>
    </w:p>
    <w:p>
      <w:pPr>
        <w:pStyle w:val="65"/>
        <w:spacing w:before="156" w:after="156"/>
        <w:rPr>
          <w:rFonts w:hAnsi="黑体"/>
          <w:szCs w:val="21"/>
        </w:rPr>
      </w:pPr>
      <w:bookmarkStart w:id="130" w:name="_Toc124595553"/>
      <w:r>
        <w:rPr>
          <w:rFonts w:hint="eastAsia" w:hAnsi="黑体"/>
          <w:szCs w:val="21"/>
        </w:rPr>
        <w:t>场地周边环境条件及地下管道、电缆、地下构筑物等的分布情况。</w:t>
      </w:r>
      <w:bookmarkEnd w:id="130"/>
    </w:p>
    <w:p>
      <w:pPr>
        <w:pStyle w:val="105"/>
        <w:spacing w:before="156" w:after="156"/>
        <w:rPr>
          <w:rFonts w:hAnsi="黑体"/>
          <w:szCs w:val="21"/>
        </w:rPr>
      </w:pPr>
      <w:bookmarkStart w:id="131" w:name="_Toc124595554"/>
      <w:bookmarkStart w:id="132" w:name="_Toc124595608"/>
      <w:bookmarkStart w:id="133" w:name="_Toc19985"/>
      <w:r>
        <w:rPr>
          <w:rFonts w:hint="eastAsia" w:hAnsi="黑体"/>
          <w:szCs w:val="21"/>
        </w:rPr>
        <w:t>岩土工程勘察应采用与场地岩土特性相适应的勘察手段与原位测试方法。</w:t>
      </w:r>
      <w:bookmarkEnd w:id="131"/>
      <w:bookmarkEnd w:id="132"/>
      <w:bookmarkEnd w:id="133"/>
    </w:p>
    <w:p>
      <w:pPr>
        <w:pStyle w:val="105"/>
        <w:spacing w:before="156" w:after="156"/>
        <w:rPr>
          <w:rFonts w:hAnsi="黑体"/>
          <w:szCs w:val="21"/>
        </w:rPr>
      </w:pPr>
      <w:bookmarkStart w:id="134" w:name="_Toc124595609"/>
      <w:bookmarkStart w:id="135" w:name="_Toc124595555"/>
      <w:bookmarkStart w:id="136" w:name="_Toc301"/>
      <w:r>
        <w:rPr>
          <w:rFonts w:hint="eastAsia" w:hAnsi="黑体"/>
          <w:szCs w:val="21"/>
        </w:rPr>
        <w:t>螺杆灌注桩的详细勘察除应符合现行GB 50021的有关规定外，尚应满足下列规定：</w:t>
      </w:r>
      <w:bookmarkEnd w:id="134"/>
      <w:bookmarkEnd w:id="135"/>
      <w:bookmarkEnd w:id="136"/>
    </w:p>
    <w:p>
      <w:pPr>
        <w:pStyle w:val="65"/>
        <w:spacing w:before="156" w:after="156"/>
        <w:rPr>
          <w:rFonts w:hAnsi="黑体"/>
          <w:szCs w:val="21"/>
        </w:rPr>
      </w:pPr>
      <w:bookmarkStart w:id="137" w:name="_Toc124595556"/>
      <w:r>
        <w:rPr>
          <w:rFonts w:hint="eastAsia" w:hAnsi="黑体"/>
          <w:szCs w:val="21"/>
        </w:rPr>
        <w:t>勘探点间距：</w:t>
      </w:r>
      <w:bookmarkEnd w:id="137"/>
    </w:p>
    <w:p>
      <w:pPr>
        <w:pStyle w:val="230"/>
        <w:ind w:left="783" w:leftChars="373" w:firstLine="0" w:firstLineChars="0"/>
        <w:rPr>
          <w:rFonts w:ascii="黑体" w:hAnsi="黑体" w:eastAsia="黑体"/>
        </w:rPr>
      </w:pPr>
      <w:r>
        <w:rPr>
          <w:rFonts w:hint="eastAsia" w:ascii="黑体" w:hAnsi="黑体" w:eastAsia="黑体"/>
        </w:rPr>
        <w:t>a)对于端承型桩及摩擦型嵌岩桩：勘探点间距宜为12m~24m。当相邻两个勘探点揭露的桩端持力层层面坡度大于10%或桩端持力层起伏较大、地层分布复杂时，应根据具体工程条件适当加密勘探点；</w:t>
      </w:r>
    </w:p>
    <w:p>
      <w:pPr>
        <w:pStyle w:val="230"/>
        <w:ind w:left="783" w:leftChars="373" w:firstLine="0" w:firstLineChars="0"/>
        <w:rPr>
          <w:rFonts w:ascii="黑体" w:hAnsi="黑体" w:eastAsia="黑体"/>
        </w:rPr>
      </w:pPr>
      <w:r>
        <w:rPr>
          <w:rFonts w:hint="eastAsia" w:ascii="黑体" w:hAnsi="黑体" w:eastAsia="黑体"/>
        </w:rPr>
        <w:t>b) 对于摩擦型桩：勘探点间距宜为20m~30m，当土层性质或状态在水平方向变化较大或存在可能影响成桩的土层时，应适当加密勘探点；</w:t>
      </w:r>
    </w:p>
    <w:p>
      <w:pPr>
        <w:pStyle w:val="230"/>
        <w:ind w:left="783" w:leftChars="373" w:firstLine="0" w:firstLineChars="0"/>
        <w:rPr>
          <w:rFonts w:ascii="黑体" w:hAnsi="黑体" w:eastAsia="黑体"/>
        </w:rPr>
      </w:pPr>
      <w:r>
        <w:rPr>
          <w:rFonts w:hint="eastAsia" w:ascii="黑体" w:hAnsi="黑体" w:eastAsia="黑体"/>
        </w:rPr>
        <w:t>c) 复杂地质条件下的一柱一桩工程，应按每柱设置勘探点。</w:t>
      </w:r>
    </w:p>
    <w:p>
      <w:pPr>
        <w:pStyle w:val="65"/>
        <w:spacing w:before="156" w:after="156"/>
        <w:rPr>
          <w:rFonts w:hAnsi="黑体"/>
          <w:szCs w:val="21"/>
        </w:rPr>
      </w:pPr>
      <w:bookmarkStart w:id="138" w:name="_Toc124595557"/>
      <w:r>
        <w:rPr>
          <w:rFonts w:hint="eastAsia" w:hAnsi="黑体"/>
          <w:szCs w:val="21"/>
        </w:rPr>
        <w:t>勘探孔深度：</w:t>
      </w:r>
      <w:bookmarkEnd w:id="138"/>
    </w:p>
    <w:p>
      <w:pPr>
        <w:pStyle w:val="230"/>
        <w:ind w:left="783" w:leftChars="373" w:firstLine="0" w:firstLineChars="0"/>
        <w:rPr>
          <w:rFonts w:ascii="黑体" w:hAnsi="黑体" w:eastAsia="黑体"/>
        </w:rPr>
      </w:pPr>
      <w:r>
        <w:rPr>
          <w:rFonts w:ascii="黑体" w:hAnsi="黑体" w:eastAsia="黑体"/>
        </w:rPr>
        <w:t>a)</w:t>
      </w:r>
      <w:r>
        <w:rPr>
          <w:rFonts w:hint="eastAsia" w:ascii="黑体" w:hAnsi="黑体" w:eastAsia="黑体"/>
        </w:rPr>
        <w:t xml:space="preserve"> 控制性勘探孔深度应满足软弱下卧层验算和变形计算的要求；对于嵌岩桩，控制性勘探孔深度应达到预计桩端平面以下3倍~5倍桩身设计直径且不小于5m；</w:t>
      </w:r>
    </w:p>
    <w:p>
      <w:pPr>
        <w:pStyle w:val="230"/>
        <w:ind w:left="769" w:leftChars="366" w:firstLine="0" w:firstLineChars="0"/>
        <w:rPr>
          <w:rFonts w:ascii="黑体" w:hAnsi="黑体" w:eastAsia="黑体"/>
        </w:rPr>
      </w:pPr>
      <w:r>
        <w:rPr>
          <w:rFonts w:hint="eastAsia" w:ascii="黑体" w:hAnsi="黑体" w:eastAsia="黑体"/>
        </w:rPr>
        <w:t>b) 一般性勘探孔深度应达到预计桩端平面以下3倍~5倍桩身设计直径且不小于3m；对于大直径桩，不得小于5m；对于嵌岩桩，一般性勘探孔深度应达到预计桩端平面以下1倍~3倍桩身设计直径；</w:t>
      </w:r>
    </w:p>
    <w:p>
      <w:pPr>
        <w:pStyle w:val="230"/>
        <w:ind w:left="769" w:leftChars="366" w:firstLine="0" w:firstLineChars="0"/>
        <w:rPr>
          <w:rFonts w:ascii="黑体" w:hAnsi="黑体" w:eastAsia="黑体"/>
        </w:rPr>
      </w:pPr>
      <w:r>
        <w:rPr>
          <w:rFonts w:hint="eastAsia" w:ascii="黑体" w:hAnsi="黑体" w:eastAsia="黑体"/>
        </w:rPr>
        <w:t>c) 在断层破碎带地区，勘探孔应钻穿断层破碎带进入稳定土层，进入深度应满足控制性勘探孔和一般性勘探孔的要求。</w:t>
      </w:r>
    </w:p>
    <w:p>
      <w:pPr>
        <w:pStyle w:val="105"/>
        <w:spacing w:before="156" w:after="156"/>
        <w:rPr>
          <w:rFonts w:hAnsi="黑体"/>
          <w:szCs w:val="21"/>
        </w:rPr>
      </w:pPr>
      <w:bookmarkStart w:id="139" w:name="_Toc124595558"/>
      <w:bookmarkStart w:id="140" w:name="_Toc124595610"/>
      <w:bookmarkStart w:id="141" w:name="_Toc25456"/>
      <w:r>
        <w:rPr>
          <w:rFonts w:hint="eastAsia" w:hAnsi="黑体"/>
          <w:szCs w:val="21"/>
        </w:rPr>
        <w:t>岩土工程勘察应根据地质条件、结构类型、荷载特征，结合地方经验评价螺杆灌注桩成孔和成桩的可行性。</w:t>
      </w:r>
      <w:bookmarkEnd w:id="139"/>
      <w:bookmarkEnd w:id="140"/>
      <w:bookmarkEnd w:id="141"/>
    </w:p>
    <w:p>
      <w:pPr>
        <w:pStyle w:val="105"/>
        <w:spacing w:before="156" w:after="156"/>
        <w:rPr>
          <w:rFonts w:hAnsi="黑体"/>
          <w:szCs w:val="21"/>
        </w:rPr>
      </w:pPr>
      <w:bookmarkStart w:id="142" w:name="_Toc124595559"/>
      <w:bookmarkStart w:id="143" w:name="_Toc124595611"/>
      <w:bookmarkStart w:id="144" w:name="_Toc19407"/>
      <w:r>
        <w:rPr>
          <w:rFonts w:hint="eastAsia" w:hAnsi="黑体"/>
          <w:szCs w:val="21"/>
        </w:rPr>
        <w:t>施工揭露工程地质条件、水文地质条件与勘察报告出现明显差异时，应进行施工勘察。</w:t>
      </w:r>
      <w:bookmarkEnd w:id="142"/>
      <w:bookmarkEnd w:id="143"/>
      <w:bookmarkEnd w:id="144"/>
    </w:p>
    <w:p>
      <w:pPr>
        <w:pStyle w:val="104"/>
        <w:spacing w:before="312" w:after="312"/>
        <w:rPr>
          <w:rFonts w:hAnsi="黑体"/>
          <w:szCs w:val="21"/>
        </w:rPr>
      </w:pPr>
      <w:bookmarkStart w:id="145" w:name="_Toc124595560"/>
      <w:bookmarkStart w:id="146" w:name="_Toc8040"/>
      <w:r>
        <w:rPr>
          <w:rFonts w:hint="eastAsia" w:hAnsi="黑体"/>
          <w:szCs w:val="21"/>
        </w:rPr>
        <w:t>桩基设计</w:t>
      </w:r>
      <w:bookmarkEnd w:id="145"/>
      <w:bookmarkEnd w:id="146"/>
    </w:p>
    <w:p>
      <w:pPr>
        <w:pStyle w:val="105"/>
        <w:spacing w:before="156" w:after="156"/>
        <w:rPr>
          <w:rFonts w:hAnsi="黑体"/>
          <w:szCs w:val="21"/>
        </w:rPr>
      </w:pPr>
      <w:bookmarkStart w:id="147" w:name="_Toc124595561"/>
      <w:bookmarkStart w:id="148" w:name="_Toc4078"/>
      <w:r>
        <w:rPr>
          <w:rFonts w:hint="eastAsia" w:hAnsi="黑体"/>
          <w:szCs w:val="21"/>
        </w:rPr>
        <w:t>一般规定</w:t>
      </w:r>
      <w:bookmarkEnd w:id="147"/>
      <w:bookmarkEnd w:id="148"/>
    </w:p>
    <w:p>
      <w:pPr>
        <w:pStyle w:val="65"/>
        <w:spacing w:before="156" w:after="156"/>
        <w:rPr>
          <w:rFonts w:hAnsi="黑体"/>
          <w:szCs w:val="21"/>
        </w:rPr>
      </w:pPr>
      <w:bookmarkStart w:id="149" w:name="_Toc124595562"/>
      <w:r>
        <w:rPr>
          <w:rFonts w:hint="eastAsia" w:hAnsi="黑体"/>
          <w:szCs w:val="21"/>
        </w:rPr>
        <w:t>螺杆灌注桩桩基设计时所采用的作用效应组合与相应的抗力应按现行JGJ94的有关规定执行。</w:t>
      </w:r>
      <w:bookmarkEnd w:id="149"/>
    </w:p>
    <w:p>
      <w:pPr>
        <w:pStyle w:val="65"/>
        <w:spacing w:before="156" w:after="156"/>
        <w:rPr>
          <w:rFonts w:hAnsi="黑体"/>
          <w:szCs w:val="21"/>
        </w:rPr>
      </w:pPr>
      <w:bookmarkStart w:id="150" w:name="_Toc124595563"/>
      <w:r>
        <w:rPr>
          <w:rFonts w:hint="eastAsia" w:hAnsi="黑体"/>
          <w:szCs w:val="21"/>
        </w:rPr>
        <w:t>螺杆灌注桩的建筑桩基设计等级应按现行JGJ94的有关规定确定。</w:t>
      </w:r>
      <w:bookmarkEnd w:id="150"/>
    </w:p>
    <w:p>
      <w:pPr>
        <w:pStyle w:val="65"/>
        <w:spacing w:before="156" w:after="156"/>
        <w:rPr>
          <w:rFonts w:hAnsi="黑体"/>
          <w:szCs w:val="21"/>
        </w:rPr>
      </w:pPr>
      <w:bookmarkStart w:id="151" w:name="_Toc124595564"/>
      <w:r>
        <w:rPr>
          <w:rFonts w:hint="eastAsia" w:hAnsi="黑体"/>
          <w:szCs w:val="21"/>
        </w:rPr>
        <w:t>螺杆灌注桩桩基础应根据具体条件按</w:t>
      </w:r>
      <w:r>
        <w:rPr>
          <w:rFonts w:hint="eastAsia" w:hAnsi="黑体"/>
          <w:szCs w:val="21"/>
          <w:lang w:eastAsia="zh-CN"/>
        </w:rPr>
        <w:t>现行</w:t>
      </w:r>
      <w:r>
        <w:rPr>
          <w:rFonts w:hint="eastAsia" w:hAnsi="黑体"/>
          <w:szCs w:val="21"/>
        </w:rPr>
        <w:t>DB42/242的要求分别进行承载能力和稳定性验算：</w:t>
      </w:r>
      <w:bookmarkEnd w:id="151"/>
    </w:p>
    <w:p>
      <w:pPr>
        <w:pStyle w:val="65"/>
        <w:spacing w:before="156" w:after="156"/>
        <w:rPr>
          <w:rFonts w:hAnsi="黑体"/>
          <w:szCs w:val="21"/>
        </w:rPr>
      </w:pPr>
      <w:bookmarkStart w:id="152" w:name="_Toc124595565"/>
      <w:r>
        <w:rPr>
          <w:rFonts w:hint="eastAsia" w:hAnsi="黑体"/>
          <w:szCs w:val="21"/>
        </w:rPr>
        <w:t>螺杆灌注桩扩大体宜设置在承载力高、层位稳定的地层，宜设置一个扩大体，也可根据承载力需要和地层条件设置两个或以上扩大体。桩身形状可根据承载性能要求和地层条件按本规范附录B选用。</w:t>
      </w:r>
      <w:bookmarkEnd w:id="152"/>
    </w:p>
    <w:p>
      <w:pPr>
        <w:pStyle w:val="65"/>
        <w:spacing w:before="156" w:after="156"/>
        <w:rPr>
          <w:rFonts w:hAnsi="黑体"/>
          <w:szCs w:val="21"/>
        </w:rPr>
      </w:pPr>
      <w:bookmarkStart w:id="153" w:name="_Toc124595566"/>
      <w:r>
        <w:rPr>
          <w:rFonts w:hint="eastAsia" w:hAnsi="黑体"/>
          <w:szCs w:val="21"/>
        </w:rPr>
        <w:t>螺杆灌注桩单桩承载力特征值应通过单桩静载试验并结合施工经验综合确定。</w:t>
      </w:r>
      <w:bookmarkEnd w:id="153"/>
    </w:p>
    <w:p>
      <w:pPr>
        <w:pStyle w:val="65"/>
        <w:spacing w:before="156" w:after="156"/>
        <w:rPr>
          <w:rFonts w:hAnsi="黑体"/>
          <w:szCs w:val="21"/>
        </w:rPr>
      </w:pPr>
      <w:bookmarkStart w:id="154" w:name="_Toc124595567"/>
      <w:r>
        <w:rPr>
          <w:rFonts w:hint="eastAsia" w:hAnsi="黑体"/>
          <w:szCs w:val="21"/>
        </w:rPr>
        <w:t>螺杆灌注桩桩基工程的沉降计算应按现行DB42/242的有关规定执行。</w:t>
      </w:r>
      <w:bookmarkEnd w:id="154"/>
    </w:p>
    <w:p>
      <w:pPr>
        <w:pStyle w:val="105"/>
        <w:spacing w:before="156" w:after="156"/>
        <w:rPr>
          <w:rFonts w:hAnsi="黑体"/>
          <w:szCs w:val="21"/>
        </w:rPr>
      </w:pPr>
      <w:bookmarkStart w:id="155" w:name="_Toc124595568"/>
      <w:bookmarkStart w:id="156" w:name="_Toc2078"/>
      <w:r>
        <w:rPr>
          <w:rFonts w:hint="eastAsia" w:hAnsi="黑体"/>
          <w:szCs w:val="21"/>
        </w:rPr>
        <w:t>基桩构造</w:t>
      </w:r>
      <w:bookmarkEnd w:id="155"/>
      <w:bookmarkEnd w:id="156"/>
    </w:p>
    <w:p>
      <w:pPr>
        <w:pStyle w:val="65"/>
        <w:spacing w:before="156" w:after="156"/>
        <w:rPr>
          <w:rFonts w:hAnsi="黑体"/>
          <w:szCs w:val="21"/>
        </w:rPr>
      </w:pPr>
      <w:bookmarkStart w:id="157" w:name="_Toc124595569"/>
      <w:r>
        <w:rPr>
          <w:rFonts w:hint="eastAsia" w:hAnsi="黑体"/>
          <w:szCs w:val="21"/>
        </w:rPr>
        <w:t>螺杆灌注桩设计桩径宜采用</w:t>
      </w:r>
      <w:r>
        <w:rPr>
          <w:rFonts w:hAnsi="黑体"/>
          <w:szCs w:val="21"/>
        </w:rPr>
        <w:t>4</w:t>
      </w:r>
      <w:r>
        <w:rPr>
          <w:rFonts w:hint="eastAsia" w:hAnsi="黑体"/>
          <w:szCs w:val="21"/>
        </w:rPr>
        <w:t>00mm~</w:t>
      </w:r>
      <w:r>
        <w:rPr>
          <w:rFonts w:hAnsi="黑体"/>
          <w:szCs w:val="21"/>
        </w:rPr>
        <w:t>9</w:t>
      </w:r>
      <w:r>
        <w:rPr>
          <w:rFonts w:hint="eastAsia" w:hAnsi="黑体"/>
          <w:szCs w:val="21"/>
        </w:rPr>
        <w:t>00mm。</w:t>
      </w:r>
      <w:bookmarkEnd w:id="157"/>
    </w:p>
    <w:p>
      <w:pPr>
        <w:pStyle w:val="65"/>
        <w:spacing w:before="156" w:after="156"/>
        <w:rPr>
          <w:rFonts w:hAnsi="黑体"/>
          <w:szCs w:val="21"/>
        </w:rPr>
      </w:pPr>
      <w:bookmarkStart w:id="158" w:name="_Toc124595570"/>
      <w:r>
        <w:rPr>
          <w:rFonts w:hint="eastAsia" w:hAnsi="黑体"/>
          <w:szCs w:val="21"/>
        </w:rPr>
        <w:t>螺杆灌注桩螺纹段应满足以下要求：</w:t>
      </w:r>
      <w:bookmarkEnd w:id="158"/>
    </w:p>
    <w:p>
      <w:pPr>
        <w:pStyle w:val="94"/>
        <w:numPr>
          <w:ilvl w:val="0"/>
          <w:numId w:val="0"/>
        </w:numPr>
        <w:spacing w:before="156" w:after="156"/>
        <w:ind w:left="920" w:leftChars="188" w:hanging="525" w:hangingChars="250"/>
        <w:rPr>
          <w:rFonts w:hAnsi="黑体"/>
          <w:szCs w:val="21"/>
        </w:rPr>
      </w:pPr>
      <w:r>
        <w:rPr>
          <w:rFonts w:hAnsi="黑体"/>
          <w:szCs w:val="21"/>
        </w:rPr>
        <w:t xml:space="preserve">a)  </w:t>
      </w:r>
      <w:r>
        <w:rPr>
          <w:rFonts w:hint="eastAsia" w:hAnsi="黑体"/>
          <w:szCs w:val="21"/>
        </w:rPr>
        <w:t>螺牙端部厚度宜为30mm~50mm，根部厚度宜为50mm~70mm，螺距不宜小于350mm，螺距与桩径d</w:t>
      </w:r>
      <w:r>
        <w:rPr>
          <w:rFonts w:hint="eastAsia" w:hAnsi="黑体"/>
          <w:szCs w:val="21"/>
          <w:vertAlign w:val="subscript"/>
        </w:rPr>
        <w:t>1</w:t>
      </w:r>
      <w:r>
        <w:rPr>
          <w:rFonts w:hint="eastAsia" w:hAnsi="黑体"/>
          <w:szCs w:val="21"/>
        </w:rPr>
        <w:t>之比宜为0.6~1.0（小直径取高值）；</w:t>
      </w:r>
    </w:p>
    <w:p>
      <w:pPr>
        <w:ind w:left="945" w:leftChars="200" w:hanging="525" w:hangingChars="250"/>
        <w:rPr>
          <w:rFonts w:ascii="黑体" w:hAnsi="黑体" w:eastAsia="黑体"/>
        </w:rPr>
      </w:pPr>
      <w:r>
        <w:rPr>
          <w:rFonts w:hint="eastAsia" w:ascii="黑体" w:hAnsi="黑体" w:eastAsia="黑体"/>
        </w:rPr>
        <w:t>b)</w:t>
      </w:r>
      <w:r>
        <w:rPr>
          <w:rFonts w:ascii="黑体" w:hAnsi="黑体" w:eastAsia="黑体"/>
        </w:rPr>
        <w:t xml:space="preserve">   </w:t>
      </w:r>
      <w:r>
        <w:rPr>
          <w:rFonts w:hint="eastAsia" w:ascii="黑体" w:hAnsi="黑体" w:eastAsia="黑体"/>
        </w:rPr>
        <w:t>螺杆灌注桩用于抗压桩设计时内径可按表5.2.2-1取值，用于抗拔桩设计时内径可按表</w:t>
      </w:r>
      <w:r>
        <w:rPr>
          <w:rFonts w:ascii="黑体" w:hAnsi="黑体" w:eastAsia="黑体"/>
        </w:rPr>
        <w:t>2</w:t>
      </w:r>
      <w:r>
        <w:rPr>
          <w:rFonts w:hint="eastAsia" w:ascii="黑体" w:hAnsi="黑体" w:eastAsia="黑体"/>
        </w:rPr>
        <w:t>取值，当螺杆灌注桩既用于抗压桩也用于抗拔桩设计时内径取表1与表2中的大值。</w:t>
      </w:r>
    </w:p>
    <w:p>
      <w:pPr>
        <w:pStyle w:val="112"/>
        <w:spacing w:before="156" w:after="156"/>
        <w:rPr>
          <w:rFonts w:hAnsi="黑体"/>
        </w:rPr>
      </w:pPr>
      <w:r>
        <w:rPr>
          <w:rFonts w:hint="eastAsia" w:hAnsi="黑体"/>
        </w:rPr>
        <w:t>螺杆灌注桩用于抗压桩设计时内径取值参考表</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556"/>
        <w:gridCol w:w="1556"/>
        <w:gridCol w:w="1555"/>
        <w:gridCol w:w="1555"/>
        <w:gridCol w:w="1556"/>
        <w:gridCol w:w="155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556" w:type="dxa"/>
            <w:tcBorders>
              <w:top w:val="single" w:color="auto" w:sz="8" w:space="0"/>
              <w:bottom w:val="single" w:color="auto" w:sz="8" w:space="0"/>
            </w:tcBorders>
            <w:shd w:val="clear" w:color="auto" w:fill="auto"/>
            <w:vAlign w:val="center"/>
          </w:tcPr>
          <w:p>
            <w:pPr>
              <w:autoSpaceDE w:val="0"/>
              <w:jc w:val="center"/>
              <w:rPr>
                <w:rFonts w:ascii="黑体" w:hAnsi="黑体" w:eastAsia="黑体"/>
              </w:rPr>
            </w:pPr>
            <w:r>
              <w:rPr>
                <w:rFonts w:hint="eastAsia" w:ascii="黑体" w:hAnsi="黑体" w:eastAsia="黑体"/>
              </w:rPr>
              <w:t>桩径d</w:t>
            </w:r>
            <w:r>
              <w:rPr>
                <w:rFonts w:hint="eastAsia" w:ascii="黑体" w:hAnsi="黑体" w:eastAsia="黑体"/>
                <w:vertAlign w:val="subscript"/>
              </w:rPr>
              <w:t>1</w:t>
            </w:r>
            <w:r>
              <w:rPr>
                <w:rFonts w:hint="eastAsia" w:ascii="黑体" w:hAnsi="黑体" w:eastAsia="黑体"/>
              </w:rPr>
              <w:t>（mm）</w:t>
            </w:r>
          </w:p>
        </w:tc>
        <w:tc>
          <w:tcPr>
            <w:tcW w:w="1556" w:type="dxa"/>
            <w:tcBorders>
              <w:top w:val="single" w:color="auto" w:sz="8" w:space="0"/>
              <w:bottom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400</w:t>
            </w:r>
          </w:p>
        </w:tc>
        <w:tc>
          <w:tcPr>
            <w:tcW w:w="1555" w:type="dxa"/>
            <w:tcBorders>
              <w:top w:val="single" w:color="auto" w:sz="8" w:space="0"/>
              <w:bottom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500</w:t>
            </w:r>
          </w:p>
        </w:tc>
        <w:tc>
          <w:tcPr>
            <w:tcW w:w="1555" w:type="dxa"/>
            <w:tcBorders>
              <w:top w:val="single" w:color="auto" w:sz="8" w:space="0"/>
              <w:bottom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600</w:t>
            </w:r>
          </w:p>
        </w:tc>
        <w:tc>
          <w:tcPr>
            <w:tcW w:w="1556" w:type="dxa"/>
            <w:tcBorders>
              <w:top w:val="single" w:color="auto" w:sz="8" w:space="0"/>
              <w:bottom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700</w:t>
            </w:r>
          </w:p>
        </w:tc>
        <w:tc>
          <w:tcPr>
            <w:tcW w:w="1556" w:type="dxa"/>
            <w:tcBorders>
              <w:top w:val="single" w:color="auto" w:sz="8" w:space="0"/>
              <w:bottom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800~</w:t>
            </w:r>
            <w:r>
              <w:rPr>
                <w:rFonts w:ascii="黑体" w:hAnsi="黑体" w:eastAsia="黑体"/>
              </w:rPr>
              <w:t>9</w:t>
            </w:r>
            <w:r>
              <w:rPr>
                <w:rFonts w:hint="eastAsia" w:ascii="黑体" w:hAnsi="黑体" w:eastAsia="黑体"/>
              </w:rPr>
              <w:t>000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6" w:type="dxa"/>
            <w:tcBorders>
              <w:top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内径d</w:t>
            </w:r>
            <w:r>
              <w:rPr>
                <w:rFonts w:hint="eastAsia" w:ascii="黑体" w:hAnsi="黑体" w:eastAsia="黑体"/>
                <w:vertAlign w:val="subscript"/>
              </w:rPr>
              <w:t>0</w:t>
            </w:r>
            <w:r>
              <w:rPr>
                <w:rFonts w:hint="eastAsia" w:ascii="黑体" w:hAnsi="黑体" w:eastAsia="黑体"/>
              </w:rPr>
              <w:t>(mm)</w:t>
            </w:r>
          </w:p>
        </w:tc>
        <w:tc>
          <w:tcPr>
            <w:tcW w:w="1556" w:type="dxa"/>
            <w:tcBorders>
              <w:top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360</w:t>
            </w:r>
          </w:p>
        </w:tc>
        <w:tc>
          <w:tcPr>
            <w:tcW w:w="1555" w:type="dxa"/>
            <w:tcBorders>
              <w:top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460</w:t>
            </w:r>
          </w:p>
        </w:tc>
        <w:tc>
          <w:tcPr>
            <w:tcW w:w="1555" w:type="dxa"/>
            <w:tcBorders>
              <w:top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560</w:t>
            </w:r>
          </w:p>
        </w:tc>
        <w:tc>
          <w:tcPr>
            <w:tcW w:w="1556" w:type="dxa"/>
            <w:tcBorders>
              <w:top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660</w:t>
            </w:r>
          </w:p>
        </w:tc>
        <w:tc>
          <w:tcPr>
            <w:tcW w:w="1556" w:type="dxa"/>
            <w:tcBorders>
              <w:top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0.95d</w:t>
            </w:r>
            <w:r>
              <w:rPr>
                <w:rFonts w:hint="eastAsia" w:ascii="黑体" w:hAnsi="黑体" w:eastAsia="黑体"/>
                <w:vertAlign w:val="subscript"/>
              </w:rPr>
              <w:t>1</w:t>
            </w:r>
          </w:p>
        </w:tc>
      </w:tr>
    </w:tbl>
    <w:p>
      <w:pPr>
        <w:pStyle w:val="56"/>
        <w:ind w:firstLine="0" w:firstLineChars="0"/>
        <w:rPr>
          <w:rFonts w:ascii="黑体" w:hAnsi="黑体" w:eastAsia="黑体"/>
        </w:rPr>
      </w:pPr>
    </w:p>
    <w:p>
      <w:pPr>
        <w:pStyle w:val="56"/>
        <w:ind w:firstLine="0" w:firstLineChars="0"/>
        <w:rPr>
          <w:rFonts w:ascii="黑体" w:hAnsi="黑体" w:eastAsia="黑体"/>
        </w:rPr>
      </w:pPr>
    </w:p>
    <w:p>
      <w:pPr>
        <w:pStyle w:val="56"/>
        <w:ind w:firstLine="0" w:firstLineChars="0"/>
        <w:rPr>
          <w:rFonts w:ascii="黑体" w:hAnsi="黑体" w:eastAsia="黑体"/>
        </w:rPr>
      </w:pPr>
    </w:p>
    <w:p>
      <w:pPr>
        <w:pStyle w:val="112"/>
        <w:spacing w:before="156" w:after="156"/>
        <w:rPr>
          <w:rFonts w:hAnsi="黑体"/>
        </w:rPr>
      </w:pPr>
      <w:r>
        <w:rPr>
          <w:rFonts w:hint="eastAsia" w:hAnsi="黑体"/>
        </w:rPr>
        <w:t>螺杆灌注桩用于抗拔桩设计时内径取值参考表</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332"/>
        <w:gridCol w:w="1333"/>
        <w:gridCol w:w="1333"/>
        <w:gridCol w:w="1334"/>
        <w:gridCol w:w="1334"/>
        <w:gridCol w:w="1334"/>
        <w:gridCol w:w="13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332" w:type="dxa"/>
            <w:tcBorders>
              <w:top w:val="single" w:color="auto" w:sz="8" w:space="0"/>
              <w:bottom w:val="single" w:color="auto" w:sz="8" w:space="0"/>
            </w:tcBorders>
            <w:shd w:val="clear" w:color="auto" w:fill="auto"/>
            <w:vAlign w:val="center"/>
          </w:tcPr>
          <w:p>
            <w:pPr>
              <w:autoSpaceDE w:val="0"/>
              <w:jc w:val="center"/>
              <w:rPr>
                <w:rFonts w:ascii="黑体" w:hAnsi="黑体" w:eastAsia="黑体"/>
              </w:rPr>
            </w:pPr>
            <w:r>
              <w:rPr>
                <w:rFonts w:hint="eastAsia" w:ascii="黑体" w:hAnsi="黑体" w:eastAsia="黑体"/>
              </w:rPr>
              <w:t>桩径d</w:t>
            </w:r>
            <w:r>
              <w:rPr>
                <w:rFonts w:hint="eastAsia" w:ascii="黑体" w:hAnsi="黑体" w:eastAsia="黑体"/>
                <w:vertAlign w:val="subscript"/>
              </w:rPr>
              <w:t>1</w:t>
            </w:r>
            <w:r>
              <w:rPr>
                <w:rFonts w:hint="eastAsia" w:ascii="黑体" w:hAnsi="黑体" w:eastAsia="黑体"/>
              </w:rPr>
              <w:t>（mm）</w:t>
            </w:r>
          </w:p>
        </w:tc>
        <w:tc>
          <w:tcPr>
            <w:tcW w:w="1333" w:type="dxa"/>
            <w:tcBorders>
              <w:top w:val="single" w:color="auto" w:sz="8" w:space="0"/>
              <w:bottom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300</w:t>
            </w:r>
          </w:p>
        </w:tc>
        <w:tc>
          <w:tcPr>
            <w:tcW w:w="1333" w:type="dxa"/>
            <w:tcBorders>
              <w:top w:val="single" w:color="auto" w:sz="8" w:space="0"/>
              <w:bottom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400</w:t>
            </w:r>
          </w:p>
        </w:tc>
        <w:tc>
          <w:tcPr>
            <w:tcW w:w="1334" w:type="dxa"/>
            <w:tcBorders>
              <w:top w:val="single" w:color="auto" w:sz="8" w:space="0"/>
              <w:bottom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500</w:t>
            </w:r>
          </w:p>
        </w:tc>
        <w:tc>
          <w:tcPr>
            <w:tcW w:w="1334" w:type="dxa"/>
            <w:tcBorders>
              <w:top w:val="single" w:color="auto" w:sz="8" w:space="0"/>
              <w:bottom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600</w:t>
            </w:r>
          </w:p>
        </w:tc>
        <w:tc>
          <w:tcPr>
            <w:tcW w:w="1334" w:type="dxa"/>
            <w:tcBorders>
              <w:top w:val="single" w:color="auto" w:sz="8" w:space="0"/>
              <w:bottom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700</w:t>
            </w:r>
          </w:p>
        </w:tc>
        <w:tc>
          <w:tcPr>
            <w:tcW w:w="1334" w:type="dxa"/>
            <w:tcBorders>
              <w:top w:val="single" w:color="auto" w:sz="8" w:space="0"/>
              <w:bottom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800~1000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tcBorders>
              <w:top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内径d</w:t>
            </w:r>
            <w:r>
              <w:rPr>
                <w:rFonts w:hint="eastAsia" w:ascii="黑体" w:hAnsi="黑体" w:eastAsia="黑体"/>
                <w:vertAlign w:val="subscript"/>
              </w:rPr>
              <w:t>0</w:t>
            </w:r>
            <w:r>
              <w:rPr>
                <w:rFonts w:hint="eastAsia" w:ascii="黑体" w:hAnsi="黑体" w:eastAsia="黑体"/>
              </w:rPr>
              <w:t>(mm)</w:t>
            </w:r>
          </w:p>
        </w:tc>
        <w:tc>
          <w:tcPr>
            <w:tcW w:w="1333" w:type="dxa"/>
            <w:tcBorders>
              <w:top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273</w:t>
            </w:r>
          </w:p>
        </w:tc>
        <w:tc>
          <w:tcPr>
            <w:tcW w:w="1333" w:type="dxa"/>
            <w:tcBorders>
              <w:top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299</w:t>
            </w:r>
          </w:p>
        </w:tc>
        <w:tc>
          <w:tcPr>
            <w:tcW w:w="1334" w:type="dxa"/>
            <w:tcBorders>
              <w:top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340</w:t>
            </w:r>
          </w:p>
        </w:tc>
        <w:tc>
          <w:tcPr>
            <w:tcW w:w="1334" w:type="dxa"/>
            <w:tcBorders>
              <w:top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380</w:t>
            </w:r>
          </w:p>
        </w:tc>
        <w:tc>
          <w:tcPr>
            <w:tcW w:w="1334" w:type="dxa"/>
            <w:tcBorders>
              <w:top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450</w:t>
            </w:r>
          </w:p>
        </w:tc>
        <w:tc>
          <w:tcPr>
            <w:tcW w:w="1334" w:type="dxa"/>
            <w:tcBorders>
              <w:top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0.65d</w:t>
            </w:r>
            <w:r>
              <w:rPr>
                <w:rFonts w:hint="eastAsia" w:ascii="黑体" w:hAnsi="黑体" w:eastAsia="黑体"/>
                <w:vertAlign w:val="subscript"/>
              </w:rPr>
              <w:t>1</w:t>
            </w:r>
          </w:p>
        </w:tc>
      </w:tr>
    </w:tbl>
    <w:p>
      <w:pPr>
        <w:pStyle w:val="56"/>
        <w:ind w:firstLine="0" w:firstLineChars="0"/>
        <w:rPr>
          <w:rFonts w:ascii="黑体" w:hAnsi="黑体" w:eastAsia="黑体"/>
        </w:rPr>
      </w:pPr>
    </w:p>
    <w:p>
      <w:pPr>
        <w:pStyle w:val="65"/>
        <w:spacing w:before="156" w:after="156"/>
        <w:rPr>
          <w:rFonts w:hAnsi="黑体"/>
        </w:rPr>
      </w:pPr>
      <w:bookmarkStart w:id="159" w:name="_Toc124595571"/>
      <w:r>
        <w:rPr>
          <w:rFonts w:hint="eastAsia" w:hAnsi="黑体"/>
        </w:rPr>
        <w:t>螺杆灌注桩直杆段长度宜为桩长的1/3，且不宜小于桩身设计直径d</w:t>
      </w:r>
      <w:r>
        <w:rPr>
          <w:rFonts w:hint="eastAsia" w:hAnsi="黑体"/>
          <w:vertAlign w:val="subscript"/>
        </w:rPr>
        <w:t>1</w:t>
      </w:r>
      <w:r>
        <w:rPr>
          <w:rFonts w:hint="eastAsia" w:hAnsi="黑体"/>
        </w:rPr>
        <w:t>的5倍。当桩周土层可能引起桩侧负摩阻力时，中性点以上的负摩阻力区域应为直杆段。</w:t>
      </w:r>
      <w:bookmarkEnd w:id="159"/>
    </w:p>
    <w:p>
      <w:pPr>
        <w:pStyle w:val="65"/>
        <w:spacing w:before="156" w:after="156"/>
        <w:rPr>
          <w:rFonts w:hAnsi="黑体"/>
        </w:rPr>
      </w:pPr>
      <w:bookmarkStart w:id="160" w:name="_Toc124595572"/>
      <w:r>
        <w:rPr>
          <w:rFonts w:hint="eastAsia" w:hAnsi="黑体"/>
        </w:rPr>
        <w:t>螺杆灌注桩扩大体直径宜为</w:t>
      </w:r>
      <w:r>
        <w:rPr>
          <w:rFonts w:hAnsi="黑体"/>
        </w:rPr>
        <w:drawing>
          <wp:inline distT="0" distB="0" distL="0" distR="0">
            <wp:extent cx="546100" cy="464185"/>
            <wp:effectExtent l="0" t="0" r="6350" b="0"/>
            <wp:docPr id="82" name="图片 82" descr="C:\Users\ADMINI~1\AppData\Local\Temp\ksohtml9220\wps46.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2" name="图片 82" descr="C:\Users\ADMINI~1\AppData\Local\Temp\ksohtml9220\wps46.png"/>
                    <pic:cNvPicPr>
                      <a:picLocks noChangeAspect="true" noChangeArrowheads="true"/>
                    </pic:cNvPicPr>
                  </pic:nvPicPr>
                  <pic:blipFill>
                    <a:blip r:embed="rId76">
                      <a:extLst>
                        <a:ext uri="{28A0092B-C50C-407E-A947-70E740481C1C}">
                          <a14:useLocalDpi xmlns:a14="http://schemas.microsoft.com/office/drawing/2010/main" val="false"/>
                        </a:ext>
                      </a:extLst>
                    </a:blip>
                    <a:srcRect/>
                    <a:stretch>
                      <a:fillRect/>
                    </a:stretch>
                  </pic:blipFill>
                  <pic:spPr>
                    <a:xfrm>
                      <a:off x="0" y="0"/>
                      <a:ext cx="546100" cy="464185"/>
                    </a:xfrm>
                    <a:prstGeom prst="rect">
                      <a:avLst/>
                    </a:prstGeom>
                    <a:noFill/>
                    <a:ln>
                      <a:noFill/>
                    </a:ln>
                  </pic:spPr>
                </pic:pic>
              </a:graphicData>
            </a:graphic>
          </wp:inline>
        </w:drawing>
      </w:r>
      <w:r>
        <w:rPr>
          <w:rFonts w:hint="eastAsia" w:hAnsi="黑体"/>
        </w:rPr>
        <w:t>，扩大体高度宜≥1m。</w:t>
      </w:r>
      <w:bookmarkEnd w:id="160"/>
    </w:p>
    <w:p>
      <w:pPr>
        <w:pStyle w:val="65"/>
        <w:spacing w:before="156" w:after="156"/>
        <w:rPr>
          <w:rFonts w:hAnsi="黑体"/>
        </w:rPr>
      </w:pPr>
      <w:bookmarkStart w:id="161" w:name="_Toc124595573"/>
      <w:r>
        <w:rPr>
          <w:rFonts w:hint="eastAsia" w:hAnsi="黑体"/>
        </w:rPr>
        <w:t>螺杆灌注桩应选择稳定的中低压缩性土层或岩层作为桩端持力层。桩端全断面进入持力层的深度，对于黏性土、粉土不宜小于2d</w:t>
      </w:r>
      <w:r>
        <w:rPr>
          <w:rFonts w:hint="eastAsia" w:hAnsi="黑体"/>
          <w:vertAlign w:val="subscript"/>
        </w:rPr>
        <w:t>1</w:t>
      </w:r>
      <w:r>
        <w:rPr>
          <w:rFonts w:hint="eastAsia" w:hAnsi="黑体"/>
        </w:rPr>
        <w:t>，砂土不宜小于1.5d</w:t>
      </w:r>
      <w:r>
        <w:rPr>
          <w:rFonts w:hint="eastAsia" w:hAnsi="黑体"/>
          <w:vertAlign w:val="subscript"/>
        </w:rPr>
        <w:t>1</w:t>
      </w:r>
      <w:r>
        <w:rPr>
          <w:rFonts w:hint="eastAsia" w:hAnsi="黑体"/>
        </w:rPr>
        <w:t>，碎石类土不宜小于1d</w:t>
      </w:r>
      <w:r>
        <w:rPr>
          <w:rFonts w:hint="eastAsia" w:hAnsi="黑体"/>
          <w:vertAlign w:val="subscript"/>
        </w:rPr>
        <w:t>1</w:t>
      </w:r>
      <w:r>
        <w:rPr>
          <w:rFonts w:hint="eastAsia" w:hAnsi="黑体"/>
        </w:rPr>
        <w:t>。当桩端存在软弱下卧层时，桩端以下持力层厚度不应小于3d</w:t>
      </w:r>
      <w:r>
        <w:rPr>
          <w:rFonts w:hint="eastAsia" w:hAnsi="黑体"/>
          <w:vertAlign w:val="subscript"/>
        </w:rPr>
        <w:t>1</w:t>
      </w:r>
      <w:r>
        <w:rPr>
          <w:rFonts w:hint="eastAsia" w:hAnsi="黑体"/>
        </w:rPr>
        <w:t>。</w:t>
      </w:r>
      <w:bookmarkEnd w:id="161"/>
    </w:p>
    <w:p>
      <w:pPr>
        <w:pStyle w:val="65"/>
        <w:spacing w:before="156" w:after="156"/>
        <w:rPr>
          <w:rFonts w:hAnsi="黑体"/>
        </w:rPr>
      </w:pPr>
      <w:bookmarkStart w:id="162" w:name="_Toc124595574"/>
      <w:r>
        <w:rPr>
          <w:rFonts w:hint="eastAsia" w:hAnsi="黑体"/>
        </w:rPr>
        <w:t>当桩端嵌岩时，嵌岩深度应根据荷载、上覆土层、基岩、桩径、桩长等因素综合确定。全断面嵌入完整和较完整岩的深度不宜小于0.5m，嵌入倾斜度大于30%的中风化软质岩时，宜根据倾斜度及岩石完整性加大嵌岩深度。</w:t>
      </w:r>
      <w:bookmarkEnd w:id="162"/>
      <w:r>
        <w:rPr>
          <w:rFonts w:hint="eastAsia" w:hAnsi="黑体"/>
        </w:rPr>
        <w:t xml:space="preserve"> </w:t>
      </w:r>
    </w:p>
    <w:p>
      <w:pPr>
        <w:pStyle w:val="65"/>
        <w:spacing w:before="156" w:after="156"/>
        <w:rPr>
          <w:rFonts w:hAnsi="黑体"/>
        </w:rPr>
      </w:pPr>
      <w:bookmarkStart w:id="163" w:name="_Toc124595575"/>
      <w:r>
        <w:rPr>
          <w:rFonts w:hint="eastAsia" w:hAnsi="黑体"/>
        </w:rPr>
        <w:t>螺杆灌注桩的最小中心距应符合表</w:t>
      </w:r>
      <w:r>
        <w:rPr>
          <w:rFonts w:hAnsi="黑体"/>
        </w:rPr>
        <w:t>3</w:t>
      </w:r>
      <w:r>
        <w:rPr>
          <w:rFonts w:hint="eastAsia" w:hAnsi="黑体"/>
        </w:rPr>
        <w:t>规定。</w:t>
      </w:r>
      <w:bookmarkEnd w:id="163"/>
    </w:p>
    <w:p>
      <w:pPr>
        <w:pStyle w:val="112"/>
        <w:spacing w:before="156" w:after="156"/>
        <w:rPr>
          <w:rFonts w:hAnsi="黑体"/>
          <w:bCs/>
        </w:rPr>
      </w:pPr>
      <w:r>
        <w:rPr>
          <w:rFonts w:hint="eastAsia" w:hAnsi="黑体"/>
          <w:bCs/>
        </w:rPr>
        <w:t>螺杆灌注桩基桩的最小中心距</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110"/>
        <w:gridCol w:w="3112"/>
        <w:gridCol w:w="31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3110" w:type="dxa"/>
            <w:tcBorders>
              <w:top w:val="single" w:color="auto" w:sz="8" w:space="0"/>
              <w:bottom w:val="single" w:color="auto" w:sz="8" w:space="0"/>
            </w:tcBorders>
            <w:shd w:val="clear" w:color="auto" w:fill="auto"/>
            <w:vAlign w:val="center"/>
          </w:tcPr>
          <w:p>
            <w:pPr>
              <w:autoSpaceDE w:val="0"/>
              <w:jc w:val="center"/>
              <w:rPr>
                <w:rFonts w:ascii="黑体" w:hAnsi="黑体" w:eastAsia="黑体"/>
              </w:rPr>
            </w:pPr>
            <w:r>
              <w:rPr>
                <w:rFonts w:hint="eastAsia" w:ascii="黑体" w:hAnsi="黑体" w:eastAsia="黑体"/>
              </w:rPr>
              <w:t>土类</w:t>
            </w:r>
          </w:p>
        </w:tc>
        <w:tc>
          <w:tcPr>
            <w:tcW w:w="3112" w:type="dxa"/>
            <w:tcBorders>
              <w:top w:val="single" w:color="auto" w:sz="8" w:space="0"/>
              <w:bottom w:val="single" w:color="auto" w:sz="8" w:space="0"/>
            </w:tcBorders>
            <w:shd w:val="clear" w:color="auto" w:fill="auto"/>
            <w:vAlign w:val="center"/>
          </w:tcPr>
          <w:p>
            <w:pPr>
              <w:autoSpaceDE w:val="0"/>
              <w:jc w:val="center"/>
              <w:rPr>
                <w:rFonts w:ascii="黑体" w:hAnsi="黑体" w:eastAsia="黑体"/>
              </w:rPr>
            </w:pPr>
            <w:r>
              <w:rPr>
                <w:rFonts w:hint="eastAsia" w:ascii="黑体" w:hAnsi="黑体" w:eastAsia="黑体"/>
              </w:rPr>
              <w:t>排数不少于3排且桩数不少于9根的摩擦型桩桩基</w:t>
            </w:r>
          </w:p>
        </w:tc>
        <w:tc>
          <w:tcPr>
            <w:tcW w:w="3112" w:type="dxa"/>
            <w:tcBorders>
              <w:top w:val="single" w:color="auto" w:sz="8" w:space="0"/>
              <w:bottom w:val="single" w:color="auto" w:sz="8" w:space="0"/>
            </w:tcBorders>
            <w:shd w:val="clear" w:color="auto" w:fill="auto"/>
            <w:vAlign w:val="center"/>
          </w:tcPr>
          <w:p>
            <w:pPr>
              <w:autoSpaceDE w:val="0"/>
              <w:jc w:val="center"/>
              <w:rPr>
                <w:rFonts w:ascii="黑体" w:hAnsi="黑体" w:eastAsia="黑体"/>
              </w:rPr>
            </w:pPr>
            <w:r>
              <w:rPr>
                <w:rFonts w:hint="eastAsia" w:ascii="黑体" w:hAnsi="黑体" w:eastAsia="黑体"/>
              </w:rPr>
              <w:t>其他情况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top w:val="single" w:color="auto" w:sz="8" w:space="0"/>
            </w:tcBorders>
            <w:shd w:val="clear" w:color="auto" w:fill="auto"/>
            <w:vAlign w:val="center"/>
          </w:tcPr>
          <w:p>
            <w:pPr>
              <w:autoSpaceDE w:val="0"/>
              <w:jc w:val="left"/>
              <w:rPr>
                <w:rFonts w:ascii="黑体" w:hAnsi="黑体" w:eastAsia="黑体"/>
              </w:rPr>
            </w:pPr>
            <w:r>
              <w:rPr>
                <w:rFonts w:hint="eastAsia" w:ascii="黑体" w:hAnsi="黑体" w:eastAsia="黑体"/>
              </w:rPr>
              <w:t>非饱和土、饱和非黏性土</w:t>
            </w:r>
          </w:p>
        </w:tc>
        <w:tc>
          <w:tcPr>
            <w:tcW w:w="3112" w:type="dxa"/>
            <w:tcBorders>
              <w:top w:val="single" w:color="auto" w:sz="8" w:space="0"/>
            </w:tcBorders>
            <w:shd w:val="clear" w:color="auto" w:fill="auto"/>
            <w:vAlign w:val="center"/>
          </w:tcPr>
          <w:p>
            <w:pPr>
              <w:autoSpaceDE w:val="0"/>
              <w:jc w:val="center"/>
              <w:rPr>
                <w:rFonts w:ascii="黑体" w:hAnsi="黑体" w:eastAsia="黑体"/>
              </w:rPr>
            </w:pPr>
            <w:r>
              <w:rPr>
                <w:rFonts w:hint="eastAsia" w:ascii="黑体" w:hAnsi="黑体" w:eastAsia="黑体"/>
              </w:rPr>
              <w:t>3.5d</w:t>
            </w:r>
            <w:r>
              <w:rPr>
                <w:rFonts w:hint="eastAsia" w:ascii="黑体" w:hAnsi="黑体" w:eastAsia="黑体"/>
                <w:vertAlign w:val="subscript"/>
              </w:rPr>
              <w:t>1</w:t>
            </w:r>
          </w:p>
        </w:tc>
        <w:tc>
          <w:tcPr>
            <w:tcW w:w="3112" w:type="dxa"/>
            <w:tcBorders>
              <w:top w:val="single" w:color="auto" w:sz="8" w:space="0"/>
            </w:tcBorders>
            <w:shd w:val="clear" w:color="auto" w:fill="auto"/>
            <w:vAlign w:val="center"/>
          </w:tcPr>
          <w:p>
            <w:pPr>
              <w:autoSpaceDE w:val="0"/>
              <w:jc w:val="center"/>
              <w:rPr>
                <w:rFonts w:ascii="黑体" w:hAnsi="黑体" w:eastAsia="黑体"/>
              </w:rPr>
            </w:pPr>
            <w:r>
              <w:rPr>
                <w:rFonts w:hint="eastAsia" w:ascii="黑体" w:hAnsi="黑体" w:eastAsia="黑体"/>
              </w:rPr>
              <w:t>3.0d</w:t>
            </w:r>
            <w:r>
              <w:rPr>
                <w:rFonts w:hint="eastAsia" w:ascii="黑体" w:hAnsi="黑体" w:eastAsia="黑体"/>
                <w:vertAlign w:val="subscript"/>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shd w:val="clear" w:color="auto" w:fill="auto"/>
            <w:vAlign w:val="center"/>
          </w:tcPr>
          <w:p>
            <w:pPr>
              <w:autoSpaceDE w:val="0"/>
              <w:jc w:val="left"/>
              <w:rPr>
                <w:rFonts w:ascii="黑体" w:hAnsi="黑体" w:eastAsia="黑体"/>
              </w:rPr>
            </w:pPr>
            <w:r>
              <w:rPr>
                <w:rFonts w:hint="eastAsia" w:ascii="黑体" w:hAnsi="黑体" w:eastAsia="黑体"/>
              </w:rPr>
              <w:t>饱和黏性土</w:t>
            </w:r>
          </w:p>
        </w:tc>
        <w:tc>
          <w:tcPr>
            <w:tcW w:w="3112" w:type="dxa"/>
            <w:shd w:val="clear" w:color="auto" w:fill="auto"/>
            <w:vAlign w:val="center"/>
          </w:tcPr>
          <w:p>
            <w:pPr>
              <w:autoSpaceDE w:val="0"/>
              <w:jc w:val="center"/>
              <w:rPr>
                <w:rFonts w:ascii="黑体" w:hAnsi="黑体" w:eastAsia="黑体"/>
              </w:rPr>
            </w:pPr>
            <w:r>
              <w:rPr>
                <w:rFonts w:hint="eastAsia" w:ascii="黑体" w:hAnsi="黑体" w:eastAsia="黑体"/>
              </w:rPr>
              <w:t>4.0d</w:t>
            </w:r>
            <w:r>
              <w:rPr>
                <w:rFonts w:hint="eastAsia" w:ascii="黑体" w:hAnsi="黑体" w:eastAsia="黑体"/>
                <w:vertAlign w:val="subscript"/>
              </w:rPr>
              <w:t>1</w:t>
            </w:r>
          </w:p>
        </w:tc>
        <w:tc>
          <w:tcPr>
            <w:tcW w:w="3112" w:type="dxa"/>
            <w:shd w:val="clear" w:color="auto" w:fill="auto"/>
            <w:vAlign w:val="center"/>
          </w:tcPr>
          <w:p>
            <w:pPr>
              <w:autoSpaceDE w:val="0"/>
              <w:jc w:val="center"/>
              <w:rPr>
                <w:rFonts w:ascii="黑体" w:hAnsi="黑体" w:eastAsia="黑体"/>
              </w:rPr>
            </w:pPr>
            <w:r>
              <w:rPr>
                <w:rFonts w:hint="eastAsia" w:ascii="黑体" w:hAnsi="黑体" w:eastAsia="黑体"/>
              </w:rPr>
              <w:t>3.5d</w:t>
            </w:r>
            <w:r>
              <w:rPr>
                <w:rFonts w:hint="eastAsia" w:ascii="黑体" w:hAnsi="黑体" w:eastAsia="黑体"/>
                <w:vertAlign w:val="subscript"/>
              </w:rPr>
              <w:t>1</w:t>
            </w:r>
          </w:p>
        </w:tc>
      </w:tr>
    </w:tbl>
    <w:p>
      <w:pPr>
        <w:pStyle w:val="56"/>
        <w:ind w:firstLine="0" w:firstLineChars="0"/>
        <w:rPr>
          <w:rFonts w:ascii="黑体" w:hAnsi="黑体" w:eastAsia="黑体"/>
        </w:rPr>
      </w:pPr>
    </w:p>
    <w:p>
      <w:pPr>
        <w:pStyle w:val="65"/>
        <w:spacing w:before="156" w:after="156"/>
        <w:rPr>
          <w:rFonts w:hAnsi="黑体"/>
        </w:rPr>
      </w:pPr>
      <w:bookmarkStart w:id="164" w:name="_Toc124595576"/>
      <w:r>
        <w:rPr>
          <w:rFonts w:hint="eastAsia" w:hAnsi="黑体"/>
        </w:rPr>
        <w:t>在挤土效应明显的地层（淤泥或淤泥质土）时，可采取跳打施工或屏障技术等施工措施。屏障技术示意图详见附录F。</w:t>
      </w:r>
      <w:bookmarkEnd w:id="164"/>
    </w:p>
    <w:p>
      <w:pPr>
        <w:pStyle w:val="65"/>
        <w:spacing w:before="156" w:after="156"/>
        <w:rPr>
          <w:rFonts w:hAnsi="黑体"/>
          <w:b/>
          <w:bCs/>
        </w:rPr>
      </w:pPr>
      <w:bookmarkStart w:id="165" w:name="_Toc124595577"/>
      <w:r>
        <w:rPr>
          <w:rFonts w:hint="eastAsia" w:hAnsi="黑体"/>
        </w:rPr>
        <w:t>作为基桩的螺杆灌注桩，桩身混凝土强度等级不应小于C25。</w:t>
      </w:r>
      <w:bookmarkEnd w:id="165"/>
    </w:p>
    <w:p>
      <w:pPr>
        <w:pStyle w:val="65"/>
        <w:spacing w:before="156" w:after="156"/>
        <w:rPr>
          <w:rFonts w:hAnsi="黑体"/>
        </w:rPr>
      </w:pPr>
      <w:bookmarkStart w:id="166" w:name="_Toc124595578"/>
      <w:r>
        <w:rPr>
          <w:rFonts w:hint="eastAsia" w:hAnsi="黑体"/>
        </w:rPr>
        <w:t>螺杆灌注桩主筋的混凝土保护层厚度不应小于50mm。</w:t>
      </w:r>
      <w:bookmarkEnd w:id="166"/>
    </w:p>
    <w:p>
      <w:pPr>
        <w:pStyle w:val="65"/>
        <w:spacing w:before="156" w:after="156"/>
        <w:rPr>
          <w:rFonts w:hAnsi="黑体"/>
        </w:rPr>
      </w:pPr>
      <w:bookmarkStart w:id="167" w:name="_Toc124595579"/>
      <w:r>
        <w:rPr>
          <w:rFonts w:hint="eastAsia" w:hAnsi="黑体"/>
        </w:rPr>
        <w:t>螺杆灌注桩的最小配筋率可取0.3%~0.65%，小直径桩取高值；对于受荷载特别大的桩、抗拔桩和端承桩应根据计算确定配筋率，且不应小于最小配筋率的规定值。</w:t>
      </w:r>
      <w:bookmarkEnd w:id="167"/>
    </w:p>
    <w:p>
      <w:pPr>
        <w:pStyle w:val="65"/>
        <w:spacing w:before="156" w:after="156"/>
        <w:rPr>
          <w:rFonts w:hAnsi="黑体"/>
        </w:rPr>
      </w:pPr>
      <w:bookmarkStart w:id="168" w:name="_Toc124595580"/>
      <w:r>
        <w:rPr>
          <w:rFonts w:hint="eastAsia" w:hAnsi="黑体"/>
        </w:rPr>
        <w:t>螺杆灌注桩的配筋长度应符合下列规定：</w:t>
      </w:r>
      <w:bookmarkEnd w:id="168"/>
    </w:p>
    <w:p>
      <w:pPr>
        <w:ind w:firstLine="420" w:firstLineChars="200"/>
        <w:rPr>
          <w:rFonts w:ascii="黑体" w:hAnsi="黑体" w:eastAsia="黑体"/>
        </w:rPr>
      </w:pPr>
      <w:r>
        <w:rPr>
          <w:rFonts w:hint="eastAsia" w:ascii="黑体" w:hAnsi="黑体" w:eastAsia="黑体"/>
        </w:rPr>
        <w:t>a)作为端承型桩使用时，应沿桩身等截面或变截面通长配筋；</w:t>
      </w:r>
    </w:p>
    <w:p>
      <w:pPr>
        <w:ind w:firstLine="420" w:firstLineChars="200"/>
        <w:rPr>
          <w:rFonts w:ascii="黑体" w:hAnsi="黑体" w:eastAsia="黑体"/>
        </w:rPr>
      </w:pPr>
      <w:r>
        <w:rPr>
          <w:rFonts w:hint="eastAsia" w:ascii="黑体" w:hAnsi="黑体" w:eastAsia="黑体"/>
        </w:rPr>
        <w:t>b)作为摩擦型桩使用时，配筋长度不应小于2/3桩长；</w:t>
      </w:r>
    </w:p>
    <w:p>
      <w:pPr>
        <w:ind w:firstLine="420" w:firstLineChars="200"/>
        <w:rPr>
          <w:rFonts w:ascii="黑体" w:hAnsi="黑体" w:eastAsia="黑体"/>
        </w:rPr>
      </w:pPr>
      <w:r>
        <w:rPr>
          <w:rFonts w:hint="eastAsia" w:ascii="黑体" w:hAnsi="黑体" w:eastAsia="黑体"/>
        </w:rPr>
        <w:t>c)对于受地震作用的基桩，应通长配筋；</w:t>
      </w:r>
    </w:p>
    <w:p>
      <w:pPr>
        <w:ind w:firstLine="420" w:firstLineChars="200"/>
        <w:rPr>
          <w:rFonts w:ascii="黑体" w:hAnsi="黑体" w:eastAsia="黑体"/>
        </w:rPr>
      </w:pPr>
      <w:r>
        <w:rPr>
          <w:rFonts w:hint="eastAsia" w:ascii="黑体" w:hAnsi="黑体" w:eastAsia="黑体"/>
        </w:rPr>
        <w:t>d)对于受负摩阻力的桩，配筋应穿过软弱土层，进入稳定土层的深度不应小于3d</w:t>
      </w:r>
      <w:r>
        <w:rPr>
          <w:rFonts w:hint="eastAsia" w:ascii="黑体" w:hAnsi="黑体" w:eastAsia="黑体"/>
          <w:vertAlign w:val="subscript"/>
        </w:rPr>
        <w:t>1</w:t>
      </w:r>
      <w:r>
        <w:rPr>
          <w:rFonts w:hint="eastAsia" w:ascii="黑体" w:hAnsi="黑体" w:eastAsia="黑体"/>
        </w:rPr>
        <w:t>；</w:t>
      </w:r>
    </w:p>
    <w:p>
      <w:pPr>
        <w:ind w:firstLine="420" w:firstLineChars="200"/>
        <w:rPr>
          <w:rFonts w:ascii="黑体" w:hAnsi="黑体" w:eastAsia="黑体"/>
        </w:rPr>
      </w:pPr>
      <w:r>
        <w:rPr>
          <w:rFonts w:hint="eastAsia" w:ascii="黑体" w:hAnsi="黑体" w:eastAsia="黑体"/>
        </w:rPr>
        <w:t>e)对于抗拔桩及承受拔力的桩，应等截面或变截面通长配筋。</w:t>
      </w:r>
    </w:p>
    <w:p>
      <w:pPr>
        <w:pStyle w:val="65"/>
        <w:spacing w:before="156" w:after="156"/>
        <w:rPr>
          <w:rFonts w:hAnsi="黑体"/>
        </w:rPr>
      </w:pPr>
      <w:bookmarkStart w:id="169" w:name="_Toc124595581"/>
      <w:r>
        <w:rPr>
          <w:rFonts w:hint="eastAsia" w:hAnsi="黑体"/>
        </w:rPr>
        <w:t>对于受水平荷载的螺杆灌注桩，主筋不应小于8φ12；对于抗压桩和抗拔桩，主筋不应少于6φ10；纵向主筋应沿桩身周边均匀布置，其净距不应小于60mm。</w:t>
      </w:r>
      <w:bookmarkEnd w:id="169"/>
    </w:p>
    <w:p>
      <w:pPr>
        <w:pStyle w:val="65"/>
        <w:spacing w:before="156" w:after="156"/>
        <w:rPr>
          <w:rFonts w:hAnsi="黑体"/>
        </w:rPr>
      </w:pPr>
      <w:bookmarkStart w:id="170" w:name="_Toc124595582"/>
      <w:r>
        <w:rPr>
          <w:rFonts w:hint="eastAsia" w:hAnsi="黑体"/>
        </w:rPr>
        <w:t>箍筋应采用螺旋式，直径不应小于6mm，间距宜为200mm~300mm；受水平荷载较大的桩基、承受水平地震作用的桩基以及考虑主筋作用计算桩身受压承载力时，桩顶以下5d</w:t>
      </w:r>
      <w:r>
        <w:rPr>
          <w:rFonts w:hint="eastAsia" w:hAnsi="黑体"/>
          <w:vertAlign w:val="subscript"/>
        </w:rPr>
        <w:t>1</w:t>
      </w:r>
      <w:r>
        <w:rPr>
          <w:rFonts w:hint="eastAsia" w:hAnsi="黑体"/>
        </w:rPr>
        <w:t>范围内的箍筋应加密，间距不应大于100mm；当桩身位于液化土层范围内时箍筋应加密；当考虑箍筋受力作用时，箍筋配置应符合现行国家标准《混凝土结构设计规范》GB50010的有关规定；当钢筋笼长度超过4m时，应每隔2m设一道直径不小于12mm的焊接加劲箍筋。</w:t>
      </w:r>
      <w:bookmarkEnd w:id="170"/>
    </w:p>
    <w:p>
      <w:pPr>
        <w:pStyle w:val="105"/>
        <w:spacing w:before="156" w:after="156"/>
        <w:rPr>
          <w:rFonts w:hAnsi="黑体"/>
        </w:rPr>
      </w:pPr>
      <w:bookmarkStart w:id="171" w:name="_Toc24375"/>
      <w:bookmarkStart w:id="172" w:name="_Toc124595583"/>
      <w:r>
        <w:rPr>
          <w:rFonts w:hint="eastAsia" w:hAnsi="黑体"/>
        </w:rPr>
        <w:t>螺杆灌注桩单桩竖向极限承载力</w:t>
      </w:r>
      <w:bookmarkEnd w:id="171"/>
      <w:bookmarkEnd w:id="172"/>
    </w:p>
    <w:p>
      <w:pPr>
        <w:pStyle w:val="65"/>
        <w:spacing w:before="156" w:after="156"/>
        <w:rPr>
          <w:rFonts w:hAnsi="黑体"/>
        </w:rPr>
      </w:pPr>
      <w:bookmarkStart w:id="173" w:name="_Toc124595584"/>
      <w:r>
        <w:rPr>
          <w:rFonts w:hint="eastAsia" w:hAnsi="黑体"/>
        </w:rPr>
        <w:t>螺杆灌注桩单桩竖向承载力特征值</w:t>
      </w:r>
      <w:r>
        <w:rPr>
          <w:rFonts w:hint="eastAsia" w:hAnsi="黑体"/>
          <w:i/>
          <w:iCs/>
        </w:rPr>
        <w:t>R</w:t>
      </w:r>
      <w:r>
        <w:rPr>
          <w:rFonts w:hint="eastAsia" w:hAnsi="黑体"/>
          <w:vertAlign w:val="subscript"/>
        </w:rPr>
        <w:t>a</w:t>
      </w:r>
      <w:r>
        <w:rPr>
          <w:rFonts w:hint="eastAsia" w:hAnsi="黑体"/>
        </w:rPr>
        <w:t>应按式</w:t>
      </w:r>
      <w:r>
        <w:rPr>
          <w:rFonts w:hint="eastAsia" w:hAnsi="黑体"/>
          <w:lang w:eastAsia="zh-CN"/>
        </w:rPr>
        <w:t>（</w:t>
      </w:r>
      <w:r>
        <w:rPr>
          <w:rFonts w:hint="eastAsia" w:hAnsi="黑体"/>
          <w:lang w:val="en-US" w:eastAsia="zh-CN"/>
        </w:rPr>
        <w:t>1</w:t>
      </w:r>
      <w:r>
        <w:rPr>
          <w:rFonts w:hint="eastAsia" w:hAnsi="黑体"/>
          <w:lang w:eastAsia="zh-CN"/>
        </w:rPr>
        <w:t>）</w:t>
      </w:r>
      <w:r>
        <w:rPr>
          <w:rFonts w:hint="eastAsia" w:hAnsi="黑体"/>
        </w:rPr>
        <w:t>确定：</w:t>
      </w:r>
      <w:bookmarkEnd w:id="173"/>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723265" cy="395605"/>
            <wp:effectExtent l="0" t="0" r="635" b="4445"/>
            <wp:docPr id="83" name="图片 83" descr="C:\Users\ADMINI~1\AppData\Local\Temp\ksohtml9220\wps47.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3" name="图片 83" descr="C:\Users\ADMINI~1\AppData\Local\Temp\ksohtml9220\wps47.png"/>
                    <pic:cNvPicPr>
                      <a:picLocks noChangeAspect="true" noChangeArrowheads="true"/>
                    </pic:cNvPicPr>
                  </pic:nvPicPr>
                  <pic:blipFill>
                    <a:blip r:embed="rId77">
                      <a:extLst>
                        <a:ext uri="{28A0092B-C50C-407E-A947-70E740481C1C}">
                          <a14:useLocalDpi xmlns:a14="http://schemas.microsoft.com/office/drawing/2010/main" val="false"/>
                        </a:ext>
                      </a:extLst>
                    </a:blip>
                    <a:srcRect/>
                    <a:stretch>
                      <a:fillRect/>
                    </a:stretch>
                  </pic:blipFill>
                  <pic:spPr>
                    <a:xfrm>
                      <a:off x="0" y="0"/>
                      <a:ext cx="723265" cy="395605"/>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ascii="黑体" w:hAnsi="黑体" w:eastAsia="黑体"/>
        </w:rPr>
        <w:fldChar w:fldCharType="begin"/>
      </w:r>
      <w:r>
        <w:rPr>
          <w:rFonts w:ascii="黑体" w:hAnsi="黑体" w:eastAsia="黑体"/>
        </w:rPr>
        <w:instrText xml:space="preserve"> AUTONUM </w:instrText>
      </w:r>
      <w:r>
        <w:rPr>
          <w:rFonts w:ascii="黑体" w:hAnsi="黑体" w:eastAsia="黑体"/>
        </w:rPr>
        <w:fldChar w:fldCharType="end"/>
      </w:r>
      <w:r>
        <w:rPr>
          <w:rFonts w:ascii="黑体" w:hAnsi="黑体" w:eastAsia="黑体"/>
        </w:rPr>
        <w:t>)</w:t>
      </w:r>
    </w:p>
    <w:p>
      <w:pPr>
        <w:pStyle w:val="232"/>
        <w:adjustRightInd w:val="0"/>
        <w:snapToGrid w:val="0"/>
        <w:ind w:firstLine="0" w:firstLineChars="0"/>
        <w:rPr>
          <w:rFonts w:ascii="黑体" w:hAnsi="黑体" w:eastAsia="黑体"/>
        </w:rPr>
      </w:pPr>
      <w:r>
        <w:rPr>
          <w:rFonts w:hint="eastAsia" w:ascii="黑体" w:hAnsi="黑体" w:eastAsia="黑体"/>
        </w:rPr>
        <w:t>式中：</w:t>
      </w:r>
      <w:r>
        <w:rPr>
          <w:rFonts w:ascii="黑体" w:hAnsi="黑体" w:eastAsia="黑体"/>
        </w:rPr>
        <w:drawing>
          <wp:inline distT="0" distB="0" distL="0" distR="0">
            <wp:extent cx="245745" cy="231775"/>
            <wp:effectExtent l="0" t="0" r="1905" b="0"/>
            <wp:docPr id="84" name="图片 84" descr="C:\Users\ADMINI~1\AppData\Local\Temp\ksohtml9220\wps48.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4" name="图片 84" descr="C:\Users\ADMINI~1\AppData\Local\Temp\ksohtml9220\wps48.png"/>
                    <pic:cNvPicPr>
                      <a:picLocks noChangeAspect="true" noChangeArrowheads="true"/>
                    </pic:cNvPicPr>
                  </pic:nvPicPr>
                  <pic:blipFill>
                    <a:blip r:embed="rId78">
                      <a:extLst>
                        <a:ext uri="{28A0092B-C50C-407E-A947-70E740481C1C}">
                          <a14:useLocalDpi xmlns:a14="http://schemas.microsoft.com/office/drawing/2010/main" val="false"/>
                        </a:ext>
                      </a:extLst>
                    </a:blip>
                    <a:srcRect/>
                    <a:stretch>
                      <a:fillRect/>
                    </a:stretch>
                  </pic:blipFill>
                  <pic:spPr>
                    <a:xfrm>
                      <a:off x="0" y="0"/>
                      <a:ext cx="245745" cy="231775"/>
                    </a:xfrm>
                    <a:prstGeom prst="rect">
                      <a:avLst/>
                    </a:prstGeom>
                    <a:noFill/>
                    <a:ln>
                      <a:noFill/>
                    </a:ln>
                  </pic:spPr>
                </pic:pic>
              </a:graphicData>
            </a:graphic>
          </wp:inline>
        </w:drawing>
      </w:r>
      <w:r>
        <w:rPr>
          <w:rFonts w:hint="eastAsia" w:ascii="黑体" w:hAnsi="黑体" w:eastAsia="黑体"/>
        </w:rPr>
        <w:t>——螺杆灌注桩单桩竖向极限承载力标准值；</w:t>
      </w:r>
    </w:p>
    <w:p>
      <w:pPr>
        <w:pStyle w:val="232"/>
        <w:adjustRightInd w:val="0"/>
        <w:snapToGrid w:val="0"/>
        <w:ind w:firstLine="829" w:firstLineChars="395"/>
        <w:outlineLvl w:val="0"/>
        <w:rPr>
          <w:rFonts w:ascii="黑体" w:hAnsi="黑体" w:eastAsia="黑体"/>
        </w:rPr>
      </w:pPr>
      <w:bookmarkStart w:id="174" w:name="_Toc22369"/>
      <w:bookmarkEnd w:id="174"/>
      <w:r>
        <w:rPr>
          <w:rFonts w:hint="eastAsia" w:ascii="黑体" w:hAnsi="黑体" w:eastAsia="黑体"/>
          <w:i/>
          <w:iCs/>
        </w:rPr>
        <w:t>K</w:t>
      </w:r>
      <w:r>
        <w:rPr>
          <w:rFonts w:hint="eastAsia" w:ascii="黑体" w:hAnsi="黑体" w:eastAsia="黑体"/>
        </w:rPr>
        <w:t>——安全系数，取</w:t>
      </w:r>
      <w:r>
        <w:rPr>
          <w:rFonts w:hint="eastAsia" w:ascii="黑体" w:hAnsi="黑体" w:eastAsia="黑体"/>
          <w:i/>
          <w:iCs/>
        </w:rPr>
        <w:t>K</w:t>
      </w:r>
      <w:r>
        <w:rPr>
          <w:rFonts w:hint="eastAsia" w:ascii="黑体" w:hAnsi="黑体" w:eastAsia="黑体"/>
        </w:rPr>
        <w:t>=2。</w:t>
      </w:r>
    </w:p>
    <w:p>
      <w:pPr>
        <w:pStyle w:val="65"/>
        <w:spacing w:before="156" w:after="156"/>
        <w:rPr>
          <w:rFonts w:hAnsi="黑体"/>
        </w:rPr>
      </w:pPr>
      <w:bookmarkStart w:id="175" w:name="_Toc124595585"/>
      <w:r>
        <w:rPr>
          <w:rFonts w:hint="eastAsia" w:hAnsi="黑体"/>
        </w:rPr>
        <w:t>螺杆灌注桩单桩竖向极限承载力标准值应通过现场静载试验确定。初步设计时可按下列规定执行：</w:t>
      </w:r>
      <w:bookmarkEnd w:id="175"/>
    </w:p>
    <w:p>
      <w:pPr>
        <w:ind w:firstLine="420" w:firstLineChars="200"/>
        <w:rPr>
          <w:rFonts w:ascii="黑体" w:hAnsi="黑体" w:eastAsia="黑体"/>
        </w:rPr>
      </w:pPr>
      <w:r>
        <w:rPr>
          <w:rFonts w:hint="eastAsia" w:ascii="黑体" w:hAnsi="黑体" w:eastAsia="黑体"/>
        </w:rPr>
        <w:t>a) 当桩身不带扩大体时，可按</w:t>
      </w:r>
      <w:r>
        <w:rPr>
          <w:rFonts w:hint="eastAsia" w:ascii="黑体" w:hAnsi="黑体" w:eastAsia="黑体"/>
          <w:lang w:eastAsia="zh-CN"/>
        </w:rPr>
        <w:t>（</w:t>
      </w:r>
      <w:r>
        <w:rPr>
          <w:rFonts w:hint="eastAsia" w:ascii="黑体" w:hAnsi="黑体" w:eastAsia="黑体"/>
          <w:lang w:val="en-US" w:eastAsia="zh-CN"/>
        </w:rPr>
        <w:t>2</w:t>
      </w:r>
      <w:r>
        <w:rPr>
          <w:rFonts w:hint="eastAsia" w:ascii="黑体" w:hAnsi="黑体" w:eastAsia="黑体"/>
          <w:lang w:eastAsia="zh-CN"/>
        </w:rPr>
        <w:t>）</w:t>
      </w:r>
      <w:r>
        <w:rPr>
          <w:rFonts w:hint="eastAsia" w:ascii="黑体" w:hAnsi="黑体" w:eastAsia="黑体"/>
          <w:lang w:val="en-US" w:eastAsia="zh-CN"/>
        </w:rPr>
        <w:t>-（5）</w:t>
      </w:r>
      <w:r>
        <w:rPr>
          <w:rFonts w:hint="eastAsia" w:ascii="黑体" w:hAnsi="黑体" w:eastAsia="黑体"/>
        </w:rPr>
        <w:t>式估算：</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1419225" cy="259080"/>
            <wp:effectExtent l="0" t="0" r="9525" b="7620"/>
            <wp:docPr id="88" name="图片 88" descr="C:\Users\ADMINI~1\AppData\Local\Temp\ksohtml9220\wps5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8" name="图片 88" descr="C:\Users\ADMINI~1\AppData\Local\Temp\ksohtml9220\wps52.png"/>
                    <pic:cNvPicPr>
                      <a:picLocks noChangeAspect="true" noChangeArrowheads="true"/>
                    </pic:cNvPicPr>
                  </pic:nvPicPr>
                  <pic:blipFill>
                    <a:blip r:embed="rId79">
                      <a:extLst>
                        <a:ext uri="{28A0092B-C50C-407E-A947-70E740481C1C}">
                          <a14:useLocalDpi xmlns:a14="http://schemas.microsoft.com/office/drawing/2010/main" val="false"/>
                        </a:ext>
                      </a:extLst>
                    </a:blip>
                    <a:srcRect/>
                    <a:stretch>
                      <a:fillRect/>
                    </a:stretch>
                  </pic:blipFill>
                  <pic:spPr>
                    <a:xfrm>
                      <a:off x="0" y="0"/>
                      <a:ext cx="1419225" cy="259080"/>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2</w:t>
      </w:r>
      <w:r>
        <w:rPr>
          <w:rFonts w:ascii="黑体" w:hAnsi="黑体" w:eastAsia="黑体"/>
        </w:rPr>
        <w:t>)</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1118870" cy="259080"/>
            <wp:effectExtent l="0" t="0" r="0" b="7620"/>
            <wp:docPr id="89" name="图片 89" descr="C:\Users\ADMINI~1\AppData\Local\Temp\ksohtml9220\wps53.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9" name="图片 89" descr="C:\Users\ADMINI~1\AppData\Local\Temp\ksohtml9220\wps53.png"/>
                    <pic:cNvPicPr>
                      <a:picLocks noChangeAspect="true" noChangeArrowheads="true"/>
                    </pic:cNvPicPr>
                  </pic:nvPicPr>
                  <pic:blipFill>
                    <a:blip r:embed="rId80">
                      <a:extLst>
                        <a:ext uri="{28A0092B-C50C-407E-A947-70E740481C1C}">
                          <a14:useLocalDpi xmlns:a14="http://schemas.microsoft.com/office/drawing/2010/main" val="false"/>
                        </a:ext>
                      </a:extLst>
                    </a:blip>
                    <a:srcRect/>
                    <a:stretch>
                      <a:fillRect/>
                    </a:stretch>
                  </pic:blipFill>
                  <pic:spPr>
                    <a:xfrm>
                      <a:off x="0" y="0"/>
                      <a:ext cx="1118870" cy="259080"/>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3</w:t>
      </w:r>
      <w:r>
        <w:rPr>
          <w:rFonts w:ascii="黑体" w:hAnsi="黑体" w:eastAsia="黑体"/>
        </w:rPr>
        <w:t>)</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1118870" cy="259080"/>
            <wp:effectExtent l="0" t="0" r="5080" b="7620"/>
            <wp:docPr id="90" name="图片 90" descr="C:\Users\ADMINI~1\AppData\Local\Temp\ksohtml9220\wps5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0" name="图片 90" descr="C:\Users\ADMINI~1\AppData\Local\Temp\ksohtml9220\wps54.png"/>
                    <pic:cNvPicPr>
                      <a:picLocks noChangeAspect="true" noChangeArrowheads="true"/>
                    </pic:cNvPicPr>
                  </pic:nvPicPr>
                  <pic:blipFill>
                    <a:blip r:embed="rId81">
                      <a:extLst>
                        <a:ext uri="{28A0092B-C50C-407E-A947-70E740481C1C}">
                          <a14:useLocalDpi xmlns:a14="http://schemas.microsoft.com/office/drawing/2010/main" val="false"/>
                        </a:ext>
                      </a:extLst>
                    </a:blip>
                    <a:srcRect/>
                    <a:stretch>
                      <a:fillRect/>
                    </a:stretch>
                  </pic:blipFill>
                  <pic:spPr>
                    <a:xfrm>
                      <a:off x="0" y="0"/>
                      <a:ext cx="1118870" cy="259080"/>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4</w:t>
      </w:r>
      <w:r>
        <w:rPr>
          <w:rFonts w:ascii="黑体" w:hAnsi="黑体" w:eastAsia="黑体"/>
        </w:rPr>
        <w:t>)</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846455" cy="245745"/>
            <wp:effectExtent l="0" t="0" r="0" b="1905"/>
            <wp:docPr id="91" name="图片 91" descr="C:\Users\ADMINI~1\AppData\Local\Temp\ksohtml9220\wps55.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1" name="图片 91" descr="C:\Users\ADMINI~1\AppData\Local\Temp\ksohtml9220\wps55.png"/>
                    <pic:cNvPicPr>
                      <a:picLocks noChangeAspect="true" noChangeArrowheads="true"/>
                    </pic:cNvPicPr>
                  </pic:nvPicPr>
                  <pic:blipFill>
                    <a:blip r:embed="rId82">
                      <a:extLst>
                        <a:ext uri="{28A0092B-C50C-407E-A947-70E740481C1C}">
                          <a14:useLocalDpi xmlns:a14="http://schemas.microsoft.com/office/drawing/2010/main" val="false"/>
                        </a:ext>
                      </a:extLst>
                    </a:blip>
                    <a:srcRect/>
                    <a:stretch>
                      <a:fillRect/>
                    </a:stretch>
                  </pic:blipFill>
                  <pic:spPr>
                    <a:xfrm>
                      <a:off x="0" y="0"/>
                      <a:ext cx="846455" cy="245745"/>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5</w:t>
      </w:r>
      <w:r>
        <w:rPr>
          <w:rFonts w:ascii="黑体" w:hAnsi="黑体" w:eastAsia="黑体"/>
        </w:rPr>
        <w:t>)</w:t>
      </w:r>
    </w:p>
    <w:p>
      <w:pPr>
        <w:ind w:firstLine="420" w:firstLineChars="200"/>
        <w:rPr>
          <w:rFonts w:ascii="黑体" w:hAnsi="黑体" w:eastAsia="黑体"/>
        </w:rPr>
      </w:pPr>
      <w:r>
        <w:rPr>
          <w:rFonts w:hint="eastAsia" w:ascii="黑体" w:hAnsi="黑体" w:eastAsia="黑体"/>
        </w:rPr>
        <w:t>b) 当桩身带扩大体时，可按</w:t>
      </w:r>
      <w:r>
        <w:rPr>
          <w:rFonts w:hint="eastAsia" w:ascii="黑体" w:hAnsi="黑体" w:eastAsia="黑体"/>
          <w:lang w:eastAsia="zh-CN"/>
        </w:rPr>
        <w:t>（</w:t>
      </w:r>
      <w:r>
        <w:rPr>
          <w:rFonts w:hint="eastAsia" w:ascii="黑体" w:hAnsi="黑体" w:eastAsia="黑体"/>
          <w:lang w:val="en-US" w:eastAsia="zh-CN"/>
        </w:rPr>
        <w:t>6</w:t>
      </w:r>
      <w:r>
        <w:rPr>
          <w:rFonts w:hint="eastAsia" w:ascii="黑体" w:hAnsi="黑体" w:eastAsia="黑体"/>
          <w:lang w:eastAsia="zh-CN"/>
        </w:rPr>
        <w:t>）</w:t>
      </w:r>
      <w:r>
        <w:rPr>
          <w:rFonts w:hint="eastAsia" w:ascii="黑体" w:hAnsi="黑体" w:eastAsia="黑体"/>
          <w:lang w:val="en-US" w:eastAsia="zh-CN"/>
        </w:rPr>
        <w:t>-（8）</w:t>
      </w:r>
      <w:r>
        <w:rPr>
          <w:rFonts w:hint="eastAsia" w:ascii="黑体" w:hAnsi="黑体" w:eastAsia="黑体"/>
        </w:rPr>
        <w:t>式估算:</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1815465" cy="245745"/>
            <wp:effectExtent l="0" t="0" r="0" b="1905"/>
            <wp:docPr id="92" name="图片 92" descr="C:\Users\ADMINI~1\AppData\Local\Temp\ksohtml9220\wps56.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2" name="图片 92" descr="C:\Users\ADMINI~1\AppData\Local\Temp\ksohtml9220\wps56.png"/>
                    <pic:cNvPicPr>
                      <a:picLocks noChangeAspect="true" noChangeArrowheads="true"/>
                    </pic:cNvPicPr>
                  </pic:nvPicPr>
                  <pic:blipFill>
                    <a:blip r:embed="rId83">
                      <a:extLst>
                        <a:ext uri="{28A0092B-C50C-407E-A947-70E740481C1C}">
                          <a14:useLocalDpi xmlns:a14="http://schemas.microsoft.com/office/drawing/2010/main" val="false"/>
                        </a:ext>
                      </a:extLst>
                    </a:blip>
                    <a:srcRect/>
                    <a:stretch>
                      <a:fillRect/>
                    </a:stretch>
                  </pic:blipFill>
                  <pic:spPr>
                    <a:xfrm>
                      <a:off x="0" y="0"/>
                      <a:ext cx="1815465" cy="245745"/>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6</w:t>
      </w:r>
      <w:r>
        <w:rPr>
          <w:rFonts w:ascii="黑体" w:hAnsi="黑体" w:eastAsia="黑体"/>
        </w:rPr>
        <w:t>)</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1105535" cy="259080"/>
            <wp:effectExtent l="0" t="0" r="0" b="7620"/>
            <wp:docPr id="93" name="图片 93" descr="C:\Users\ADMINI~1\AppData\Local\Temp\ksohtml9220\wps57.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3" name="图片 93" descr="C:\Users\ADMINI~1\AppData\Local\Temp\ksohtml9220\wps57.png"/>
                    <pic:cNvPicPr>
                      <a:picLocks noChangeAspect="true" noChangeArrowheads="true"/>
                    </pic:cNvPicPr>
                  </pic:nvPicPr>
                  <pic:blipFill>
                    <a:blip r:embed="rId84">
                      <a:extLst>
                        <a:ext uri="{28A0092B-C50C-407E-A947-70E740481C1C}">
                          <a14:useLocalDpi xmlns:a14="http://schemas.microsoft.com/office/drawing/2010/main" val="false"/>
                        </a:ext>
                      </a:extLst>
                    </a:blip>
                    <a:srcRect/>
                    <a:stretch>
                      <a:fillRect/>
                    </a:stretch>
                  </pic:blipFill>
                  <pic:spPr>
                    <a:xfrm>
                      <a:off x="0" y="0"/>
                      <a:ext cx="1105535" cy="259080"/>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7</w:t>
      </w:r>
      <w:r>
        <w:rPr>
          <w:rFonts w:ascii="黑体" w:hAnsi="黑体" w:eastAsia="黑体"/>
        </w:rPr>
        <w:t>)</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873760" cy="245745"/>
            <wp:effectExtent l="0" t="0" r="2540" b="1905"/>
            <wp:docPr id="94" name="图片 94" descr="C:\Users\ADMINI~1\AppData\Local\Temp\ksohtml9220\wps58.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4" name="图片 94" descr="C:\Users\ADMINI~1\AppData\Local\Temp\ksohtml9220\wps58.png"/>
                    <pic:cNvPicPr>
                      <a:picLocks noChangeAspect="true" noChangeArrowheads="true"/>
                    </pic:cNvPicPr>
                  </pic:nvPicPr>
                  <pic:blipFill>
                    <a:blip r:embed="rId85">
                      <a:extLst>
                        <a:ext uri="{28A0092B-C50C-407E-A947-70E740481C1C}">
                          <a14:useLocalDpi xmlns:a14="http://schemas.microsoft.com/office/drawing/2010/main" val="false"/>
                        </a:ext>
                      </a:extLst>
                    </a:blip>
                    <a:srcRect/>
                    <a:stretch>
                      <a:fillRect/>
                    </a:stretch>
                  </pic:blipFill>
                  <pic:spPr>
                    <a:xfrm>
                      <a:off x="0" y="0"/>
                      <a:ext cx="873760" cy="245745"/>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8</w:t>
      </w:r>
      <w:r>
        <w:rPr>
          <w:rFonts w:ascii="黑体" w:hAnsi="黑体" w:eastAsia="黑体"/>
        </w:rPr>
        <w:t>)</w:t>
      </w:r>
    </w:p>
    <w:p>
      <w:pPr>
        <w:rPr>
          <w:rFonts w:ascii="黑体" w:hAnsi="黑体" w:eastAsia="黑体"/>
        </w:rPr>
      </w:pPr>
      <w:r>
        <w:rPr>
          <w:rFonts w:hint="eastAsia" w:ascii="黑体" w:hAnsi="黑体" w:eastAsia="黑体"/>
        </w:rPr>
        <w:t>式中：</w:t>
      </w:r>
      <w:r>
        <w:rPr>
          <w:rFonts w:ascii="黑体" w:hAnsi="黑体" w:eastAsia="黑体"/>
        </w:rPr>
        <w:drawing>
          <wp:inline distT="0" distB="0" distL="0" distR="0">
            <wp:extent cx="259080" cy="231775"/>
            <wp:effectExtent l="0" t="0" r="7620" b="0"/>
            <wp:docPr id="209" name="图片 209" descr="C:\Users\ADMINI~1\AppData\Local\Temp\ksohtml9220\wps59.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9" name="图片 209" descr="C:\Users\ADMINI~1\AppData\Local\Temp\ksohtml9220\wps59.png"/>
                    <pic:cNvPicPr>
                      <a:picLocks noChangeAspect="true" noChangeArrowheads="true"/>
                    </pic:cNvPicPr>
                  </pic:nvPicPr>
                  <pic:blipFill>
                    <a:blip r:embed="rId41">
                      <a:extLst>
                        <a:ext uri="{28A0092B-C50C-407E-A947-70E740481C1C}">
                          <a14:useLocalDpi xmlns:a14="http://schemas.microsoft.com/office/drawing/2010/main" val="false"/>
                        </a:ext>
                      </a:extLst>
                    </a:blip>
                    <a:srcRect/>
                    <a:stretch>
                      <a:fillRect/>
                    </a:stretch>
                  </pic:blipFill>
                  <pic:spPr>
                    <a:xfrm>
                      <a:off x="0" y="0"/>
                      <a:ext cx="259080" cy="231775"/>
                    </a:xfrm>
                    <a:prstGeom prst="rect">
                      <a:avLst/>
                    </a:prstGeom>
                    <a:noFill/>
                    <a:ln>
                      <a:noFill/>
                    </a:ln>
                  </pic:spPr>
                </pic:pic>
              </a:graphicData>
            </a:graphic>
          </wp:inline>
        </w:drawing>
      </w:r>
      <w:r>
        <w:rPr>
          <w:rFonts w:hint="eastAsia" w:ascii="黑体" w:hAnsi="黑体" w:eastAsia="黑体"/>
        </w:rPr>
        <w:t>——螺杆灌注桩直杆段总极限侧阻力标准值（kN）；</w:t>
      </w:r>
    </w:p>
    <w:p>
      <w:pPr>
        <w:ind w:firstLine="630" w:firstLineChars="300"/>
        <w:rPr>
          <w:rFonts w:ascii="黑体" w:hAnsi="黑体" w:eastAsia="黑体"/>
        </w:rPr>
      </w:pPr>
      <w:r>
        <w:rPr>
          <w:rFonts w:ascii="黑体" w:hAnsi="黑体" w:eastAsia="黑体"/>
        </w:rPr>
        <w:drawing>
          <wp:inline distT="0" distB="0" distL="0" distR="0">
            <wp:extent cx="300355" cy="231775"/>
            <wp:effectExtent l="0" t="0" r="4445" b="0"/>
            <wp:docPr id="208" name="图片 208" descr="C:\Users\ADMINI~1\AppData\Local\Temp\ksohtml9220\wps60.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8" name="图片 208" descr="C:\Users\ADMINI~1\AppData\Local\Temp\ksohtml9220\wps60.png"/>
                    <pic:cNvPicPr>
                      <a:picLocks noChangeAspect="true" noChangeArrowheads="true"/>
                    </pic:cNvPicPr>
                  </pic:nvPicPr>
                  <pic:blipFill>
                    <a:blip r:embed="rId42">
                      <a:extLst>
                        <a:ext uri="{28A0092B-C50C-407E-A947-70E740481C1C}">
                          <a14:useLocalDpi xmlns:a14="http://schemas.microsoft.com/office/drawing/2010/main" val="false"/>
                        </a:ext>
                      </a:extLst>
                    </a:blip>
                    <a:srcRect/>
                    <a:stretch>
                      <a:fillRect/>
                    </a:stretch>
                  </pic:blipFill>
                  <pic:spPr>
                    <a:xfrm>
                      <a:off x="0" y="0"/>
                      <a:ext cx="300355" cy="231775"/>
                    </a:xfrm>
                    <a:prstGeom prst="rect">
                      <a:avLst/>
                    </a:prstGeom>
                    <a:noFill/>
                    <a:ln>
                      <a:noFill/>
                    </a:ln>
                  </pic:spPr>
                </pic:pic>
              </a:graphicData>
            </a:graphic>
          </wp:inline>
        </w:drawing>
      </w:r>
      <w:r>
        <w:rPr>
          <w:rFonts w:hint="eastAsia" w:ascii="黑体" w:hAnsi="黑体" w:eastAsia="黑体"/>
        </w:rPr>
        <w:t>——螺杆灌注桩螺纹段总极限侧阻力标准值（kN）；</w:t>
      </w:r>
    </w:p>
    <w:p>
      <w:pPr>
        <w:ind w:firstLine="630" w:firstLineChars="300"/>
        <w:rPr>
          <w:rFonts w:ascii="黑体" w:hAnsi="黑体" w:eastAsia="黑体"/>
        </w:rPr>
      </w:pPr>
      <w:r>
        <w:rPr>
          <w:rFonts w:ascii="黑体" w:hAnsi="黑体" w:eastAsia="黑体"/>
        </w:rPr>
        <w:drawing>
          <wp:inline distT="0" distB="0" distL="0" distR="0">
            <wp:extent cx="286385" cy="231775"/>
            <wp:effectExtent l="0" t="0" r="0" b="0"/>
            <wp:docPr id="207" name="图片 207" descr="C:\Users\ADMINI~1\AppData\Local\Temp\ksohtml9220\wps6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7" name="图片 207" descr="C:\Users\ADMINI~1\AppData\Local\Temp\ksohtml9220\wps61.png"/>
                    <pic:cNvPicPr>
                      <a:picLocks noChangeAspect="true" noChangeArrowheads="true"/>
                    </pic:cNvPicPr>
                  </pic:nvPicPr>
                  <pic:blipFill>
                    <a:blip r:embed="rId43">
                      <a:extLst>
                        <a:ext uri="{28A0092B-C50C-407E-A947-70E740481C1C}">
                          <a14:useLocalDpi xmlns:a14="http://schemas.microsoft.com/office/drawing/2010/main" val="false"/>
                        </a:ext>
                      </a:extLst>
                    </a:blip>
                    <a:srcRect/>
                    <a:stretch>
                      <a:fillRect/>
                    </a:stretch>
                  </pic:blipFill>
                  <pic:spPr>
                    <a:xfrm>
                      <a:off x="0" y="0"/>
                      <a:ext cx="286385" cy="231775"/>
                    </a:xfrm>
                    <a:prstGeom prst="rect">
                      <a:avLst/>
                    </a:prstGeom>
                    <a:noFill/>
                    <a:ln>
                      <a:noFill/>
                    </a:ln>
                  </pic:spPr>
                </pic:pic>
              </a:graphicData>
            </a:graphic>
          </wp:inline>
        </w:drawing>
      </w:r>
      <w:r>
        <w:rPr>
          <w:rFonts w:hint="eastAsia" w:ascii="黑体" w:hAnsi="黑体" w:eastAsia="黑体"/>
        </w:rPr>
        <w:t>——螺杆灌注桩扩大体段总极限侧阻力标准值（kN）；</w:t>
      </w:r>
    </w:p>
    <w:p>
      <w:pPr>
        <w:rPr>
          <w:rFonts w:ascii="黑体" w:hAnsi="黑体" w:eastAsia="黑体"/>
        </w:rPr>
      </w:pPr>
      <w:r>
        <w:rPr>
          <w:rFonts w:hint="eastAsia" w:ascii="黑体" w:hAnsi="黑体" w:eastAsia="黑体"/>
        </w:rPr>
        <w:t xml:space="preserve">      </w:t>
      </w:r>
      <w:r>
        <w:rPr>
          <w:rFonts w:ascii="黑体" w:hAnsi="黑体" w:eastAsia="黑体"/>
        </w:rPr>
        <w:drawing>
          <wp:inline distT="0" distB="0" distL="0" distR="0">
            <wp:extent cx="300355" cy="245745"/>
            <wp:effectExtent l="0" t="0" r="4445" b="1905"/>
            <wp:docPr id="206" name="图片 206" descr="C:\Users\ADMINI~1\AppData\Local\Temp\ksohtml9220\wps6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6" name="图片 206" descr="C:\Users\ADMINI~1\AppData\Local\Temp\ksohtml9220\wps62.png"/>
                    <pic:cNvPicPr>
                      <a:picLocks noChangeAspect="true" noChangeArrowheads="true"/>
                    </pic:cNvPicPr>
                  </pic:nvPicPr>
                  <pic:blipFill>
                    <a:blip r:embed="rId86">
                      <a:extLst>
                        <a:ext uri="{28A0092B-C50C-407E-A947-70E740481C1C}">
                          <a14:useLocalDpi xmlns:a14="http://schemas.microsoft.com/office/drawing/2010/main" val="false"/>
                        </a:ext>
                      </a:extLst>
                    </a:blip>
                    <a:srcRect/>
                    <a:stretch>
                      <a:fillRect/>
                    </a:stretch>
                  </pic:blipFill>
                  <pic:spPr>
                    <a:xfrm>
                      <a:off x="0" y="0"/>
                      <a:ext cx="300355" cy="245745"/>
                    </a:xfrm>
                    <a:prstGeom prst="rect">
                      <a:avLst/>
                    </a:prstGeom>
                    <a:noFill/>
                    <a:ln>
                      <a:noFill/>
                    </a:ln>
                  </pic:spPr>
                </pic:pic>
              </a:graphicData>
            </a:graphic>
          </wp:inline>
        </w:drawing>
      </w:r>
      <w:r>
        <w:rPr>
          <w:rFonts w:hint="eastAsia" w:ascii="黑体" w:hAnsi="黑体" w:eastAsia="黑体"/>
        </w:rPr>
        <w:t>——螺杆灌注桩桩端极限端阻力标准值（kN）；</w:t>
      </w:r>
    </w:p>
    <w:p>
      <w:pPr>
        <w:rPr>
          <w:rFonts w:ascii="黑体" w:hAnsi="黑体" w:eastAsia="黑体"/>
        </w:rPr>
      </w:pPr>
      <w:r>
        <w:rPr>
          <w:rFonts w:hint="eastAsia" w:ascii="黑体" w:hAnsi="黑体" w:eastAsia="黑体"/>
        </w:rPr>
        <w:t xml:space="preserve">      </w:t>
      </w:r>
      <w:r>
        <w:rPr>
          <w:rFonts w:ascii="黑体" w:hAnsi="黑体" w:eastAsia="黑体"/>
        </w:rPr>
        <w:drawing>
          <wp:inline distT="0" distB="0" distL="0" distR="0">
            <wp:extent cx="300355" cy="245745"/>
            <wp:effectExtent l="0" t="0" r="4445" b="1905"/>
            <wp:docPr id="205" name="图片 205" descr="C:\Users\ADMINI~1\AppData\Local\Temp\ksohtml9220\wps63.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5" name="图片 205" descr="C:\Users\ADMINI~1\AppData\Local\Temp\ksohtml9220\wps63.png"/>
                    <pic:cNvPicPr>
                      <a:picLocks noChangeAspect="true" noChangeArrowheads="true"/>
                    </pic:cNvPicPr>
                  </pic:nvPicPr>
                  <pic:blipFill>
                    <a:blip r:embed="rId87">
                      <a:extLst>
                        <a:ext uri="{28A0092B-C50C-407E-A947-70E740481C1C}">
                          <a14:useLocalDpi xmlns:a14="http://schemas.microsoft.com/office/drawing/2010/main" val="false"/>
                        </a:ext>
                      </a:extLst>
                    </a:blip>
                    <a:srcRect/>
                    <a:stretch>
                      <a:fillRect/>
                    </a:stretch>
                  </pic:blipFill>
                  <pic:spPr>
                    <a:xfrm>
                      <a:off x="0" y="0"/>
                      <a:ext cx="300355" cy="245745"/>
                    </a:xfrm>
                    <a:prstGeom prst="rect">
                      <a:avLst/>
                    </a:prstGeom>
                    <a:noFill/>
                    <a:ln>
                      <a:noFill/>
                    </a:ln>
                  </pic:spPr>
                </pic:pic>
              </a:graphicData>
            </a:graphic>
          </wp:inline>
        </w:drawing>
      </w:r>
      <w:r>
        <w:rPr>
          <w:rFonts w:hint="eastAsia" w:ascii="黑体" w:hAnsi="黑体" w:eastAsia="黑体"/>
        </w:rPr>
        <w:t>——螺杆灌注桩扩大体极限端阻力标准值（kN），当扩大体置于非桩端部位时，桩端极限端阻力标准值为</w:t>
      </w:r>
      <w:r>
        <w:rPr>
          <w:rFonts w:ascii="黑体" w:hAnsi="黑体" w:eastAsia="黑体"/>
        </w:rPr>
        <w:drawing>
          <wp:inline distT="0" distB="0" distL="0" distR="0">
            <wp:extent cx="300355" cy="245745"/>
            <wp:effectExtent l="0" t="0" r="4445" b="1905"/>
            <wp:docPr id="204" name="图片 204" descr="C:\Users\ADMINI~1\AppData\Local\Temp\ksohtml9220\wps6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4" name="图片 204" descr="C:\Users\ADMINI~1\AppData\Local\Temp\ksohtml9220\wps64.png"/>
                    <pic:cNvPicPr>
                      <a:picLocks noChangeAspect="true" noChangeArrowheads="true"/>
                    </pic:cNvPicPr>
                  </pic:nvPicPr>
                  <pic:blipFill>
                    <a:blip r:embed="rId86">
                      <a:extLst>
                        <a:ext uri="{28A0092B-C50C-407E-A947-70E740481C1C}">
                          <a14:useLocalDpi xmlns:a14="http://schemas.microsoft.com/office/drawing/2010/main" val="false"/>
                        </a:ext>
                      </a:extLst>
                    </a:blip>
                    <a:srcRect/>
                    <a:stretch>
                      <a:fillRect/>
                    </a:stretch>
                  </pic:blipFill>
                  <pic:spPr>
                    <a:xfrm>
                      <a:off x="0" y="0"/>
                      <a:ext cx="300355" cy="245745"/>
                    </a:xfrm>
                    <a:prstGeom prst="rect">
                      <a:avLst/>
                    </a:prstGeom>
                    <a:noFill/>
                    <a:ln>
                      <a:noFill/>
                    </a:ln>
                  </pic:spPr>
                </pic:pic>
              </a:graphicData>
            </a:graphic>
          </wp:inline>
        </w:drawing>
      </w:r>
      <w:r>
        <w:rPr>
          <w:rFonts w:hint="eastAsia" w:ascii="黑体" w:hAnsi="黑体" w:eastAsia="黑体"/>
        </w:rPr>
        <w:t>；</w:t>
      </w:r>
    </w:p>
    <w:p>
      <w:pPr>
        <w:rPr>
          <w:rFonts w:ascii="黑体" w:hAnsi="黑体" w:eastAsia="黑体"/>
        </w:rPr>
      </w:pPr>
      <w:r>
        <w:rPr>
          <w:rFonts w:hint="eastAsia" w:ascii="黑体" w:hAnsi="黑体" w:eastAsia="黑体"/>
        </w:rPr>
        <w:t xml:space="preserve">       </w:t>
      </w:r>
      <w:r>
        <w:rPr>
          <w:rFonts w:ascii="黑体" w:hAnsi="黑体" w:eastAsia="黑体"/>
        </w:rPr>
        <w:drawing>
          <wp:inline distT="0" distB="0" distL="0" distR="0">
            <wp:extent cx="245745" cy="231775"/>
            <wp:effectExtent l="0" t="0" r="1905" b="0"/>
            <wp:docPr id="203" name="图片 203" descr="C:\Users\ADMINI~1\AppData\Local\Temp\ksohtml9220\wps65.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3" name="图片 203" descr="C:\Users\ADMINI~1\AppData\Local\Temp\ksohtml9220\wps65.png"/>
                    <pic:cNvPicPr>
                      <a:picLocks noChangeAspect="true" noChangeArrowheads="true"/>
                    </pic:cNvPicPr>
                  </pic:nvPicPr>
                  <pic:blipFill>
                    <a:blip r:embed="rId88">
                      <a:extLst>
                        <a:ext uri="{28A0092B-C50C-407E-A947-70E740481C1C}">
                          <a14:useLocalDpi xmlns:a14="http://schemas.microsoft.com/office/drawing/2010/main" val="false"/>
                        </a:ext>
                      </a:extLst>
                    </a:blip>
                    <a:srcRect/>
                    <a:stretch>
                      <a:fillRect/>
                    </a:stretch>
                  </pic:blipFill>
                  <pic:spPr>
                    <a:xfrm>
                      <a:off x="0" y="0"/>
                      <a:ext cx="245745" cy="231775"/>
                    </a:xfrm>
                    <a:prstGeom prst="rect">
                      <a:avLst/>
                    </a:prstGeom>
                    <a:noFill/>
                    <a:ln>
                      <a:noFill/>
                    </a:ln>
                  </pic:spPr>
                </pic:pic>
              </a:graphicData>
            </a:graphic>
          </wp:inline>
        </w:drawing>
      </w:r>
      <w:r>
        <w:rPr>
          <w:rFonts w:hint="eastAsia" w:ascii="黑体" w:hAnsi="黑体" w:eastAsia="黑体"/>
        </w:rPr>
        <w:t>——螺杆灌注桩桩身范围内第i层土的极限侧阻力标准值，宜根据试验资料和工程经验确定，当缺乏试验资料时，可按表</w:t>
      </w:r>
      <w:r>
        <w:rPr>
          <w:rFonts w:ascii="黑体" w:hAnsi="黑体" w:eastAsia="黑体"/>
        </w:rPr>
        <w:t>4</w:t>
      </w:r>
      <w:r>
        <w:rPr>
          <w:rFonts w:hint="eastAsia" w:ascii="黑体" w:hAnsi="黑体" w:eastAsia="黑体"/>
        </w:rPr>
        <w:t>取值；</w:t>
      </w:r>
    </w:p>
    <w:p>
      <w:pPr>
        <w:rPr>
          <w:rFonts w:ascii="黑体" w:hAnsi="黑体" w:eastAsia="黑体"/>
        </w:rPr>
      </w:pPr>
      <w:r>
        <w:rPr>
          <w:rFonts w:hint="eastAsia" w:ascii="黑体" w:hAnsi="黑体" w:eastAsia="黑体"/>
        </w:rPr>
        <w:t xml:space="preserve">      </w:t>
      </w:r>
      <w:r>
        <w:rPr>
          <w:rFonts w:ascii="黑体" w:hAnsi="黑体" w:eastAsia="黑体"/>
        </w:rPr>
        <w:drawing>
          <wp:inline distT="0" distB="0" distL="0" distR="0">
            <wp:extent cx="231775" cy="245745"/>
            <wp:effectExtent l="0" t="0" r="0" b="1905"/>
            <wp:docPr id="202" name="图片 202" descr="C:\Users\ADMINI~1\AppData\Local\Temp\ksohtml9220\wps66.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2" name="图片 202" descr="C:\Users\ADMINI~1\AppData\Local\Temp\ksohtml9220\wps66.png"/>
                    <pic:cNvPicPr>
                      <a:picLocks noChangeAspect="true" noChangeArrowheads="true"/>
                    </pic:cNvPicPr>
                  </pic:nvPicPr>
                  <pic:blipFill>
                    <a:blip r:embed="rId48">
                      <a:extLst>
                        <a:ext uri="{28A0092B-C50C-407E-A947-70E740481C1C}">
                          <a14:useLocalDpi xmlns:a14="http://schemas.microsoft.com/office/drawing/2010/main" val="false"/>
                        </a:ext>
                      </a:extLst>
                    </a:blip>
                    <a:srcRect/>
                    <a:stretch>
                      <a:fillRect/>
                    </a:stretch>
                  </pic:blipFill>
                  <pic:spPr>
                    <a:xfrm>
                      <a:off x="0" y="0"/>
                      <a:ext cx="231775" cy="245745"/>
                    </a:xfrm>
                    <a:prstGeom prst="rect">
                      <a:avLst/>
                    </a:prstGeom>
                    <a:noFill/>
                    <a:ln>
                      <a:noFill/>
                    </a:ln>
                  </pic:spPr>
                </pic:pic>
              </a:graphicData>
            </a:graphic>
          </wp:inline>
        </w:drawing>
      </w:r>
      <w:r>
        <w:rPr>
          <w:rFonts w:hint="eastAsia" w:ascii="黑体" w:hAnsi="黑体" w:eastAsia="黑体"/>
        </w:rPr>
        <w:t>——极限端阻力标准值，宜根据试验资料和工程经验确定，当缺乏试验资料时，可按表5取值；</w:t>
      </w:r>
    </w:p>
    <w:p>
      <w:pPr>
        <w:rPr>
          <w:rFonts w:ascii="黑体" w:hAnsi="黑体" w:eastAsia="黑体"/>
        </w:rPr>
      </w:pPr>
      <w:r>
        <w:rPr>
          <w:rFonts w:hint="eastAsia" w:ascii="黑体" w:hAnsi="黑体" w:eastAsia="黑体"/>
        </w:rPr>
        <w:t xml:space="preserve">     </w:t>
      </w:r>
      <w:r>
        <w:rPr>
          <w:rFonts w:ascii="黑体" w:hAnsi="黑体" w:eastAsia="黑体"/>
        </w:rPr>
        <w:t xml:space="preserve"> </w:t>
      </w:r>
      <w:r>
        <w:rPr>
          <w:rFonts w:hint="eastAsia" w:ascii="黑体" w:hAnsi="黑体" w:eastAsia="黑体"/>
        </w:rPr>
        <w:t xml:space="preserve"> </w:t>
      </w:r>
      <w:r>
        <w:rPr>
          <w:rFonts w:ascii="黑体" w:hAnsi="黑体" w:eastAsia="黑体"/>
        </w:rPr>
        <w:drawing>
          <wp:inline distT="0" distB="0" distL="0" distR="0">
            <wp:extent cx="122555" cy="136525"/>
            <wp:effectExtent l="0" t="0" r="0" b="0"/>
            <wp:docPr id="201" name="图片 201" descr="C:\Users\ADMINI~1\AppData\Local\Temp\ksohtml9220\wps67.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1" name="图片 201" descr="C:\Users\ADMINI~1\AppData\Local\Temp\ksohtml9220\wps67.png"/>
                    <pic:cNvPicPr>
                      <a:picLocks noChangeAspect="true" noChangeArrowheads="true"/>
                    </pic:cNvPicPr>
                  </pic:nvPicPr>
                  <pic:blipFill>
                    <a:blip r:embed="rId89">
                      <a:extLst>
                        <a:ext uri="{28A0092B-C50C-407E-A947-70E740481C1C}">
                          <a14:useLocalDpi xmlns:a14="http://schemas.microsoft.com/office/drawing/2010/main" val="false"/>
                        </a:ext>
                      </a:extLst>
                    </a:blip>
                    <a:srcRect/>
                    <a:stretch>
                      <a:fillRect/>
                    </a:stretch>
                  </pic:blipFill>
                  <pic:spPr>
                    <a:xfrm>
                      <a:off x="0" y="0"/>
                      <a:ext cx="122555" cy="136525"/>
                    </a:xfrm>
                    <a:prstGeom prst="rect">
                      <a:avLst/>
                    </a:prstGeom>
                    <a:noFill/>
                    <a:ln>
                      <a:noFill/>
                    </a:ln>
                  </pic:spPr>
                </pic:pic>
              </a:graphicData>
            </a:graphic>
          </wp:inline>
        </w:drawing>
      </w:r>
      <w:r>
        <w:rPr>
          <w:rFonts w:hint="eastAsia" w:ascii="黑体" w:hAnsi="黑体" w:eastAsia="黑体"/>
        </w:rPr>
        <w:t xml:space="preserve"> ——桩身周长（m），</w:t>
      </w:r>
      <w:r>
        <w:rPr>
          <w:rFonts w:ascii="黑体" w:hAnsi="黑体" w:eastAsia="黑体"/>
        </w:rPr>
        <w:drawing>
          <wp:inline distT="0" distB="0" distL="0" distR="0">
            <wp:extent cx="477520" cy="218440"/>
            <wp:effectExtent l="0" t="0" r="0" b="0"/>
            <wp:docPr id="200" name="图片 200" descr="C:\Users\ADMINI~1\AppData\Local\Temp\ksohtml9220\wps68.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0" name="图片 200" descr="C:\Users\ADMINI~1\AppData\Local\Temp\ksohtml9220\wps68.png"/>
                    <pic:cNvPicPr>
                      <a:picLocks noChangeAspect="true" noChangeArrowheads="true"/>
                    </pic:cNvPicPr>
                  </pic:nvPicPr>
                  <pic:blipFill>
                    <a:blip r:embed="rId90">
                      <a:extLst>
                        <a:ext uri="{28A0092B-C50C-407E-A947-70E740481C1C}">
                          <a14:useLocalDpi xmlns:a14="http://schemas.microsoft.com/office/drawing/2010/main" val="false"/>
                        </a:ext>
                      </a:extLst>
                    </a:blip>
                    <a:srcRect/>
                    <a:stretch>
                      <a:fillRect/>
                    </a:stretch>
                  </pic:blipFill>
                  <pic:spPr>
                    <a:xfrm>
                      <a:off x="0" y="0"/>
                      <a:ext cx="477520" cy="218440"/>
                    </a:xfrm>
                    <a:prstGeom prst="rect">
                      <a:avLst/>
                    </a:prstGeom>
                    <a:noFill/>
                    <a:ln>
                      <a:noFill/>
                    </a:ln>
                  </pic:spPr>
                </pic:pic>
              </a:graphicData>
            </a:graphic>
          </wp:inline>
        </w:drawing>
      </w:r>
      <w:r>
        <w:rPr>
          <w:rFonts w:hint="eastAsia" w:ascii="黑体" w:hAnsi="黑体" w:eastAsia="黑体"/>
        </w:rPr>
        <w:t>;</w:t>
      </w:r>
    </w:p>
    <w:p>
      <w:pPr>
        <w:rPr>
          <w:rFonts w:ascii="黑体" w:hAnsi="黑体" w:eastAsia="黑体"/>
        </w:rPr>
      </w:pPr>
      <w:r>
        <w:rPr>
          <w:rFonts w:hint="eastAsia" w:ascii="黑体" w:hAnsi="黑体" w:eastAsia="黑体"/>
        </w:rPr>
        <w:t xml:space="preserve">      </w:t>
      </w:r>
      <w:r>
        <w:rPr>
          <w:rFonts w:ascii="黑体" w:hAnsi="黑体" w:eastAsia="黑体"/>
        </w:rPr>
        <w:drawing>
          <wp:inline distT="0" distB="0" distL="0" distR="0">
            <wp:extent cx="245745" cy="218440"/>
            <wp:effectExtent l="0" t="0" r="1905" b="0"/>
            <wp:docPr id="199" name="图片 199" descr="C:\Users\ADMINI~1\AppData\Local\Temp\ksohtml9220\wps69.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9" name="图片 199" descr="C:\Users\ADMINI~1\AppData\Local\Temp\ksohtml9220\wps69.png"/>
                    <pic:cNvPicPr>
                      <a:picLocks noChangeAspect="true" noChangeArrowheads="true"/>
                    </pic:cNvPicPr>
                  </pic:nvPicPr>
                  <pic:blipFill>
                    <a:blip r:embed="rId91">
                      <a:extLst>
                        <a:ext uri="{28A0092B-C50C-407E-A947-70E740481C1C}">
                          <a14:useLocalDpi xmlns:a14="http://schemas.microsoft.com/office/drawing/2010/main" val="false"/>
                        </a:ext>
                      </a:extLst>
                    </a:blip>
                    <a:srcRect/>
                    <a:stretch>
                      <a:fillRect/>
                    </a:stretch>
                  </pic:blipFill>
                  <pic:spPr>
                    <a:xfrm>
                      <a:off x="0" y="0"/>
                      <a:ext cx="245745" cy="218440"/>
                    </a:xfrm>
                    <a:prstGeom prst="rect">
                      <a:avLst/>
                    </a:prstGeom>
                    <a:noFill/>
                    <a:ln>
                      <a:noFill/>
                    </a:ln>
                  </pic:spPr>
                </pic:pic>
              </a:graphicData>
            </a:graphic>
          </wp:inline>
        </w:drawing>
      </w:r>
      <w:r>
        <w:rPr>
          <w:rFonts w:hint="eastAsia" w:ascii="黑体" w:hAnsi="黑体" w:eastAsia="黑体"/>
        </w:rPr>
        <w:t>——螺杆灌注桩直杆段横截面积（m</w:t>
      </w:r>
      <w:r>
        <w:rPr>
          <w:rFonts w:hint="eastAsia" w:ascii="黑体" w:hAnsi="黑体" w:eastAsia="黑体"/>
          <w:vertAlign w:val="superscript"/>
        </w:rPr>
        <w:t>2</w:t>
      </w:r>
      <w:r>
        <w:rPr>
          <w:rFonts w:hint="eastAsia" w:ascii="黑体" w:hAnsi="黑体" w:eastAsia="黑体"/>
        </w:rPr>
        <w:t>）;</w:t>
      </w:r>
    </w:p>
    <w:p>
      <w:pPr>
        <w:rPr>
          <w:rFonts w:ascii="黑体" w:hAnsi="黑体" w:eastAsia="黑体"/>
        </w:rPr>
      </w:pPr>
      <w:r>
        <w:rPr>
          <w:rFonts w:hint="eastAsia" w:ascii="黑体" w:hAnsi="黑体" w:eastAsia="黑体"/>
        </w:rPr>
        <w:t xml:space="preserve">      </w:t>
      </w:r>
      <w:r>
        <w:rPr>
          <w:rFonts w:ascii="黑体" w:hAnsi="黑体" w:eastAsia="黑体"/>
        </w:rPr>
        <w:drawing>
          <wp:inline distT="0" distB="0" distL="0" distR="0">
            <wp:extent cx="259080" cy="245745"/>
            <wp:effectExtent l="0" t="0" r="7620" b="1905"/>
            <wp:docPr id="198" name="图片 198" descr="C:\Users\ADMINI~1\AppData\Local\Temp\ksohtml9220\wps70.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8" name="图片 198" descr="C:\Users\ADMINI~1\AppData\Local\Temp\ksohtml9220\wps70.png"/>
                    <pic:cNvPicPr>
                      <a:picLocks noChangeAspect="true" noChangeArrowheads="true"/>
                    </pic:cNvPicPr>
                  </pic:nvPicPr>
                  <pic:blipFill>
                    <a:blip r:embed="rId92">
                      <a:extLst>
                        <a:ext uri="{28A0092B-C50C-407E-A947-70E740481C1C}">
                          <a14:useLocalDpi xmlns:a14="http://schemas.microsoft.com/office/drawing/2010/main" val="false"/>
                        </a:ext>
                      </a:extLst>
                    </a:blip>
                    <a:srcRect/>
                    <a:stretch>
                      <a:fillRect/>
                    </a:stretch>
                  </pic:blipFill>
                  <pic:spPr>
                    <a:xfrm>
                      <a:off x="0" y="0"/>
                      <a:ext cx="259080" cy="245745"/>
                    </a:xfrm>
                    <a:prstGeom prst="rect">
                      <a:avLst/>
                    </a:prstGeom>
                    <a:noFill/>
                    <a:ln>
                      <a:noFill/>
                    </a:ln>
                  </pic:spPr>
                </pic:pic>
              </a:graphicData>
            </a:graphic>
          </wp:inline>
        </w:drawing>
      </w:r>
      <w:r>
        <w:rPr>
          <w:rFonts w:hint="eastAsia" w:ascii="黑体" w:hAnsi="黑体" w:eastAsia="黑体"/>
        </w:rPr>
        <w:t>——扩大体横截面积（m</w:t>
      </w:r>
      <w:r>
        <w:rPr>
          <w:rFonts w:hint="eastAsia" w:ascii="黑体" w:hAnsi="黑体" w:eastAsia="黑体"/>
          <w:vertAlign w:val="superscript"/>
        </w:rPr>
        <w:t>2</w:t>
      </w:r>
      <w:r>
        <w:rPr>
          <w:rFonts w:hint="eastAsia" w:ascii="黑体" w:hAnsi="黑体" w:eastAsia="黑体"/>
        </w:rPr>
        <w:t>），宜根据试验资料和工程经验确定，当缺乏试验资料时，可取</w:t>
      </w:r>
      <w:r>
        <w:rPr>
          <w:rFonts w:ascii="黑体" w:hAnsi="黑体" w:eastAsia="黑体"/>
        </w:rPr>
        <w:drawing>
          <wp:inline distT="0" distB="0" distL="0" distR="0">
            <wp:extent cx="327660" cy="245745"/>
            <wp:effectExtent l="0" t="0" r="0" b="1905"/>
            <wp:docPr id="197" name="图片 197" descr="C:\Users\ADMINI~1\AppData\Local\Temp\ksohtml9220\wps7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7" name="图片 197" descr="C:\Users\ADMINI~1\AppData\Local\Temp\ksohtml9220\wps71.png"/>
                    <pic:cNvPicPr>
                      <a:picLocks noChangeAspect="true" noChangeArrowheads="true"/>
                    </pic:cNvPicPr>
                  </pic:nvPicPr>
                  <pic:blipFill>
                    <a:blip r:embed="rId93">
                      <a:extLst>
                        <a:ext uri="{28A0092B-C50C-407E-A947-70E740481C1C}">
                          <a14:useLocalDpi xmlns:a14="http://schemas.microsoft.com/office/drawing/2010/main" val="false"/>
                        </a:ext>
                      </a:extLst>
                    </a:blip>
                    <a:srcRect/>
                    <a:stretch>
                      <a:fillRect/>
                    </a:stretch>
                  </pic:blipFill>
                  <pic:spPr>
                    <a:xfrm>
                      <a:off x="0" y="0"/>
                      <a:ext cx="327660" cy="245745"/>
                    </a:xfrm>
                    <a:prstGeom prst="rect">
                      <a:avLst/>
                    </a:prstGeom>
                    <a:noFill/>
                    <a:ln>
                      <a:noFill/>
                    </a:ln>
                  </pic:spPr>
                </pic:pic>
              </a:graphicData>
            </a:graphic>
          </wp:inline>
        </w:drawing>
      </w:r>
      <w:r>
        <w:rPr>
          <w:rFonts w:hint="eastAsia" w:ascii="黑体" w:hAnsi="黑体" w:eastAsia="黑体"/>
        </w:rPr>
        <w:t>；</w:t>
      </w:r>
    </w:p>
    <w:p>
      <w:pPr>
        <w:rPr>
          <w:rFonts w:ascii="黑体" w:hAnsi="黑体" w:eastAsia="黑体"/>
        </w:rPr>
      </w:pPr>
      <w:r>
        <w:rPr>
          <w:rFonts w:hint="eastAsia" w:ascii="黑体" w:hAnsi="黑体" w:eastAsia="黑体"/>
        </w:rPr>
        <w:t xml:space="preserve">     </w:t>
      </w:r>
      <w:r>
        <w:rPr>
          <w:rFonts w:ascii="黑体" w:hAnsi="黑体" w:eastAsia="黑体"/>
        </w:rPr>
        <w:t xml:space="preserve">  </w:t>
      </w:r>
      <w:r>
        <w:rPr>
          <w:rFonts w:hint="eastAsia" w:ascii="黑体" w:hAnsi="黑体" w:eastAsia="黑体"/>
        </w:rPr>
        <w:t xml:space="preserve"> </w:t>
      </w:r>
      <w:r>
        <w:rPr>
          <w:rFonts w:ascii="黑体" w:hAnsi="黑体" w:eastAsia="黑体"/>
        </w:rPr>
        <w:drawing>
          <wp:inline distT="0" distB="0" distL="0" distR="0">
            <wp:extent cx="109220" cy="231775"/>
            <wp:effectExtent l="0" t="0" r="5080" b="0"/>
            <wp:docPr id="196" name="图片 196" descr="C:\Users\ADMINI~1\AppData\Local\Temp\ksohtml9220\wps7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6" name="图片 196" descr="C:\Users\ADMINI~1\AppData\Local\Temp\ksohtml9220\wps72.png"/>
                    <pic:cNvPicPr>
                      <a:picLocks noChangeAspect="true" noChangeArrowheads="true"/>
                    </pic:cNvPicPr>
                  </pic:nvPicPr>
                  <pic:blipFill>
                    <a:blip r:embed="rId65">
                      <a:extLst>
                        <a:ext uri="{28A0092B-C50C-407E-A947-70E740481C1C}">
                          <a14:useLocalDpi xmlns:a14="http://schemas.microsoft.com/office/drawing/2010/main" val="false"/>
                        </a:ext>
                      </a:extLst>
                    </a:blip>
                    <a:srcRect/>
                    <a:stretch>
                      <a:fillRect/>
                    </a:stretch>
                  </pic:blipFill>
                  <pic:spPr>
                    <a:xfrm>
                      <a:off x="0" y="0"/>
                      <a:ext cx="109220" cy="231775"/>
                    </a:xfrm>
                    <a:prstGeom prst="rect">
                      <a:avLst/>
                    </a:prstGeom>
                    <a:noFill/>
                    <a:ln>
                      <a:noFill/>
                    </a:ln>
                  </pic:spPr>
                </pic:pic>
              </a:graphicData>
            </a:graphic>
          </wp:inline>
        </w:drawing>
      </w:r>
      <w:r>
        <w:rPr>
          <w:rFonts w:hint="eastAsia" w:ascii="黑体" w:hAnsi="黑体" w:eastAsia="黑体"/>
        </w:rPr>
        <w:t>——相应于桩周第</w:t>
      </w:r>
      <w:r>
        <w:rPr>
          <w:rFonts w:ascii="黑体" w:hAnsi="黑体" w:eastAsia="黑体"/>
        </w:rPr>
        <w:drawing>
          <wp:inline distT="0" distB="0" distL="0" distR="0">
            <wp:extent cx="95250" cy="177165"/>
            <wp:effectExtent l="0" t="0" r="0" b="0"/>
            <wp:docPr id="195" name="图片 195" descr="C:\Users\ADMINI~1\AppData\Local\Temp\ksohtml9220\wps73.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5" name="图片 195" descr="C:\Users\ADMINI~1\AppData\Local\Temp\ksohtml9220\wps73.png"/>
                    <pic:cNvPicPr>
                      <a:picLocks noChangeAspect="true" noChangeArrowheads="true"/>
                    </pic:cNvPicPr>
                  </pic:nvPicPr>
                  <pic:blipFill>
                    <a:blip r:embed="rId94">
                      <a:extLst>
                        <a:ext uri="{28A0092B-C50C-407E-A947-70E740481C1C}">
                          <a14:useLocalDpi xmlns:a14="http://schemas.microsoft.com/office/drawing/2010/main" val="false"/>
                        </a:ext>
                      </a:extLst>
                    </a:blip>
                    <a:srcRect/>
                    <a:stretch>
                      <a:fillRect/>
                    </a:stretch>
                  </pic:blipFill>
                  <pic:spPr>
                    <a:xfrm>
                      <a:off x="0" y="0"/>
                      <a:ext cx="95250" cy="177165"/>
                    </a:xfrm>
                    <a:prstGeom prst="rect">
                      <a:avLst/>
                    </a:prstGeom>
                    <a:noFill/>
                    <a:ln>
                      <a:noFill/>
                    </a:ln>
                  </pic:spPr>
                </pic:pic>
              </a:graphicData>
            </a:graphic>
          </wp:inline>
        </w:drawing>
      </w:r>
      <w:r>
        <w:rPr>
          <w:rFonts w:hint="eastAsia" w:ascii="黑体" w:hAnsi="黑体" w:eastAsia="黑体"/>
        </w:rPr>
        <w:t>层土的厚度（m）;</w:t>
      </w:r>
    </w:p>
    <w:p>
      <w:pPr>
        <w:autoSpaceDE w:val="0"/>
        <w:ind w:firstLine="420" w:firstLineChars="200"/>
        <w:rPr>
          <w:rFonts w:ascii="黑体" w:hAnsi="黑体" w:eastAsia="黑体"/>
        </w:rPr>
      </w:pPr>
      <w:r>
        <w:rPr>
          <w:rFonts w:hint="eastAsia" w:ascii="黑体" w:hAnsi="黑体" w:eastAsia="黑体"/>
        </w:rPr>
        <w:t xml:space="preserve"> </w:t>
      </w:r>
      <w:r>
        <w:rPr>
          <w:rFonts w:ascii="黑体" w:hAnsi="黑体" w:eastAsia="黑体"/>
        </w:rPr>
        <w:t xml:space="preserve">  </w:t>
      </w:r>
      <w:r>
        <w:rPr>
          <w:rFonts w:ascii="黑体" w:hAnsi="黑体" w:eastAsia="黑体"/>
        </w:rPr>
        <w:drawing>
          <wp:inline distT="0" distB="0" distL="0" distR="0">
            <wp:extent cx="177165" cy="231775"/>
            <wp:effectExtent l="0" t="0" r="0" b="0"/>
            <wp:docPr id="194" name="图片 194" descr="C:\Users\ADMINI~1\AppData\Local\Temp\ksohtml9220\wps7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4" name="图片 194" descr="C:\Users\ADMINI~1\AppData\Local\Temp\ksohtml9220\wps74.png"/>
                    <pic:cNvPicPr>
                      <a:picLocks noChangeAspect="true" noChangeArrowheads="true"/>
                    </pic:cNvPicPr>
                  </pic:nvPicPr>
                  <pic:blipFill>
                    <a:blip r:embed="rId66">
                      <a:extLst>
                        <a:ext uri="{28A0092B-C50C-407E-A947-70E740481C1C}">
                          <a14:useLocalDpi xmlns:a14="http://schemas.microsoft.com/office/drawing/2010/main" val="false"/>
                        </a:ext>
                      </a:extLst>
                    </a:blip>
                    <a:srcRect/>
                    <a:stretch>
                      <a:fillRect/>
                    </a:stretch>
                  </pic:blipFill>
                  <pic:spPr>
                    <a:xfrm>
                      <a:off x="0" y="0"/>
                      <a:ext cx="177165" cy="231775"/>
                    </a:xfrm>
                    <a:prstGeom prst="rect">
                      <a:avLst/>
                    </a:prstGeom>
                    <a:noFill/>
                    <a:ln>
                      <a:noFill/>
                    </a:ln>
                  </pic:spPr>
                </pic:pic>
              </a:graphicData>
            </a:graphic>
          </wp:inline>
        </w:drawing>
      </w:r>
      <w:r>
        <w:rPr>
          <w:rFonts w:hint="eastAsia" w:ascii="黑体" w:hAnsi="黑体" w:eastAsia="黑体"/>
        </w:rPr>
        <w:t>——直杆段与扩大体段第</w:t>
      </w:r>
      <w:r>
        <w:rPr>
          <w:rFonts w:ascii="黑体" w:hAnsi="黑体" w:eastAsia="黑体"/>
        </w:rPr>
        <w:drawing>
          <wp:inline distT="0" distB="0" distL="0" distR="0">
            <wp:extent cx="95250" cy="177165"/>
            <wp:effectExtent l="0" t="0" r="0" b="0"/>
            <wp:docPr id="193" name="图片 193" descr="C:\Users\ADMINI~1\AppData\Local\Temp\ksohtml9220\wps75.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3" name="图片 193" descr="C:\Users\ADMINI~1\AppData\Local\Temp\ksohtml9220\wps75.png"/>
                    <pic:cNvPicPr>
                      <a:picLocks noChangeAspect="true" noChangeArrowheads="true"/>
                    </pic:cNvPicPr>
                  </pic:nvPicPr>
                  <pic:blipFill>
                    <a:blip r:embed="rId94">
                      <a:extLst>
                        <a:ext uri="{28A0092B-C50C-407E-A947-70E740481C1C}">
                          <a14:useLocalDpi xmlns:a14="http://schemas.microsoft.com/office/drawing/2010/main" val="false"/>
                        </a:ext>
                      </a:extLst>
                    </a:blip>
                    <a:srcRect/>
                    <a:stretch>
                      <a:fillRect/>
                    </a:stretch>
                  </pic:blipFill>
                  <pic:spPr>
                    <a:xfrm>
                      <a:off x="0" y="0"/>
                      <a:ext cx="95250" cy="177165"/>
                    </a:xfrm>
                    <a:prstGeom prst="rect">
                      <a:avLst/>
                    </a:prstGeom>
                    <a:noFill/>
                    <a:ln>
                      <a:noFill/>
                    </a:ln>
                  </pic:spPr>
                </pic:pic>
              </a:graphicData>
            </a:graphic>
          </wp:inline>
        </w:drawing>
      </w:r>
      <w:r>
        <w:rPr>
          <w:rFonts w:hint="eastAsia" w:ascii="黑体" w:hAnsi="黑体" w:eastAsia="黑体"/>
        </w:rPr>
        <w:t>层土的极限侧阻力标准值的增强系数，宜根据试验资料和工程经验确定，当缺乏试验资料时，依据土性选择</w:t>
      </w:r>
      <w:r>
        <w:rPr>
          <w:rFonts w:ascii="黑体" w:hAnsi="黑体" w:eastAsia="黑体"/>
        </w:rPr>
        <w:drawing>
          <wp:inline distT="0" distB="0" distL="0" distR="0">
            <wp:extent cx="177165" cy="231775"/>
            <wp:effectExtent l="0" t="0" r="0" b="0"/>
            <wp:docPr id="192" name="图片 192" descr="C:\Users\ADMINI~1\AppData\Local\Temp\ksohtml9220\wps76.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2" name="图片 192" descr="C:\Users\ADMINI~1\AppData\Local\Temp\ksohtml9220\wps76.png"/>
                    <pic:cNvPicPr>
                      <a:picLocks noChangeAspect="true" noChangeArrowheads="true"/>
                    </pic:cNvPicPr>
                  </pic:nvPicPr>
                  <pic:blipFill>
                    <a:blip r:embed="rId66">
                      <a:extLst>
                        <a:ext uri="{28A0092B-C50C-407E-A947-70E740481C1C}">
                          <a14:useLocalDpi xmlns:a14="http://schemas.microsoft.com/office/drawing/2010/main" val="false"/>
                        </a:ext>
                      </a:extLst>
                    </a:blip>
                    <a:srcRect/>
                    <a:stretch>
                      <a:fillRect/>
                    </a:stretch>
                  </pic:blipFill>
                  <pic:spPr>
                    <a:xfrm>
                      <a:off x="0" y="0"/>
                      <a:ext cx="177165" cy="231775"/>
                    </a:xfrm>
                    <a:prstGeom prst="rect">
                      <a:avLst/>
                    </a:prstGeom>
                    <a:noFill/>
                    <a:ln>
                      <a:noFill/>
                    </a:ln>
                  </pic:spPr>
                </pic:pic>
              </a:graphicData>
            </a:graphic>
          </wp:inline>
        </w:drawing>
      </w:r>
      <w:r>
        <w:rPr>
          <w:rFonts w:hint="eastAsia" w:ascii="黑体" w:hAnsi="黑体" w:eastAsia="黑体"/>
        </w:rPr>
        <w:t>=1.0~1.2；黏性土、粉土、黄土宜取低值，砂土、砾砂、角砾、圆砾、碎石、卵石、全风化岩、强风化岩和中风化软岩宜取高值；</w:t>
      </w:r>
    </w:p>
    <w:p>
      <w:pPr>
        <w:autoSpaceDE w:val="0"/>
        <w:ind w:firstLine="420" w:firstLineChars="200"/>
        <w:rPr>
          <w:rFonts w:ascii="黑体" w:hAnsi="黑体" w:eastAsia="黑体"/>
        </w:rPr>
      </w:pPr>
      <w:r>
        <w:rPr>
          <w:rFonts w:hint="eastAsia" w:ascii="黑体" w:hAnsi="黑体" w:eastAsia="黑体"/>
        </w:rPr>
        <w:t xml:space="preserve"> </w:t>
      </w:r>
      <w:r>
        <w:rPr>
          <w:rFonts w:ascii="黑体" w:hAnsi="黑体" w:eastAsia="黑体"/>
        </w:rPr>
        <w:drawing>
          <wp:inline distT="0" distB="0" distL="0" distR="0">
            <wp:extent cx="177165" cy="231775"/>
            <wp:effectExtent l="0" t="0" r="0" b="0"/>
            <wp:docPr id="95" name="图片 95" descr="C:\Users\ADMINI~1\AppData\Local\Temp\ksohtml9220\wps77.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5" name="图片 95" descr="C:\Users\ADMINI~1\AppData\Local\Temp\ksohtml9220\wps77.png"/>
                    <pic:cNvPicPr>
                      <a:picLocks noChangeAspect="true" noChangeArrowheads="true"/>
                    </pic:cNvPicPr>
                  </pic:nvPicPr>
                  <pic:blipFill>
                    <a:blip r:embed="rId67">
                      <a:extLst>
                        <a:ext uri="{28A0092B-C50C-407E-A947-70E740481C1C}">
                          <a14:useLocalDpi xmlns:a14="http://schemas.microsoft.com/office/drawing/2010/main" val="false"/>
                        </a:ext>
                      </a:extLst>
                    </a:blip>
                    <a:srcRect/>
                    <a:stretch>
                      <a:fillRect/>
                    </a:stretch>
                  </pic:blipFill>
                  <pic:spPr>
                    <a:xfrm>
                      <a:off x="0" y="0"/>
                      <a:ext cx="177165" cy="231775"/>
                    </a:xfrm>
                    <a:prstGeom prst="rect">
                      <a:avLst/>
                    </a:prstGeom>
                    <a:noFill/>
                    <a:ln>
                      <a:noFill/>
                    </a:ln>
                  </pic:spPr>
                </pic:pic>
              </a:graphicData>
            </a:graphic>
          </wp:inline>
        </w:drawing>
      </w:r>
      <w:r>
        <w:rPr>
          <w:rFonts w:hint="eastAsia" w:ascii="黑体" w:hAnsi="黑体" w:eastAsia="黑体"/>
        </w:rPr>
        <w:t xml:space="preserve"> ——螺纹段第i层土的极限侧阻力提高系数，宜根据试验资料和工程经验确定，当缺乏试验资料时，可按表</w:t>
      </w:r>
      <w:r>
        <w:rPr>
          <w:rFonts w:ascii="黑体" w:hAnsi="黑体" w:eastAsia="黑体"/>
        </w:rPr>
        <w:t>6</w:t>
      </w:r>
      <w:r>
        <w:rPr>
          <w:rFonts w:hint="eastAsia" w:ascii="黑体" w:hAnsi="黑体" w:eastAsia="黑体"/>
        </w:rPr>
        <w:t>取值；</w:t>
      </w:r>
    </w:p>
    <w:p>
      <w:pPr>
        <w:pStyle w:val="55"/>
        <w:ind w:firstLine="199" w:firstLineChars="95"/>
        <w:rPr>
          <w:rFonts w:ascii="黑体" w:hAnsi="黑体" w:eastAsia="黑体"/>
        </w:rPr>
      </w:pPr>
    </w:p>
    <w:p>
      <w:pPr>
        <w:pStyle w:val="112"/>
        <w:spacing w:before="156" w:after="156"/>
        <w:rPr>
          <w:rFonts w:hAnsi="黑体"/>
        </w:rPr>
      </w:pPr>
      <w:r>
        <w:rPr>
          <w:rFonts w:hint="eastAsia" w:hAnsi="黑体"/>
        </w:rPr>
        <w:t>桩的极限侧阻力标准值（kPa）</w:t>
      </w:r>
    </w:p>
    <w:tbl>
      <w:tblPr>
        <w:tblStyle w:val="27"/>
        <w:tblW w:w="503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782"/>
        <w:gridCol w:w="1336"/>
        <w:gridCol w:w="2769"/>
        <w:gridCol w:w="354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tblHeader/>
          <w:jc w:val="center"/>
        </w:trPr>
        <w:tc>
          <w:tcPr>
            <w:tcW w:w="945" w:type="pct"/>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土的名称</w:t>
            </w:r>
          </w:p>
        </w:tc>
        <w:tc>
          <w:tcPr>
            <w:tcW w:w="2176" w:type="pct"/>
            <w:gridSpan w:val="2"/>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土的状态</w:t>
            </w:r>
          </w:p>
        </w:tc>
        <w:tc>
          <w:tcPr>
            <w:tcW w:w="1878" w:type="pct"/>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极限侧阻力标准值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45" w:type="pct"/>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填  土</w:t>
            </w:r>
          </w:p>
        </w:tc>
        <w:tc>
          <w:tcPr>
            <w:tcW w:w="2176" w:type="pct"/>
            <w:gridSpan w:val="2"/>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w:t>
            </w:r>
          </w:p>
        </w:tc>
        <w:tc>
          <w:tcPr>
            <w:tcW w:w="1878" w:type="pct"/>
            <w:tcBorders>
              <w:top w:val="single" w:color="auto" w:sz="8" w:space="0"/>
            </w:tcBorders>
            <w:shd w:val="clear" w:color="auto" w:fill="auto"/>
            <w:vAlign w:val="center"/>
          </w:tcPr>
          <w:p>
            <w:pPr>
              <w:ind w:left="-13" w:leftChars="-51" w:hanging="94" w:hangingChars="45"/>
              <w:jc w:val="center"/>
              <w:rPr>
                <w:rFonts w:ascii="黑体" w:hAnsi="黑体" w:eastAsia="黑体"/>
              </w:rPr>
            </w:pPr>
            <w:r>
              <w:rPr>
                <w:rFonts w:hint="eastAsia" w:ascii="黑体" w:hAnsi="黑体" w:eastAsia="黑体"/>
              </w:rPr>
              <w:t>22～30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45" w:type="pct"/>
            <w:shd w:val="clear" w:color="auto" w:fill="auto"/>
            <w:vAlign w:val="center"/>
          </w:tcPr>
          <w:p>
            <w:pPr>
              <w:jc w:val="center"/>
              <w:rPr>
                <w:rFonts w:ascii="黑体" w:hAnsi="黑体" w:eastAsia="黑体"/>
              </w:rPr>
            </w:pPr>
            <w:r>
              <w:rPr>
                <w:rFonts w:hint="eastAsia" w:ascii="黑体" w:hAnsi="黑体" w:eastAsia="黑体"/>
              </w:rPr>
              <w:t>淤  泥</w:t>
            </w:r>
          </w:p>
        </w:tc>
        <w:tc>
          <w:tcPr>
            <w:tcW w:w="2176" w:type="pct"/>
            <w:gridSpan w:val="2"/>
            <w:shd w:val="clear" w:color="auto" w:fill="auto"/>
            <w:vAlign w:val="center"/>
          </w:tcPr>
          <w:p>
            <w:pPr>
              <w:jc w:val="center"/>
              <w:rPr>
                <w:rFonts w:ascii="黑体" w:hAnsi="黑体" w:eastAsia="黑体"/>
              </w:rPr>
            </w:pPr>
            <w:r>
              <w:rPr>
                <w:rFonts w:hint="eastAsia" w:ascii="黑体" w:hAnsi="黑体" w:eastAsia="黑体"/>
              </w:rPr>
              <w:t>—</w:t>
            </w:r>
          </w:p>
        </w:tc>
        <w:tc>
          <w:tcPr>
            <w:tcW w:w="1878" w:type="pct"/>
            <w:shd w:val="clear" w:color="auto" w:fill="auto"/>
            <w:vAlign w:val="center"/>
          </w:tcPr>
          <w:p>
            <w:pPr>
              <w:ind w:left="-13" w:leftChars="-51" w:hanging="94" w:hangingChars="45"/>
              <w:jc w:val="center"/>
              <w:rPr>
                <w:rFonts w:ascii="黑体" w:hAnsi="黑体" w:eastAsia="黑体"/>
              </w:rPr>
            </w:pPr>
            <w:r>
              <w:rPr>
                <w:rFonts w:hint="eastAsia" w:ascii="黑体" w:hAnsi="黑体" w:eastAsia="黑体"/>
              </w:rPr>
              <w:t>14～20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45" w:type="pct"/>
            <w:shd w:val="clear" w:color="auto" w:fill="auto"/>
            <w:vAlign w:val="center"/>
          </w:tcPr>
          <w:p>
            <w:pPr>
              <w:jc w:val="center"/>
              <w:rPr>
                <w:rFonts w:ascii="黑体" w:hAnsi="黑体" w:eastAsia="黑体"/>
              </w:rPr>
            </w:pPr>
            <w:r>
              <w:rPr>
                <w:rFonts w:hint="eastAsia" w:ascii="黑体" w:hAnsi="黑体" w:eastAsia="黑体"/>
              </w:rPr>
              <w:t>淤泥质土</w:t>
            </w:r>
          </w:p>
        </w:tc>
        <w:tc>
          <w:tcPr>
            <w:tcW w:w="2176" w:type="pct"/>
            <w:gridSpan w:val="2"/>
            <w:shd w:val="clear" w:color="auto" w:fill="auto"/>
            <w:vAlign w:val="center"/>
          </w:tcPr>
          <w:p>
            <w:pPr>
              <w:jc w:val="center"/>
              <w:rPr>
                <w:rFonts w:ascii="黑体" w:hAnsi="黑体" w:eastAsia="黑体"/>
              </w:rPr>
            </w:pPr>
            <w:r>
              <w:rPr>
                <w:rFonts w:hint="eastAsia" w:ascii="黑体" w:hAnsi="黑体" w:eastAsia="黑体"/>
              </w:rPr>
              <w:t>—</w:t>
            </w:r>
          </w:p>
        </w:tc>
        <w:tc>
          <w:tcPr>
            <w:tcW w:w="1878" w:type="pct"/>
            <w:shd w:val="clear" w:color="auto" w:fill="auto"/>
            <w:vAlign w:val="center"/>
          </w:tcPr>
          <w:p>
            <w:pPr>
              <w:ind w:left="-13" w:leftChars="-51" w:hanging="94" w:hangingChars="45"/>
              <w:jc w:val="center"/>
              <w:rPr>
                <w:rFonts w:ascii="黑体" w:hAnsi="黑体" w:eastAsia="黑体"/>
              </w:rPr>
            </w:pPr>
            <w:r>
              <w:rPr>
                <w:rFonts w:hint="eastAsia" w:ascii="黑体" w:hAnsi="黑体" w:eastAsia="黑体"/>
              </w:rPr>
              <w:t>22～30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45" w:type="pct"/>
            <w:vMerge w:val="restart"/>
            <w:shd w:val="clear" w:color="auto" w:fill="auto"/>
            <w:vAlign w:val="center"/>
          </w:tcPr>
          <w:p>
            <w:pPr>
              <w:pStyle w:val="178"/>
              <w:rPr>
                <w:rFonts w:ascii="黑体" w:hAnsi="黑体" w:eastAsia="黑体"/>
              </w:rPr>
            </w:pPr>
            <w:r>
              <w:rPr>
                <w:rFonts w:hint="eastAsia" w:ascii="黑体" w:hAnsi="黑体" w:eastAsia="黑体"/>
              </w:rPr>
              <w:t>黏性土</w:t>
            </w:r>
          </w:p>
        </w:tc>
        <w:tc>
          <w:tcPr>
            <w:tcW w:w="708" w:type="pct"/>
            <w:shd w:val="clear" w:color="auto" w:fill="auto"/>
            <w:vAlign w:val="center"/>
          </w:tcPr>
          <w:p>
            <w:pPr>
              <w:jc w:val="center"/>
              <w:rPr>
                <w:rFonts w:ascii="黑体" w:hAnsi="黑体" w:eastAsia="黑体"/>
              </w:rPr>
            </w:pPr>
            <w:r>
              <w:rPr>
                <w:rFonts w:hint="eastAsia" w:ascii="黑体" w:hAnsi="黑体" w:eastAsia="黑体"/>
              </w:rPr>
              <w:t>流塑</w:t>
            </w:r>
          </w:p>
        </w:tc>
        <w:tc>
          <w:tcPr>
            <w:tcW w:w="1468" w:type="pct"/>
            <w:shd w:val="clear" w:color="auto" w:fill="auto"/>
            <w:vAlign w:val="center"/>
          </w:tcPr>
          <w:p>
            <w:pPr>
              <w:jc w:val="center"/>
              <w:rPr>
                <w:rFonts w:ascii="黑体" w:hAnsi="黑体" w:eastAsia="黑体"/>
              </w:rPr>
            </w:pPr>
            <w:r>
              <w:rPr>
                <w:rFonts w:hint="eastAsia" w:ascii="黑体" w:hAnsi="黑体" w:eastAsia="黑体"/>
              </w:rPr>
              <w:t>I</w:t>
            </w:r>
            <w:r>
              <w:rPr>
                <w:rFonts w:hint="eastAsia" w:ascii="黑体" w:hAnsi="黑体" w:eastAsia="黑体"/>
                <w:vertAlign w:val="subscript"/>
              </w:rPr>
              <w:t>L</w:t>
            </w:r>
            <w:r>
              <w:rPr>
                <w:rFonts w:hint="eastAsia" w:ascii="黑体" w:hAnsi="黑体" w:eastAsia="黑体"/>
              </w:rPr>
              <w:t>＞1</w:t>
            </w:r>
          </w:p>
        </w:tc>
        <w:tc>
          <w:tcPr>
            <w:tcW w:w="1878" w:type="pct"/>
            <w:shd w:val="clear" w:color="auto" w:fill="auto"/>
            <w:vAlign w:val="center"/>
          </w:tcPr>
          <w:p>
            <w:pPr>
              <w:ind w:left="-13" w:leftChars="-51" w:hanging="94" w:hangingChars="45"/>
              <w:jc w:val="center"/>
              <w:rPr>
                <w:rFonts w:ascii="黑体" w:hAnsi="黑体" w:eastAsia="黑体"/>
              </w:rPr>
            </w:pPr>
            <w:r>
              <w:rPr>
                <w:rFonts w:hint="eastAsia" w:ascii="黑体" w:hAnsi="黑体" w:eastAsia="黑体"/>
              </w:rPr>
              <w:t>24～40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45" w:type="pct"/>
            <w:vMerge w:val="continue"/>
            <w:shd w:val="clear" w:color="auto" w:fill="auto"/>
            <w:vAlign w:val="center"/>
          </w:tcPr>
          <w:p>
            <w:pPr>
              <w:pStyle w:val="178"/>
              <w:rPr>
                <w:rFonts w:ascii="黑体" w:hAnsi="黑体" w:eastAsia="黑体"/>
              </w:rPr>
            </w:pPr>
          </w:p>
        </w:tc>
        <w:tc>
          <w:tcPr>
            <w:tcW w:w="708" w:type="pct"/>
            <w:shd w:val="clear" w:color="auto" w:fill="auto"/>
            <w:vAlign w:val="center"/>
          </w:tcPr>
          <w:p>
            <w:pPr>
              <w:spacing w:line="240" w:lineRule="exact"/>
              <w:jc w:val="center"/>
              <w:rPr>
                <w:rFonts w:ascii="黑体" w:hAnsi="黑体" w:eastAsia="黑体"/>
              </w:rPr>
            </w:pPr>
            <w:r>
              <w:rPr>
                <w:rFonts w:hint="eastAsia" w:ascii="黑体" w:hAnsi="黑体" w:eastAsia="黑体"/>
              </w:rPr>
              <w:t>软塑</w:t>
            </w:r>
          </w:p>
        </w:tc>
        <w:tc>
          <w:tcPr>
            <w:tcW w:w="1468" w:type="pct"/>
            <w:shd w:val="clear" w:color="auto" w:fill="auto"/>
            <w:vAlign w:val="center"/>
          </w:tcPr>
          <w:p>
            <w:pPr>
              <w:spacing w:line="240" w:lineRule="exact"/>
              <w:jc w:val="center"/>
              <w:rPr>
                <w:rFonts w:ascii="黑体" w:hAnsi="黑体" w:eastAsia="黑体"/>
              </w:rPr>
            </w:pPr>
            <w:r>
              <w:rPr>
                <w:rFonts w:hint="eastAsia" w:ascii="黑体" w:hAnsi="黑体" w:eastAsia="黑体"/>
              </w:rPr>
              <w:t>0.75＜I</w:t>
            </w:r>
            <w:r>
              <w:rPr>
                <w:rFonts w:hint="eastAsia" w:ascii="黑体" w:hAnsi="黑体" w:eastAsia="黑体"/>
                <w:vertAlign w:val="subscript"/>
              </w:rPr>
              <w:t>L</w:t>
            </w:r>
            <w:r>
              <w:rPr>
                <w:rFonts w:hint="eastAsia" w:ascii="黑体" w:hAnsi="黑体" w:eastAsia="黑体"/>
              </w:rPr>
              <w:t>≤1</w:t>
            </w:r>
          </w:p>
        </w:tc>
        <w:tc>
          <w:tcPr>
            <w:tcW w:w="1878" w:type="pct"/>
            <w:shd w:val="clear" w:color="auto" w:fill="auto"/>
            <w:vAlign w:val="center"/>
          </w:tcPr>
          <w:p>
            <w:pPr>
              <w:spacing w:line="240" w:lineRule="exact"/>
              <w:ind w:left="-13" w:leftChars="-51" w:hanging="94" w:hangingChars="45"/>
              <w:jc w:val="center"/>
              <w:rPr>
                <w:rFonts w:ascii="黑体" w:hAnsi="黑体" w:eastAsia="黑体"/>
              </w:rPr>
            </w:pPr>
            <w:r>
              <w:rPr>
                <w:rFonts w:hint="eastAsia" w:ascii="黑体" w:hAnsi="黑体" w:eastAsia="黑体"/>
              </w:rPr>
              <w:t>40～55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45" w:type="pct"/>
            <w:vMerge w:val="continue"/>
            <w:shd w:val="clear" w:color="auto" w:fill="auto"/>
            <w:vAlign w:val="center"/>
          </w:tcPr>
          <w:p>
            <w:pPr>
              <w:pStyle w:val="178"/>
              <w:rPr>
                <w:rFonts w:ascii="黑体" w:hAnsi="黑体" w:eastAsia="黑体"/>
              </w:rPr>
            </w:pPr>
          </w:p>
        </w:tc>
        <w:tc>
          <w:tcPr>
            <w:tcW w:w="708" w:type="pct"/>
            <w:shd w:val="clear" w:color="auto" w:fill="auto"/>
            <w:vAlign w:val="center"/>
          </w:tcPr>
          <w:p>
            <w:pPr>
              <w:spacing w:line="240" w:lineRule="exact"/>
              <w:jc w:val="center"/>
              <w:rPr>
                <w:rFonts w:ascii="黑体" w:hAnsi="黑体" w:eastAsia="黑体"/>
              </w:rPr>
            </w:pPr>
            <w:r>
              <w:rPr>
                <w:rFonts w:hint="eastAsia" w:ascii="黑体" w:hAnsi="黑体" w:eastAsia="黑体"/>
              </w:rPr>
              <w:t>可塑</w:t>
            </w:r>
          </w:p>
        </w:tc>
        <w:tc>
          <w:tcPr>
            <w:tcW w:w="1468" w:type="pct"/>
            <w:shd w:val="clear" w:color="auto" w:fill="auto"/>
            <w:vAlign w:val="center"/>
          </w:tcPr>
          <w:p>
            <w:pPr>
              <w:spacing w:line="240" w:lineRule="exact"/>
              <w:jc w:val="center"/>
              <w:rPr>
                <w:rFonts w:ascii="黑体" w:hAnsi="黑体" w:eastAsia="黑体"/>
              </w:rPr>
            </w:pPr>
            <w:r>
              <w:rPr>
                <w:rFonts w:hint="eastAsia" w:ascii="黑体" w:hAnsi="黑体" w:eastAsia="黑体"/>
              </w:rPr>
              <w:t>0.5＜I</w:t>
            </w:r>
            <w:r>
              <w:rPr>
                <w:rFonts w:hint="eastAsia" w:ascii="黑体" w:hAnsi="黑体" w:eastAsia="黑体"/>
                <w:vertAlign w:val="subscript"/>
              </w:rPr>
              <w:t>L</w:t>
            </w:r>
            <w:r>
              <w:rPr>
                <w:rFonts w:hint="eastAsia" w:ascii="黑体" w:hAnsi="黑体" w:eastAsia="黑体"/>
              </w:rPr>
              <w:t>≤0.75</w:t>
            </w:r>
          </w:p>
        </w:tc>
        <w:tc>
          <w:tcPr>
            <w:tcW w:w="1878" w:type="pct"/>
            <w:shd w:val="clear" w:color="auto" w:fill="auto"/>
            <w:vAlign w:val="center"/>
          </w:tcPr>
          <w:p>
            <w:pPr>
              <w:spacing w:line="240" w:lineRule="exact"/>
              <w:ind w:left="-13" w:leftChars="-51" w:hanging="94" w:hangingChars="45"/>
              <w:jc w:val="center"/>
              <w:rPr>
                <w:rFonts w:ascii="黑体" w:hAnsi="黑体" w:eastAsia="黑体"/>
              </w:rPr>
            </w:pPr>
            <w:r>
              <w:rPr>
                <w:rFonts w:hint="eastAsia" w:ascii="黑体" w:hAnsi="黑体" w:eastAsia="黑体"/>
              </w:rPr>
              <w:t>55～70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45" w:type="pct"/>
            <w:vMerge w:val="continue"/>
            <w:shd w:val="clear" w:color="auto" w:fill="auto"/>
            <w:vAlign w:val="center"/>
          </w:tcPr>
          <w:p>
            <w:pPr>
              <w:pStyle w:val="178"/>
              <w:rPr>
                <w:rFonts w:ascii="黑体" w:hAnsi="黑体" w:eastAsia="黑体"/>
              </w:rPr>
            </w:pPr>
          </w:p>
        </w:tc>
        <w:tc>
          <w:tcPr>
            <w:tcW w:w="708" w:type="pct"/>
            <w:shd w:val="clear" w:color="auto" w:fill="auto"/>
            <w:vAlign w:val="center"/>
          </w:tcPr>
          <w:p>
            <w:pPr>
              <w:spacing w:line="240" w:lineRule="exact"/>
              <w:jc w:val="center"/>
              <w:rPr>
                <w:rFonts w:ascii="黑体" w:hAnsi="黑体" w:eastAsia="黑体"/>
              </w:rPr>
            </w:pPr>
            <w:r>
              <w:rPr>
                <w:rFonts w:hint="eastAsia" w:ascii="黑体" w:hAnsi="黑体" w:eastAsia="黑体"/>
              </w:rPr>
              <w:t>硬可塑</w:t>
            </w:r>
          </w:p>
        </w:tc>
        <w:tc>
          <w:tcPr>
            <w:tcW w:w="1468" w:type="pct"/>
            <w:shd w:val="clear" w:color="auto" w:fill="auto"/>
            <w:vAlign w:val="center"/>
          </w:tcPr>
          <w:p>
            <w:pPr>
              <w:spacing w:line="240" w:lineRule="exact"/>
              <w:jc w:val="center"/>
              <w:rPr>
                <w:rFonts w:ascii="黑体" w:hAnsi="黑体" w:eastAsia="黑体"/>
              </w:rPr>
            </w:pPr>
            <w:r>
              <w:rPr>
                <w:rFonts w:hint="eastAsia" w:ascii="黑体" w:hAnsi="黑体" w:eastAsia="黑体"/>
              </w:rPr>
              <w:t>0.25＜I</w:t>
            </w:r>
            <w:r>
              <w:rPr>
                <w:rFonts w:hint="eastAsia" w:ascii="黑体" w:hAnsi="黑体" w:eastAsia="黑体"/>
                <w:vertAlign w:val="subscript"/>
              </w:rPr>
              <w:t>L</w:t>
            </w:r>
            <w:r>
              <w:rPr>
                <w:rFonts w:hint="eastAsia" w:ascii="黑体" w:hAnsi="黑体" w:eastAsia="黑体"/>
              </w:rPr>
              <w:t>≤0.5</w:t>
            </w:r>
          </w:p>
        </w:tc>
        <w:tc>
          <w:tcPr>
            <w:tcW w:w="1878" w:type="pct"/>
            <w:shd w:val="clear" w:color="auto" w:fill="auto"/>
            <w:vAlign w:val="center"/>
          </w:tcPr>
          <w:p>
            <w:pPr>
              <w:spacing w:line="240" w:lineRule="exact"/>
              <w:ind w:left="-13" w:leftChars="-51" w:hanging="94" w:hangingChars="45"/>
              <w:jc w:val="center"/>
              <w:rPr>
                <w:rFonts w:ascii="黑体" w:hAnsi="黑体" w:eastAsia="黑体"/>
              </w:rPr>
            </w:pPr>
            <w:r>
              <w:rPr>
                <w:rFonts w:hint="eastAsia" w:ascii="黑体" w:hAnsi="黑体" w:eastAsia="黑体"/>
              </w:rPr>
              <w:t>70～86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45" w:type="pct"/>
            <w:vMerge w:val="continue"/>
            <w:shd w:val="clear" w:color="auto" w:fill="auto"/>
            <w:vAlign w:val="center"/>
          </w:tcPr>
          <w:p>
            <w:pPr>
              <w:pStyle w:val="178"/>
              <w:rPr>
                <w:rFonts w:ascii="黑体" w:hAnsi="黑体" w:eastAsia="黑体"/>
              </w:rPr>
            </w:pPr>
          </w:p>
        </w:tc>
        <w:tc>
          <w:tcPr>
            <w:tcW w:w="708" w:type="pct"/>
            <w:shd w:val="clear" w:color="auto" w:fill="auto"/>
            <w:vAlign w:val="center"/>
          </w:tcPr>
          <w:p>
            <w:pPr>
              <w:spacing w:line="240" w:lineRule="exact"/>
              <w:jc w:val="center"/>
              <w:rPr>
                <w:rFonts w:ascii="黑体" w:hAnsi="黑体" w:eastAsia="黑体"/>
              </w:rPr>
            </w:pPr>
            <w:r>
              <w:rPr>
                <w:rFonts w:hint="eastAsia" w:ascii="黑体" w:hAnsi="黑体" w:eastAsia="黑体"/>
              </w:rPr>
              <w:t>硬塑</w:t>
            </w:r>
          </w:p>
        </w:tc>
        <w:tc>
          <w:tcPr>
            <w:tcW w:w="1468" w:type="pct"/>
            <w:shd w:val="clear" w:color="auto" w:fill="auto"/>
            <w:vAlign w:val="center"/>
          </w:tcPr>
          <w:p>
            <w:pPr>
              <w:spacing w:line="240" w:lineRule="exact"/>
              <w:jc w:val="center"/>
              <w:rPr>
                <w:rFonts w:ascii="黑体" w:hAnsi="黑体" w:eastAsia="黑体"/>
              </w:rPr>
            </w:pPr>
            <w:r>
              <w:rPr>
                <w:rFonts w:hint="eastAsia" w:ascii="黑体" w:hAnsi="黑体" w:eastAsia="黑体"/>
              </w:rPr>
              <w:t>0＜I</w:t>
            </w:r>
            <w:r>
              <w:rPr>
                <w:rFonts w:hint="eastAsia" w:ascii="黑体" w:hAnsi="黑体" w:eastAsia="黑体"/>
                <w:vertAlign w:val="subscript"/>
              </w:rPr>
              <w:t>L</w:t>
            </w:r>
            <w:r>
              <w:rPr>
                <w:rFonts w:hint="eastAsia" w:ascii="黑体" w:hAnsi="黑体" w:eastAsia="黑体"/>
              </w:rPr>
              <w:t>≤0.25</w:t>
            </w:r>
          </w:p>
        </w:tc>
        <w:tc>
          <w:tcPr>
            <w:tcW w:w="1878" w:type="pct"/>
            <w:shd w:val="clear" w:color="auto" w:fill="auto"/>
            <w:vAlign w:val="center"/>
          </w:tcPr>
          <w:p>
            <w:pPr>
              <w:spacing w:line="240" w:lineRule="exact"/>
              <w:ind w:left="-13" w:leftChars="-51" w:hanging="94" w:hangingChars="45"/>
              <w:jc w:val="center"/>
              <w:rPr>
                <w:rFonts w:ascii="黑体" w:hAnsi="黑体" w:eastAsia="黑体"/>
              </w:rPr>
            </w:pPr>
            <w:r>
              <w:rPr>
                <w:rFonts w:hint="eastAsia" w:ascii="黑体" w:hAnsi="黑体" w:eastAsia="黑体"/>
              </w:rPr>
              <w:t>86～98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45" w:type="pct"/>
            <w:vMerge w:val="continue"/>
            <w:shd w:val="clear" w:color="auto" w:fill="auto"/>
            <w:vAlign w:val="center"/>
          </w:tcPr>
          <w:p>
            <w:pPr>
              <w:pStyle w:val="178"/>
              <w:rPr>
                <w:rFonts w:ascii="黑体" w:hAnsi="黑体" w:eastAsia="黑体"/>
              </w:rPr>
            </w:pPr>
          </w:p>
        </w:tc>
        <w:tc>
          <w:tcPr>
            <w:tcW w:w="708" w:type="pct"/>
            <w:shd w:val="clear" w:color="auto" w:fill="auto"/>
            <w:vAlign w:val="center"/>
          </w:tcPr>
          <w:p>
            <w:pPr>
              <w:spacing w:line="240" w:lineRule="exact"/>
              <w:jc w:val="center"/>
              <w:rPr>
                <w:rFonts w:ascii="黑体" w:hAnsi="黑体" w:eastAsia="黑体"/>
              </w:rPr>
            </w:pPr>
            <w:r>
              <w:rPr>
                <w:rFonts w:hint="eastAsia" w:ascii="黑体" w:hAnsi="黑体" w:eastAsia="黑体"/>
              </w:rPr>
              <w:t>坚硬</w:t>
            </w:r>
          </w:p>
        </w:tc>
        <w:tc>
          <w:tcPr>
            <w:tcW w:w="1468" w:type="pct"/>
            <w:shd w:val="clear" w:color="auto" w:fill="auto"/>
            <w:vAlign w:val="center"/>
          </w:tcPr>
          <w:p>
            <w:pPr>
              <w:spacing w:line="240" w:lineRule="exact"/>
              <w:jc w:val="center"/>
              <w:rPr>
                <w:rFonts w:ascii="黑体" w:hAnsi="黑体" w:eastAsia="黑体"/>
              </w:rPr>
            </w:pPr>
            <w:r>
              <w:rPr>
                <w:rFonts w:hint="eastAsia" w:ascii="黑体" w:hAnsi="黑体" w:eastAsia="黑体"/>
              </w:rPr>
              <w:t>I</w:t>
            </w:r>
            <w:r>
              <w:rPr>
                <w:rFonts w:hint="eastAsia" w:ascii="黑体" w:hAnsi="黑体" w:eastAsia="黑体"/>
                <w:vertAlign w:val="subscript"/>
              </w:rPr>
              <w:t>L</w:t>
            </w:r>
            <w:r>
              <w:rPr>
                <w:rFonts w:hint="eastAsia" w:ascii="黑体" w:hAnsi="黑体" w:eastAsia="黑体"/>
              </w:rPr>
              <w:t>≤0</w:t>
            </w:r>
          </w:p>
        </w:tc>
        <w:tc>
          <w:tcPr>
            <w:tcW w:w="1878" w:type="pct"/>
            <w:shd w:val="clear" w:color="auto" w:fill="auto"/>
            <w:vAlign w:val="center"/>
          </w:tcPr>
          <w:p>
            <w:pPr>
              <w:spacing w:line="240" w:lineRule="exact"/>
              <w:ind w:left="-13" w:leftChars="-51" w:hanging="94" w:hangingChars="45"/>
              <w:jc w:val="center"/>
              <w:rPr>
                <w:rFonts w:ascii="黑体" w:hAnsi="黑体" w:eastAsia="黑体"/>
              </w:rPr>
            </w:pPr>
            <w:r>
              <w:rPr>
                <w:rFonts w:hint="eastAsia" w:ascii="黑体" w:hAnsi="黑体" w:eastAsia="黑体"/>
              </w:rPr>
              <w:t>98～105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45" w:type="pct"/>
            <w:vMerge w:val="restart"/>
            <w:shd w:val="clear" w:color="auto" w:fill="auto"/>
            <w:vAlign w:val="center"/>
          </w:tcPr>
          <w:p>
            <w:pPr>
              <w:pStyle w:val="178"/>
              <w:rPr>
                <w:rFonts w:ascii="黑体" w:hAnsi="黑体" w:eastAsia="黑体"/>
              </w:rPr>
            </w:pPr>
            <w:r>
              <w:rPr>
                <w:rFonts w:hint="eastAsia" w:ascii="黑体" w:hAnsi="黑体" w:eastAsia="黑体"/>
              </w:rPr>
              <w:t>红黏土</w:t>
            </w:r>
          </w:p>
        </w:tc>
        <w:tc>
          <w:tcPr>
            <w:tcW w:w="2176" w:type="pct"/>
            <w:gridSpan w:val="2"/>
            <w:shd w:val="clear" w:color="auto" w:fill="auto"/>
            <w:vAlign w:val="center"/>
          </w:tcPr>
          <w:p>
            <w:pPr>
              <w:autoSpaceDE w:val="0"/>
              <w:jc w:val="center"/>
              <w:rPr>
                <w:rFonts w:ascii="黑体" w:hAnsi="黑体" w:eastAsia="黑体"/>
              </w:rPr>
            </w:pPr>
            <w:r>
              <w:rPr>
                <w:rFonts w:hint="eastAsia" w:ascii="黑体" w:hAnsi="黑体" w:eastAsia="黑体"/>
              </w:rPr>
              <w:t>0.7＜</w:t>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pict>
                <v:shape id="_x0000_i1025" o:spt="75" type="#_x0000_t75" style="height:16.1pt;width:13.95pt;" filled="f" o:preferrelative="t" stroked="f" coordsize="21600,21600">
                  <v:path/>
                  <v:fill on="f" focussize="0,0"/>
                  <v:stroke on="f" joinstyle="miter"/>
                  <v:imagedata r:id="rId95" r:href="rId96" o:title=""/>
                  <o:lock v:ext="edit" aspectratio="t"/>
                  <w10:wrap type="none"/>
                  <w10:anchorlock/>
                </v:shape>
              </w:pict>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hint="eastAsia" w:ascii="黑体" w:hAnsi="黑体" w:eastAsia="黑体"/>
              </w:rPr>
              <w:t>≤1</w:t>
            </w:r>
          </w:p>
        </w:tc>
        <w:tc>
          <w:tcPr>
            <w:tcW w:w="1878" w:type="pct"/>
            <w:shd w:val="clear" w:color="auto" w:fill="auto"/>
            <w:vAlign w:val="center"/>
          </w:tcPr>
          <w:p>
            <w:pPr>
              <w:autoSpaceDE w:val="0"/>
              <w:ind w:left="-13" w:leftChars="-51" w:hanging="94" w:hangingChars="45"/>
              <w:jc w:val="center"/>
              <w:rPr>
                <w:rFonts w:ascii="黑体" w:hAnsi="黑体" w:eastAsia="黑体"/>
              </w:rPr>
            </w:pPr>
            <w:r>
              <w:rPr>
                <w:rFonts w:hint="eastAsia" w:ascii="黑体" w:hAnsi="黑体" w:eastAsia="黑体"/>
              </w:rPr>
              <w:t>13～32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45" w:type="pct"/>
            <w:vMerge w:val="continue"/>
            <w:shd w:val="clear" w:color="auto" w:fill="auto"/>
            <w:vAlign w:val="center"/>
          </w:tcPr>
          <w:p>
            <w:pPr>
              <w:pStyle w:val="178"/>
              <w:rPr>
                <w:rFonts w:ascii="黑体" w:hAnsi="黑体" w:eastAsia="黑体"/>
              </w:rPr>
            </w:pPr>
          </w:p>
        </w:tc>
        <w:tc>
          <w:tcPr>
            <w:tcW w:w="2176" w:type="pct"/>
            <w:gridSpan w:val="2"/>
            <w:shd w:val="clear" w:color="auto" w:fill="auto"/>
            <w:vAlign w:val="center"/>
          </w:tcPr>
          <w:p>
            <w:pPr>
              <w:autoSpaceDE w:val="0"/>
              <w:jc w:val="center"/>
              <w:rPr>
                <w:rFonts w:ascii="黑体" w:hAnsi="黑体" w:eastAsia="黑体"/>
              </w:rPr>
            </w:pPr>
            <w:r>
              <w:rPr>
                <w:rFonts w:hint="eastAsia" w:ascii="黑体" w:hAnsi="黑体" w:eastAsia="黑体"/>
              </w:rPr>
              <w:t>0.5＜</w:t>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pict>
                <v:shape id="_x0000_i1026" o:spt="75" type="#_x0000_t75" style="height:17.2pt;width:13.95pt;" filled="f" o:preferrelative="t" stroked="f" coordsize="21600,21600">
                  <v:path/>
                  <v:fill on="f" focussize="0,0"/>
                  <v:stroke on="f" joinstyle="miter"/>
                  <v:imagedata r:id="rId97" r:href="rId98" o:title=""/>
                  <o:lock v:ext="edit" aspectratio="t"/>
                  <w10:wrap type="none"/>
                  <w10:anchorlock/>
                </v:shape>
              </w:pict>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hint="eastAsia" w:ascii="黑体" w:hAnsi="黑体" w:eastAsia="黑体"/>
              </w:rPr>
              <w:t>≤0.7</w:t>
            </w:r>
          </w:p>
        </w:tc>
        <w:tc>
          <w:tcPr>
            <w:tcW w:w="1878" w:type="pct"/>
            <w:shd w:val="clear" w:color="auto" w:fill="auto"/>
            <w:vAlign w:val="center"/>
          </w:tcPr>
          <w:p>
            <w:pPr>
              <w:autoSpaceDE w:val="0"/>
              <w:ind w:left="-13" w:leftChars="-51" w:hanging="94" w:hangingChars="45"/>
              <w:jc w:val="center"/>
              <w:rPr>
                <w:rFonts w:ascii="黑体" w:hAnsi="黑体" w:eastAsia="黑体"/>
              </w:rPr>
            </w:pPr>
            <w:r>
              <w:rPr>
                <w:rFonts w:hint="eastAsia" w:ascii="黑体" w:hAnsi="黑体" w:eastAsia="黑体"/>
              </w:rPr>
              <w:t>32～74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45" w:type="pct"/>
            <w:vMerge w:val="restart"/>
            <w:shd w:val="clear" w:color="auto" w:fill="auto"/>
            <w:vAlign w:val="center"/>
          </w:tcPr>
          <w:p>
            <w:pPr>
              <w:pStyle w:val="178"/>
              <w:rPr>
                <w:rFonts w:ascii="黑体" w:hAnsi="黑体" w:eastAsia="黑体"/>
              </w:rPr>
            </w:pPr>
            <w:r>
              <w:rPr>
                <w:rFonts w:hint="eastAsia" w:ascii="黑体" w:hAnsi="黑体" w:eastAsia="黑体"/>
              </w:rPr>
              <w:t>粉土</w:t>
            </w:r>
          </w:p>
        </w:tc>
        <w:tc>
          <w:tcPr>
            <w:tcW w:w="708" w:type="pct"/>
            <w:shd w:val="clear" w:color="auto" w:fill="auto"/>
            <w:vAlign w:val="center"/>
          </w:tcPr>
          <w:p>
            <w:pPr>
              <w:spacing w:line="240" w:lineRule="exact"/>
              <w:jc w:val="center"/>
              <w:rPr>
                <w:rFonts w:ascii="黑体" w:hAnsi="黑体" w:eastAsia="黑体"/>
              </w:rPr>
            </w:pPr>
            <w:r>
              <w:rPr>
                <w:rFonts w:hint="eastAsia" w:ascii="黑体" w:hAnsi="黑体" w:eastAsia="黑体"/>
              </w:rPr>
              <w:t>稍密</w:t>
            </w:r>
          </w:p>
        </w:tc>
        <w:tc>
          <w:tcPr>
            <w:tcW w:w="1468" w:type="pct"/>
            <w:shd w:val="clear" w:color="auto" w:fill="auto"/>
            <w:vAlign w:val="center"/>
          </w:tcPr>
          <w:p>
            <w:pPr>
              <w:spacing w:line="240" w:lineRule="exact"/>
              <w:jc w:val="center"/>
              <w:rPr>
                <w:rFonts w:ascii="黑体" w:hAnsi="黑体" w:eastAsia="黑体"/>
              </w:rPr>
            </w:pPr>
            <w:r>
              <w:rPr>
                <w:rFonts w:hint="eastAsia" w:ascii="黑体" w:hAnsi="黑体" w:eastAsia="黑体"/>
              </w:rPr>
              <w:t>e＞0.9</w:t>
            </w:r>
          </w:p>
        </w:tc>
        <w:tc>
          <w:tcPr>
            <w:tcW w:w="1878" w:type="pct"/>
            <w:shd w:val="clear" w:color="auto" w:fill="auto"/>
            <w:vAlign w:val="center"/>
          </w:tcPr>
          <w:p>
            <w:pPr>
              <w:spacing w:line="240" w:lineRule="exact"/>
              <w:ind w:left="-13" w:leftChars="-51" w:hanging="94" w:hangingChars="45"/>
              <w:jc w:val="center"/>
              <w:rPr>
                <w:rFonts w:ascii="黑体" w:hAnsi="黑体" w:eastAsia="黑体"/>
              </w:rPr>
            </w:pPr>
            <w:r>
              <w:rPr>
                <w:rFonts w:hint="eastAsia" w:ascii="黑体" w:hAnsi="黑体" w:eastAsia="黑体"/>
              </w:rPr>
              <w:t>26～46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45" w:type="pct"/>
            <w:vMerge w:val="continue"/>
            <w:shd w:val="clear" w:color="auto" w:fill="auto"/>
            <w:vAlign w:val="center"/>
          </w:tcPr>
          <w:p>
            <w:pPr>
              <w:pStyle w:val="178"/>
              <w:rPr>
                <w:rFonts w:ascii="黑体" w:hAnsi="黑体" w:eastAsia="黑体"/>
              </w:rPr>
            </w:pPr>
          </w:p>
        </w:tc>
        <w:tc>
          <w:tcPr>
            <w:tcW w:w="708" w:type="pct"/>
            <w:shd w:val="clear" w:color="auto" w:fill="auto"/>
            <w:vAlign w:val="center"/>
          </w:tcPr>
          <w:p>
            <w:pPr>
              <w:spacing w:line="240" w:lineRule="exact"/>
              <w:jc w:val="center"/>
              <w:rPr>
                <w:rFonts w:ascii="黑体" w:hAnsi="黑体" w:eastAsia="黑体"/>
              </w:rPr>
            </w:pPr>
            <w:r>
              <w:rPr>
                <w:rFonts w:hint="eastAsia" w:ascii="黑体" w:hAnsi="黑体" w:eastAsia="黑体"/>
              </w:rPr>
              <w:t>中密</w:t>
            </w:r>
          </w:p>
        </w:tc>
        <w:tc>
          <w:tcPr>
            <w:tcW w:w="1468" w:type="pct"/>
            <w:shd w:val="clear" w:color="auto" w:fill="auto"/>
            <w:vAlign w:val="center"/>
          </w:tcPr>
          <w:p>
            <w:pPr>
              <w:spacing w:line="240" w:lineRule="exact"/>
              <w:jc w:val="center"/>
              <w:rPr>
                <w:rFonts w:ascii="黑体" w:hAnsi="黑体" w:eastAsia="黑体"/>
              </w:rPr>
            </w:pPr>
            <w:r>
              <w:rPr>
                <w:rFonts w:hint="eastAsia" w:ascii="黑体" w:hAnsi="黑体" w:eastAsia="黑体"/>
              </w:rPr>
              <w:t>0.75≤e≤0.9</w:t>
            </w:r>
          </w:p>
        </w:tc>
        <w:tc>
          <w:tcPr>
            <w:tcW w:w="1878" w:type="pct"/>
            <w:shd w:val="clear" w:color="auto" w:fill="auto"/>
            <w:vAlign w:val="center"/>
          </w:tcPr>
          <w:p>
            <w:pPr>
              <w:spacing w:line="240" w:lineRule="exact"/>
              <w:ind w:left="-13" w:leftChars="-51" w:hanging="94" w:hangingChars="45"/>
              <w:jc w:val="center"/>
              <w:rPr>
                <w:rFonts w:ascii="黑体" w:hAnsi="黑体" w:eastAsia="黑体"/>
              </w:rPr>
            </w:pPr>
            <w:r>
              <w:rPr>
                <w:rFonts w:hint="eastAsia" w:ascii="黑体" w:hAnsi="黑体" w:eastAsia="黑体"/>
              </w:rPr>
              <w:t>46～66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45" w:type="pct"/>
            <w:vMerge w:val="continue"/>
            <w:shd w:val="clear" w:color="auto" w:fill="auto"/>
            <w:vAlign w:val="center"/>
          </w:tcPr>
          <w:p>
            <w:pPr>
              <w:pStyle w:val="178"/>
              <w:rPr>
                <w:rFonts w:ascii="黑体" w:hAnsi="黑体" w:eastAsia="黑体"/>
              </w:rPr>
            </w:pPr>
          </w:p>
        </w:tc>
        <w:tc>
          <w:tcPr>
            <w:tcW w:w="708" w:type="pct"/>
            <w:shd w:val="clear" w:color="auto" w:fill="auto"/>
            <w:vAlign w:val="center"/>
          </w:tcPr>
          <w:p>
            <w:pPr>
              <w:spacing w:line="240" w:lineRule="exact"/>
              <w:jc w:val="center"/>
              <w:rPr>
                <w:rFonts w:ascii="黑体" w:hAnsi="黑体" w:eastAsia="黑体"/>
              </w:rPr>
            </w:pPr>
            <w:r>
              <w:rPr>
                <w:rFonts w:hint="eastAsia" w:ascii="黑体" w:hAnsi="黑体" w:eastAsia="黑体"/>
              </w:rPr>
              <w:t>密实</w:t>
            </w:r>
          </w:p>
        </w:tc>
        <w:tc>
          <w:tcPr>
            <w:tcW w:w="1468" w:type="pct"/>
            <w:shd w:val="clear" w:color="auto" w:fill="auto"/>
            <w:vAlign w:val="center"/>
          </w:tcPr>
          <w:p>
            <w:pPr>
              <w:spacing w:line="240" w:lineRule="exact"/>
              <w:jc w:val="center"/>
              <w:rPr>
                <w:rFonts w:ascii="黑体" w:hAnsi="黑体" w:eastAsia="黑体"/>
              </w:rPr>
            </w:pPr>
            <w:r>
              <w:rPr>
                <w:rFonts w:hint="eastAsia" w:ascii="黑体" w:hAnsi="黑体" w:eastAsia="黑体"/>
              </w:rPr>
              <w:t>e＜0.75</w:t>
            </w:r>
          </w:p>
        </w:tc>
        <w:tc>
          <w:tcPr>
            <w:tcW w:w="1878" w:type="pct"/>
            <w:shd w:val="clear" w:color="auto" w:fill="auto"/>
            <w:vAlign w:val="center"/>
          </w:tcPr>
          <w:p>
            <w:pPr>
              <w:spacing w:line="240" w:lineRule="exact"/>
              <w:ind w:left="-13" w:leftChars="-51" w:hanging="94" w:hangingChars="45"/>
              <w:jc w:val="center"/>
              <w:rPr>
                <w:rFonts w:ascii="黑体" w:hAnsi="黑体" w:eastAsia="黑体"/>
              </w:rPr>
            </w:pPr>
            <w:r>
              <w:rPr>
                <w:rFonts w:hint="eastAsia" w:ascii="黑体" w:hAnsi="黑体" w:eastAsia="黑体"/>
              </w:rPr>
              <w:t>66～88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1782" w:type="dxa"/>
            <w:vMerge w:val="restart"/>
            <w:shd w:val="clear" w:color="auto" w:fill="auto"/>
            <w:vAlign w:val="center"/>
          </w:tcPr>
          <w:p>
            <w:pPr>
              <w:pStyle w:val="178"/>
              <w:ind w:firstLine="0" w:firstLineChars="0"/>
              <w:rPr>
                <w:rFonts w:ascii="黑体" w:hAnsi="黑体" w:eastAsia="黑体"/>
              </w:rPr>
            </w:pPr>
            <w:r>
              <w:rPr>
                <w:rFonts w:hint="eastAsia" w:ascii="黑体" w:hAnsi="黑体" w:eastAsia="黑体"/>
              </w:rPr>
              <w:t>粉细砂</w:t>
            </w:r>
          </w:p>
        </w:tc>
        <w:tc>
          <w:tcPr>
            <w:tcW w:w="1336" w:type="dxa"/>
            <w:shd w:val="clear" w:color="auto" w:fill="auto"/>
            <w:vAlign w:val="center"/>
          </w:tcPr>
          <w:p>
            <w:pPr>
              <w:spacing w:line="240" w:lineRule="exact"/>
              <w:jc w:val="center"/>
              <w:rPr>
                <w:rFonts w:hint="eastAsia" w:ascii="黑体" w:hAnsi="黑体" w:eastAsia="黑体"/>
              </w:rPr>
            </w:pPr>
            <w:r>
              <w:rPr>
                <w:rFonts w:hint="eastAsia" w:ascii="黑体" w:hAnsi="黑体" w:eastAsia="黑体"/>
              </w:rPr>
              <w:t>稍密</w:t>
            </w:r>
          </w:p>
        </w:tc>
        <w:tc>
          <w:tcPr>
            <w:tcW w:w="2769" w:type="dxa"/>
            <w:shd w:val="clear" w:color="auto" w:fill="auto"/>
            <w:vAlign w:val="center"/>
          </w:tcPr>
          <w:p>
            <w:pPr>
              <w:spacing w:line="240" w:lineRule="exact"/>
              <w:jc w:val="center"/>
              <w:rPr>
                <w:rFonts w:hint="eastAsia" w:ascii="黑体" w:hAnsi="黑体" w:eastAsia="黑体"/>
              </w:rPr>
            </w:pPr>
            <w:r>
              <w:rPr>
                <w:rFonts w:hint="eastAsia" w:ascii="黑体" w:hAnsi="黑体" w:eastAsia="黑体"/>
              </w:rPr>
              <w:t>10＜N≤15</w:t>
            </w:r>
          </w:p>
        </w:tc>
        <w:tc>
          <w:tcPr>
            <w:tcW w:w="3543" w:type="dxa"/>
            <w:shd w:val="clear" w:color="auto" w:fill="auto"/>
            <w:vAlign w:val="center"/>
          </w:tcPr>
          <w:p>
            <w:pPr>
              <w:spacing w:line="240" w:lineRule="exact"/>
              <w:ind w:left="-13" w:leftChars="-51" w:hanging="94" w:hangingChars="45"/>
              <w:jc w:val="center"/>
              <w:rPr>
                <w:rFonts w:hint="eastAsia" w:ascii="黑体" w:hAnsi="黑体" w:eastAsia="黑体"/>
              </w:rPr>
            </w:pPr>
            <w:r>
              <w:rPr>
                <w:rFonts w:hint="eastAsia" w:ascii="黑体" w:hAnsi="黑体" w:eastAsia="黑体"/>
              </w:rPr>
              <w:t>24～48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1782" w:type="dxa"/>
            <w:vMerge w:val="continue"/>
            <w:shd w:val="clear" w:color="auto" w:fill="auto"/>
            <w:vAlign w:val="center"/>
          </w:tcPr>
          <w:p>
            <w:pPr>
              <w:pStyle w:val="178"/>
              <w:ind w:firstLine="0" w:firstLineChars="0"/>
              <w:rPr>
                <w:rFonts w:ascii="黑体" w:hAnsi="黑体" w:eastAsia="黑体"/>
              </w:rPr>
            </w:pPr>
          </w:p>
        </w:tc>
        <w:tc>
          <w:tcPr>
            <w:tcW w:w="1336" w:type="dxa"/>
            <w:shd w:val="clear" w:color="auto" w:fill="auto"/>
            <w:vAlign w:val="center"/>
          </w:tcPr>
          <w:p>
            <w:pPr>
              <w:spacing w:line="240" w:lineRule="exact"/>
              <w:jc w:val="center"/>
              <w:rPr>
                <w:rFonts w:hint="eastAsia" w:ascii="黑体" w:hAnsi="黑体" w:eastAsia="黑体"/>
              </w:rPr>
            </w:pPr>
            <w:r>
              <w:rPr>
                <w:rFonts w:hint="eastAsia" w:ascii="黑体" w:hAnsi="黑体" w:eastAsia="黑体"/>
              </w:rPr>
              <w:t>中密</w:t>
            </w:r>
          </w:p>
        </w:tc>
        <w:tc>
          <w:tcPr>
            <w:tcW w:w="2769" w:type="dxa"/>
            <w:shd w:val="clear" w:color="auto" w:fill="auto"/>
            <w:vAlign w:val="center"/>
          </w:tcPr>
          <w:p>
            <w:pPr>
              <w:spacing w:line="240" w:lineRule="exact"/>
              <w:jc w:val="center"/>
              <w:rPr>
                <w:rFonts w:hint="eastAsia" w:ascii="黑体" w:hAnsi="黑体" w:eastAsia="黑体"/>
              </w:rPr>
            </w:pPr>
            <w:r>
              <w:rPr>
                <w:rFonts w:hint="eastAsia" w:ascii="黑体" w:hAnsi="黑体" w:eastAsia="黑体"/>
              </w:rPr>
              <w:t>15＜N≤30</w:t>
            </w:r>
          </w:p>
        </w:tc>
        <w:tc>
          <w:tcPr>
            <w:tcW w:w="3543" w:type="dxa"/>
            <w:shd w:val="clear" w:color="auto" w:fill="auto"/>
            <w:vAlign w:val="center"/>
          </w:tcPr>
          <w:p>
            <w:pPr>
              <w:spacing w:line="240" w:lineRule="exact"/>
              <w:ind w:left="-13" w:leftChars="-51" w:hanging="94" w:hangingChars="45"/>
              <w:jc w:val="center"/>
              <w:rPr>
                <w:rFonts w:hint="eastAsia" w:ascii="黑体" w:hAnsi="黑体" w:eastAsia="黑体"/>
              </w:rPr>
            </w:pPr>
            <w:r>
              <w:rPr>
                <w:rFonts w:hint="eastAsia" w:ascii="黑体" w:hAnsi="黑体" w:eastAsia="黑体"/>
              </w:rPr>
              <w:t>48～66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1782" w:type="dxa"/>
            <w:vMerge w:val="continue"/>
            <w:shd w:val="clear" w:color="auto" w:fill="auto"/>
            <w:vAlign w:val="center"/>
          </w:tcPr>
          <w:p>
            <w:pPr>
              <w:pStyle w:val="178"/>
              <w:ind w:firstLine="0" w:firstLineChars="0"/>
              <w:rPr>
                <w:rFonts w:ascii="黑体" w:hAnsi="黑体" w:eastAsia="黑体"/>
              </w:rPr>
            </w:pPr>
          </w:p>
        </w:tc>
        <w:tc>
          <w:tcPr>
            <w:tcW w:w="1336" w:type="dxa"/>
            <w:shd w:val="clear" w:color="auto" w:fill="auto"/>
            <w:vAlign w:val="center"/>
          </w:tcPr>
          <w:p>
            <w:pPr>
              <w:spacing w:line="240" w:lineRule="exact"/>
              <w:jc w:val="center"/>
              <w:rPr>
                <w:rFonts w:hint="eastAsia" w:ascii="黑体" w:hAnsi="黑体" w:eastAsia="黑体"/>
              </w:rPr>
            </w:pPr>
            <w:r>
              <w:rPr>
                <w:rFonts w:hint="eastAsia" w:ascii="黑体" w:hAnsi="黑体" w:eastAsia="黑体"/>
              </w:rPr>
              <w:t>密实</w:t>
            </w:r>
          </w:p>
        </w:tc>
        <w:tc>
          <w:tcPr>
            <w:tcW w:w="2769" w:type="dxa"/>
            <w:shd w:val="clear" w:color="auto" w:fill="auto"/>
            <w:vAlign w:val="center"/>
          </w:tcPr>
          <w:p>
            <w:pPr>
              <w:spacing w:line="240" w:lineRule="exact"/>
              <w:jc w:val="center"/>
              <w:rPr>
                <w:rFonts w:hint="eastAsia" w:ascii="黑体" w:hAnsi="黑体" w:eastAsia="黑体"/>
              </w:rPr>
            </w:pPr>
            <w:r>
              <w:rPr>
                <w:rFonts w:hint="eastAsia" w:ascii="黑体" w:hAnsi="黑体" w:eastAsia="黑体"/>
              </w:rPr>
              <w:t>N＞30</w:t>
            </w:r>
          </w:p>
        </w:tc>
        <w:tc>
          <w:tcPr>
            <w:tcW w:w="3543" w:type="dxa"/>
            <w:shd w:val="clear" w:color="auto" w:fill="auto"/>
            <w:vAlign w:val="center"/>
          </w:tcPr>
          <w:p>
            <w:pPr>
              <w:spacing w:line="240" w:lineRule="exact"/>
              <w:ind w:left="-13" w:leftChars="-51" w:hanging="94" w:hangingChars="45"/>
              <w:jc w:val="center"/>
              <w:rPr>
                <w:rFonts w:hint="eastAsia" w:ascii="黑体" w:hAnsi="黑体" w:eastAsia="黑体"/>
              </w:rPr>
            </w:pPr>
            <w:r>
              <w:rPr>
                <w:rFonts w:hint="eastAsia" w:ascii="黑体" w:hAnsi="黑体" w:eastAsia="黑体"/>
              </w:rPr>
              <w:t>66～88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1782" w:type="dxa"/>
            <w:vMerge w:val="restart"/>
            <w:shd w:val="clear" w:color="auto" w:fill="auto"/>
            <w:vAlign w:val="center"/>
          </w:tcPr>
          <w:p>
            <w:pPr>
              <w:pStyle w:val="178"/>
              <w:ind w:firstLine="0" w:firstLineChars="0"/>
              <w:rPr>
                <w:rFonts w:ascii="黑体" w:hAnsi="黑体" w:eastAsia="黑体"/>
              </w:rPr>
            </w:pPr>
            <w:r>
              <w:rPr>
                <w:rFonts w:hint="eastAsia" w:ascii="黑体" w:hAnsi="黑体" w:eastAsia="黑体"/>
              </w:rPr>
              <w:t>中砂</w:t>
            </w:r>
          </w:p>
        </w:tc>
        <w:tc>
          <w:tcPr>
            <w:tcW w:w="1336" w:type="dxa"/>
            <w:shd w:val="clear" w:color="auto" w:fill="auto"/>
            <w:vAlign w:val="center"/>
          </w:tcPr>
          <w:p>
            <w:pPr>
              <w:spacing w:line="240" w:lineRule="exact"/>
              <w:jc w:val="center"/>
              <w:rPr>
                <w:rFonts w:hint="eastAsia" w:ascii="黑体" w:hAnsi="黑体" w:eastAsia="黑体"/>
              </w:rPr>
            </w:pPr>
            <w:r>
              <w:rPr>
                <w:rFonts w:hint="eastAsia" w:ascii="黑体" w:hAnsi="黑体" w:eastAsia="黑体"/>
              </w:rPr>
              <w:t>中密</w:t>
            </w:r>
          </w:p>
        </w:tc>
        <w:tc>
          <w:tcPr>
            <w:tcW w:w="2769" w:type="dxa"/>
            <w:shd w:val="clear" w:color="auto" w:fill="auto"/>
            <w:vAlign w:val="center"/>
          </w:tcPr>
          <w:p>
            <w:pPr>
              <w:spacing w:line="240" w:lineRule="exact"/>
              <w:jc w:val="center"/>
              <w:rPr>
                <w:rFonts w:hint="eastAsia" w:ascii="黑体" w:hAnsi="黑体" w:eastAsia="黑体"/>
              </w:rPr>
            </w:pPr>
            <w:r>
              <w:rPr>
                <w:rFonts w:hint="eastAsia" w:ascii="黑体" w:hAnsi="黑体" w:eastAsia="黑体"/>
              </w:rPr>
              <w:t>15＜N≤30</w:t>
            </w:r>
          </w:p>
        </w:tc>
        <w:tc>
          <w:tcPr>
            <w:tcW w:w="3543" w:type="dxa"/>
            <w:shd w:val="clear" w:color="auto" w:fill="auto"/>
            <w:vAlign w:val="center"/>
          </w:tcPr>
          <w:p>
            <w:pPr>
              <w:spacing w:line="240" w:lineRule="exact"/>
              <w:ind w:left="-13" w:leftChars="-51" w:hanging="94" w:hangingChars="45"/>
              <w:jc w:val="center"/>
              <w:rPr>
                <w:rFonts w:hint="eastAsia" w:ascii="黑体" w:hAnsi="黑体" w:eastAsia="黑体"/>
              </w:rPr>
            </w:pPr>
            <w:r>
              <w:rPr>
                <w:rFonts w:hint="eastAsia" w:ascii="黑体" w:hAnsi="黑体" w:eastAsia="黑体"/>
              </w:rPr>
              <w:t>54～74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1782" w:type="dxa"/>
            <w:vMerge w:val="continue"/>
            <w:shd w:val="clear" w:color="auto" w:fill="auto"/>
            <w:vAlign w:val="center"/>
          </w:tcPr>
          <w:p>
            <w:pPr>
              <w:pStyle w:val="178"/>
              <w:ind w:firstLine="0" w:firstLineChars="0"/>
              <w:rPr>
                <w:rFonts w:ascii="黑体" w:hAnsi="黑体" w:eastAsia="黑体"/>
              </w:rPr>
            </w:pPr>
          </w:p>
        </w:tc>
        <w:tc>
          <w:tcPr>
            <w:tcW w:w="1336" w:type="dxa"/>
            <w:shd w:val="clear" w:color="auto" w:fill="auto"/>
            <w:vAlign w:val="center"/>
          </w:tcPr>
          <w:p>
            <w:pPr>
              <w:spacing w:line="240" w:lineRule="exact"/>
              <w:jc w:val="center"/>
              <w:rPr>
                <w:rFonts w:hint="eastAsia" w:ascii="黑体" w:hAnsi="黑体" w:eastAsia="黑体"/>
              </w:rPr>
            </w:pPr>
            <w:r>
              <w:rPr>
                <w:rFonts w:hint="eastAsia" w:ascii="黑体" w:hAnsi="黑体" w:eastAsia="黑体"/>
              </w:rPr>
              <w:t>密实</w:t>
            </w:r>
          </w:p>
        </w:tc>
        <w:tc>
          <w:tcPr>
            <w:tcW w:w="2769" w:type="dxa"/>
            <w:shd w:val="clear" w:color="auto" w:fill="auto"/>
            <w:vAlign w:val="center"/>
          </w:tcPr>
          <w:p>
            <w:pPr>
              <w:spacing w:line="240" w:lineRule="exact"/>
              <w:jc w:val="center"/>
              <w:rPr>
                <w:rFonts w:hint="eastAsia" w:ascii="黑体" w:hAnsi="黑体" w:eastAsia="黑体"/>
              </w:rPr>
            </w:pPr>
            <w:r>
              <w:rPr>
                <w:rFonts w:hint="eastAsia" w:ascii="黑体" w:hAnsi="黑体" w:eastAsia="黑体"/>
              </w:rPr>
              <w:t>N＞30</w:t>
            </w:r>
          </w:p>
        </w:tc>
        <w:tc>
          <w:tcPr>
            <w:tcW w:w="3543" w:type="dxa"/>
            <w:shd w:val="clear" w:color="auto" w:fill="auto"/>
            <w:vAlign w:val="center"/>
          </w:tcPr>
          <w:p>
            <w:pPr>
              <w:spacing w:line="240" w:lineRule="exact"/>
              <w:ind w:left="-13" w:leftChars="-51" w:hanging="94" w:hangingChars="45"/>
              <w:jc w:val="center"/>
              <w:rPr>
                <w:rFonts w:hint="eastAsia" w:ascii="黑体" w:hAnsi="黑体" w:eastAsia="黑体"/>
              </w:rPr>
            </w:pPr>
            <w:r>
              <w:rPr>
                <w:rFonts w:hint="eastAsia" w:ascii="黑体" w:hAnsi="黑体" w:eastAsia="黑体"/>
              </w:rPr>
              <w:t>74～95</w:t>
            </w:r>
          </w:p>
        </w:tc>
      </w:tr>
    </w:tbl>
    <w:p>
      <w:pPr>
        <w:pStyle w:val="180"/>
        <w:numPr>
          <w:ilvl w:val="0"/>
          <w:numId w:val="0"/>
        </w:numPr>
        <w:rPr>
          <w:rFonts w:ascii="黑体" w:hAnsi="黑体" w:eastAsia="黑体"/>
        </w:rPr>
      </w:pPr>
    </w:p>
    <w:p>
      <w:pPr>
        <w:pStyle w:val="112"/>
        <w:numPr>
          <w:ilvl w:val="0"/>
          <w:numId w:val="0"/>
        </w:numPr>
        <w:spacing w:before="156" w:after="156"/>
        <w:rPr>
          <w:rFonts w:hAnsi="黑体"/>
        </w:rPr>
      </w:pPr>
      <w:r>
        <w:rPr>
          <w:rFonts w:hint="eastAsia" w:hAnsi="黑体"/>
        </w:rPr>
        <w:t>续表4</w:t>
      </w:r>
      <w:r>
        <w:rPr>
          <w:rFonts w:hAnsi="黑体"/>
        </w:rPr>
        <w:t xml:space="preserve">  </w:t>
      </w:r>
      <w:r>
        <w:rPr>
          <w:rFonts w:hint="eastAsia" w:hAnsi="黑体"/>
        </w:rPr>
        <w:t>桩的极限侧阻力标准值（kPa）</w:t>
      </w:r>
    </w:p>
    <w:tbl>
      <w:tblPr>
        <w:tblStyle w:val="27"/>
        <w:tblW w:w="502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847"/>
        <w:gridCol w:w="1286"/>
        <w:gridCol w:w="2718"/>
        <w:gridCol w:w="356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tblHeader/>
          <w:jc w:val="center"/>
        </w:trPr>
        <w:tc>
          <w:tcPr>
            <w:tcW w:w="981" w:type="pct"/>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土的名称</w:t>
            </w:r>
          </w:p>
        </w:tc>
        <w:tc>
          <w:tcPr>
            <w:tcW w:w="2127" w:type="pct"/>
            <w:gridSpan w:val="2"/>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土的状态</w:t>
            </w:r>
          </w:p>
        </w:tc>
        <w:tc>
          <w:tcPr>
            <w:tcW w:w="1891" w:type="pct"/>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极限侧阻力标准值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81" w:type="pct"/>
            <w:vMerge w:val="restart"/>
            <w:shd w:val="clear" w:color="auto" w:fill="auto"/>
            <w:vAlign w:val="center"/>
          </w:tcPr>
          <w:p>
            <w:pPr>
              <w:pStyle w:val="178"/>
              <w:rPr>
                <w:rFonts w:ascii="黑体" w:hAnsi="黑体" w:eastAsia="黑体"/>
              </w:rPr>
            </w:pPr>
            <w:r>
              <w:rPr>
                <w:rFonts w:hint="eastAsia" w:ascii="黑体" w:hAnsi="黑体" w:eastAsia="黑体"/>
              </w:rPr>
              <w:t>粗砂</w:t>
            </w:r>
          </w:p>
        </w:tc>
        <w:tc>
          <w:tcPr>
            <w:tcW w:w="683" w:type="pct"/>
            <w:shd w:val="clear" w:color="auto" w:fill="auto"/>
            <w:vAlign w:val="center"/>
          </w:tcPr>
          <w:p>
            <w:pPr>
              <w:spacing w:line="240" w:lineRule="exact"/>
              <w:jc w:val="center"/>
              <w:rPr>
                <w:rFonts w:ascii="黑体" w:hAnsi="黑体" w:eastAsia="黑体"/>
              </w:rPr>
            </w:pPr>
            <w:r>
              <w:rPr>
                <w:rFonts w:hint="eastAsia" w:ascii="黑体" w:hAnsi="黑体" w:eastAsia="黑体"/>
              </w:rPr>
              <w:t>中密</w:t>
            </w:r>
          </w:p>
        </w:tc>
        <w:tc>
          <w:tcPr>
            <w:tcW w:w="1443" w:type="pct"/>
            <w:shd w:val="clear" w:color="auto" w:fill="auto"/>
            <w:vAlign w:val="center"/>
          </w:tcPr>
          <w:p>
            <w:pPr>
              <w:spacing w:line="240" w:lineRule="exact"/>
              <w:jc w:val="center"/>
              <w:rPr>
                <w:rFonts w:ascii="黑体" w:hAnsi="黑体" w:eastAsia="黑体"/>
              </w:rPr>
            </w:pPr>
            <w:r>
              <w:rPr>
                <w:rFonts w:hint="eastAsia" w:ascii="黑体" w:hAnsi="黑体" w:eastAsia="黑体"/>
              </w:rPr>
              <w:t>15＜N≤30</w:t>
            </w:r>
          </w:p>
        </w:tc>
        <w:tc>
          <w:tcPr>
            <w:tcW w:w="1891" w:type="pct"/>
            <w:shd w:val="clear" w:color="auto" w:fill="auto"/>
            <w:vAlign w:val="center"/>
          </w:tcPr>
          <w:p>
            <w:pPr>
              <w:spacing w:line="240" w:lineRule="exact"/>
              <w:jc w:val="center"/>
              <w:rPr>
                <w:rFonts w:ascii="黑体" w:hAnsi="黑体" w:eastAsia="黑体"/>
              </w:rPr>
            </w:pPr>
            <w:r>
              <w:rPr>
                <w:rFonts w:hint="eastAsia" w:ascii="黑体" w:hAnsi="黑体" w:eastAsia="黑体"/>
              </w:rPr>
              <w:t>74～95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81" w:type="pct"/>
            <w:vMerge w:val="continue"/>
            <w:shd w:val="clear" w:color="auto" w:fill="auto"/>
            <w:vAlign w:val="center"/>
          </w:tcPr>
          <w:p>
            <w:pPr>
              <w:pStyle w:val="178"/>
              <w:rPr>
                <w:rFonts w:ascii="黑体" w:hAnsi="黑体" w:eastAsia="黑体"/>
              </w:rPr>
            </w:pPr>
          </w:p>
        </w:tc>
        <w:tc>
          <w:tcPr>
            <w:tcW w:w="683" w:type="pct"/>
            <w:shd w:val="clear" w:color="auto" w:fill="auto"/>
            <w:vAlign w:val="center"/>
          </w:tcPr>
          <w:p>
            <w:pPr>
              <w:spacing w:line="240" w:lineRule="exact"/>
              <w:jc w:val="center"/>
              <w:rPr>
                <w:rFonts w:ascii="黑体" w:hAnsi="黑体" w:eastAsia="黑体"/>
              </w:rPr>
            </w:pPr>
            <w:r>
              <w:rPr>
                <w:rFonts w:hint="eastAsia" w:ascii="黑体" w:hAnsi="黑体" w:eastAsia="黑体"/>
              </w:rPr>
              <w:t>密实</w:t>
            </w:r>
          </w:p>
        </w:tc>
        <w:tc>
          <w:tcPr>
            <w:tcW w:w="1443" w:type="pct"/>
            <w:shd w:val="clear" w:color="auto" w:fill="auto"/>
            <w:vAlign w:val="center"/>
          </w:tcPr>
          <w:p>
            <w:pPr>
              <w:spacing w:line="240" w:lineRule="exact"/>
              <w:jc w:val="center"/>
              <w:rPr>
                <w:rFonts w:ascii="黑体" w:hAnsi="黑体" w:eastAsia="黑体"/>
              </w:rPr>
            </w:pPr>
            <w:r>
              <w:rPr>
                <w:rFonts w:hint="eastAsia" w:ascii="黑体" w:hAnsi="黑体" w:eastAsia="黑体"/>
              </w:rPr>
              <w:t>N＞30</w:t>
            </w:r>
          </w:p>
        </w:tc>
        <w:tc>
          <w:tcPr>
            <w:tcW w:w="1891" w:type="pct"/>
            <w:shd w:val="clear" w:color="auto" w:fill="auto"/>
            <w:vAlign w:val="center"/>
          </w:tcPr>
          <w:p>
            <w:pPr>
              <w:spacing w:line="240" w:lineRule="exact"/>
              <w:jc w:val="center"/>
              <w:rPr>
                <w:rFonts w:ascii="黑体" w:hAnsi="黑体" w:eastAsia="黑体"/>
              </w:rPr>
            </w:pPr>
            <w:r>
              <w:rPr>
                <w:rFonts w:hint="eastAsia" w:ascii="黑体" w:hAnsi="黑体" w:eastAsia="黑体"/>
              </w:rPr>
              <w:t>95～116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81" w:type="pct"/>
            <w:vMerge w:val="restart"/>
            <w:shd w:val="clear" w:color="auto" w:fill="auto"/>
            <w:vAlign w:val="center"/>
          </w:tcPr>
          <w:p>
            <w:pPr>
              <w:pStyle w:val="178"/>
              <w:rPr>
                <w:rFonts w:ascii="黑体" w:hAnsi="黑体" w:eastAsia="黑体"/>
              </w:rPr>
            </w:pPr>
            <w:r>
              <w:rPr>
                <w:rFonts w:hint="eastAsia" w:ascii="黑体" w:hAnsi="黑体" w:eastAsia="黑体"/>
              </w:rPr>
              <w:t>砾砂</w:t>
            </w:r>
          </w:p>
        </w:tc>
        <w:tc>
          <w:tcPr>
            <w:tcW w:w="683" w:type="pct"/>
            <w:shd w:val="clear" w:color="auto" w:fill="auto"/>
            <w:vAlign w:val="center"/>
          </w:tcPr>
          <w:p>
            <w:pPr>
              <w:spacing w:line="240" w:lineRule="exact"/>
              <w:jc w:val="center"/>
              <w:rPr>
                <w:rFonts w:ascii="黑体" w:hAnsi="黑体" w:eastAsia="黑体"/>
              </w:rPr>
            </w:pPr>
            <w:r>
              <w:rPr>
                <w:rFonts w:hint="eastAsia" w:ascii="黑体" w:hAnsi="黑体" w:eastAsia="黑体"/>
              </w:rPr>
              <w:t>稍密</w:t>
            </w:r>
          </w:p>
        </w:tc>
        <w:tc>
          <w:tcPr>
            <w:tcW w:w="1443" w:type="pct"/>
            <w:shd w:val="clear" w:color="auto" w:fill="auto"/>
            <w:vAlign w:val="center"/>
          </w:tcPr>
          <w:p>
            <w:pPr>
              <w:spacing w:line="240" w:lineRule="exact"/>
              <w:jc w:val="center"/>
              <w:rPr>
                <w:rFonts w:ascii="黑体" w:hAnsi="黑体" w:eastAsia="黑体"/>
              </w:rPr>
            </w:pPr>
            <w:r>
              <w:rPr>
                <w:rFonts w:hint="eastAsia" w:ascii="黑体" w:hAnsi="黑体" w:eastAsia="黑体"/>
              </w:rPr>
              <w:t>5＜N</w:t>
            </w:r>
            <w:r>
              <w:rPr>
                <w:rFonts w:hint="eastAsia" w:ascii="黑体" w:hAnsi="黑体" w:eastAsia="黑体"/>
                <w:vertAlign w:val="subscript"/>
              </w:rPr>
              <w:t>63.5</w:t>
            </w:r>
            <w:r>
              <w:rPr>
                <w:rFonts w:hint="eastAsia" w:ascii="黑体" w:hAnsi="黑体" w:eastAsia="黑体"/>
              </w:rPr>
              <w:t>≤15</w:t>
            </w:r>
          </w:p>
        </w:tc>
        <w:tc>
          <w:tcPr>
            <w:tcW w:w="1891" w:type="pct"/>
            <w:shd w:val="clear" w:color="auto" w:fill="auto"/>
            <w:vAlign w:val="center"/>
          </w:tcPr>
          <w:p>
            <w:pPr>
              <w:spacing w:line="240" w:lineRule="exact"/>
              <w:jc w:val="center"/>
              <w:rPr>
                <w:rFonts w:ascii="黑体" w:hAnsi="黑体" w:eastAsia="黑体"/>
              </w:rPr>
            </w:pPr>
            <w:r>
              <w:rPr>
                <w:rFonts w:hint="eastAsia" w:ascii="黑体" w:hAnsi="黑体" w:eastAsia="黑体"/>
              </w:rPr>
              <w:t>70～110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81" w:type="pct"/>
            <w:vMerge w:val="continue"/>
            <w:shd w:val="clear" w:color="auto" w:fill="auto"/>
            <w:vAlign w:val="center"/>
          </w:tcPr>
          <w:p>
            <w:pPr>
              <w:pStyle w:val="178"/>
              <w:rPr>
                <w:rFonts w:ascii="黑体" w:hAnsi="黑体" w:eastAsia="黑体"/>
              </w:rPr>
            </w:pPr>
          </w:p>
        </w:tc>
        <w:tc>
          <w:tcPr>
            <w:tcW w:w="683" w:type="pct"/>
            <w:shd w:val="clear" w:color="auto" w:fill="auto"/>
            <w:vAlign w:val="center"/>
          </w:tcPr>
          <w:p>
            <w:pPr>
              <w:spacing w:line="240" w:lineRule="exact"/>
              <w:jc w:val="center"/>
              <w:rPr>
                <w:rFonts w:ascii="黑体" w:hAnsi="黑体" w:eastAsia="黑体"/>
              </w:rPr>
            </w:pPr>
            <w:r>
              <w:rPr>
                <w:rFonts w:hint="eastAsia" w:ascii="黑体" w:hAnsi="黑体" w:eastAsia="黑体"/>
              </w:rPr>
              <w:t>中密、密实</w:t>
            </w:r>
          </w:p>
        </w:tc>
        <w:tc>
          <w:tcPr>
            <w:tcW w:w="1443" w:type="pct"/>
            <w:shd w:val="clear" w:color="auto" w:fill="auto"/>
            <w:vAlign w:val="center"/>
          </w:tcPr>
          <w:p>
            <w:pPr>
              <w:spacing w:line="240" w:lineRule="exact"/>
              <w:jc w:val="center"/>
              <w:rPr>
                <w:rFonts w:ascii="黑体" w:hAnsi="黑体" w:eastAsia="黑体"/>
              </w:rPr>
            </w:pPr>
            <w:r>
              <w:rPr>
                <w:rFonts w:hint="eastAsia" w:ascii="黑体" w:hAnsi="黑体" w:eastAsia="黑体"/>
              </w:rPr>
              <w:t>N</w:t>
            </w:r>
            <w:r>
              <w:rPr>
                <w:rFonts w:hint="eastAsia" w:ascii="黑体" w:hAnsi="黑体" w:eastAsia="黑体"/>
                <w:vertAlign w:val="subscript"/>
              </w:rPr>
              <w:t>63.5</w:t>
            </w:r>
            <w:r>
              <w:rPr>
                <w:rFonts w:hint="eastAsia" w:ascii="黑体" w:hAnsi="黑体" w:eastAsia="黑体"/>
              </w:rPr>
              <w:t>＞15</w:t>
            </w:r>
          </w:p>
        </w:tc>
        <w:tc>
          <w:tcPr>
            <w:tcW w:w="1891" w:type="pct"/>
            <w:shd w:val="clear" w:color="auto" w:fill="auto"/>
            <w:vAlign w:val="center"/>
          </w:tcPr>
          <w:p>
            <w:pPr>
              <w:spacing w:line="240" w:lineRule="exact"/>
              <w:jc w:val="center"/>
              <w:rPr>
                <w:rFonts w:ascii="黑体" w:hAnsi="黑体" w:eastAsia="黑体"/>
              </w:rPr>
            </w:pPr>
            <w:r>
              <w:rPr>
                <w:rFonts w:hint="eastAsia" w:ascii="黑体" w:hAnsi="黑体" w:eastAsia="黑体"/>
              </w:rPr>
              <w:t>116～138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81" w:type="pct"/>
            <w:shd w:val="clear" w:color="auto" w:fill="auto"/>
            <w:vAlign w:val="center"/>
          </w:tcPr>
          <w:p>
            <w:pPr>
              <w:spacing w:line="240" w:lineRule="exact"/>
              <w:jc w:val="center"/>
              <w:rPr>
                <w:rFonts w:ascii="黑体" w:hAnsi="黑体" w:eastAsia="黑体"/>
              </w:rPr>
            </w:pPr>
            <w:r>
              <w:rPr>
                <w:rFonts w:hint="eastAsia" w:ascii="黑体" w:hAnsi="黑体" w:eastAsia="黑体"/>
              </w:rPr>
              <w:t>角砾、圆砾</w:t>
            </w:r>
          </w:p>
        </w:tc>
        <w:tc>
          <w:tcPr>
            <w:tcW w:w="683" w:type="pct"/>
            <w:shd w:val="clear" w:color="auto" w:fill="auto"/>
            <w:vAlign w:val="center"/>
          </w:tcPr>
          <w:p>
            <w:pPr>
              <w:spacing w:line="240" w:lineRule="exact"/>
              <w:jc w:val="center"/>
              <w:rPr>
                <w:rFonts w:ascii="黑体" w:hAnsi="黑体" w:eastAsia="黑体"/>
              </w:rPr>
            </w:pPr>
            <w:r>
              <w:rPr>
                <w:rFonts w:hint="eastAsia" w:ascii="黑体" w:hAnsi="黑体" w:eastAsia="黑体"/>
              </w:rPr>
              <w:t>中密、密实</w:t>
            </w:r>
          </w:p>
        </w:tc>
        <w:tc>
          <w:tcPr>
            <w:tcW w:w="1443" w:type="pct"/>
            <w:shd w:val="clear" w:color="auto" w:fill="auto"/>
            <w:vAlign w:val="center"/>
          </w:tcPr>
          <w:p>
            <w:pPr>
              <w:spacing w:line="240" w:lineRule="exact"/>
              <w:jc w:val="center"/>
              <w:rPr>
                <w:rFonts w:ascii="黑体" w:hAnsi="黑体" w:eastAsia="黑体"/>
              </w:rPr>
            </w:pPr>
            <w:r>
              <w:rPr>
                <w:rFonts w:hint="eastAsia" w:ascii="黑体" w:hAnsi="黑体" w:eastAsia="黑体"/>
              </w:rPr>
              <w:t>N</w:t>
            </w:r>
            <w:r>
              <w:rPr>
                <w:rFonts w:hint="eastAsia" w:ascii="黑体" w:hAnsi="黑体" w:eastAsia="黑体"/>
                <w:vertAlign w:val="subscript"/>
              </w:rPr>
              <w:t>63.5</w:t>
            </w:r>
            <w:r>
              <w:rPr>
                <w:rFonts w:hint="eastAsia" w:ascii="黑体" w:hAnsi="黑体" w:eastAsia="黑体"/>
              </w:rPr>
              <w:t>＞10</w:t>
            </w:r>
          </w:p>
        </w:tc>
        <w:tc>
          <w:tcPr>
            <w:tcW w:w="1891" w:type="pct"/>
            <w:shd w:val="clear" w:color="auto" w:fill="auto"/>
            <w:vAlign w:val="center"/>
          </w:tcPr>
          <w:p>
            <w:pPr>
              <w:spacing w:line="240" w:lineRule="exact"/>
              <w:jc w:val="center"/>
              <w:rPr>
                <w:rFonts w:ascii="黑体" w:hAnsi="黑体" w:eastAsia="黑体"/>
              </w:rPr>
            </w:pPr>
            <w:r>
              <w:rPr>
                <w:rFonts w:hint="eastAsia" w:ascii="黑体" w:hAnsi="黑体" w:eastAsia="黑体"/>
              </w:rPr>
              <w:t>160～200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81" w:type="pct"/>
            <w:shd w:val="clear" w:color="auto" w:fill="auto"/>
            <w:vAlign w:val="center"/>
          </w:tcPr>
          <w:p>
            <w:pPr>
              <w:spacing w:line="240" w:lineRule="exact"/>
              <w:jc w:val="center"/>
              <w:rPr>
                <w:rFonts w:ascii="黑体" w:hAnsi="黑体" w:eastAsia="黑体"/>
              </w:rPr>
            </w:pPr>
            <w:r>
              <w:rPr>
                <w:rFonts w:hint="eastAsia" w:ascii="黑体" w:hAnsi="黑体" w:eastAsia="黑体"/>
              </w:rPr>
              <w:t>碎石、卵石</w:t>
            </w:r>
          </w:p>
        </w:tc>
        <w:tc>
          <w:tcPr>
            <w:tcW w:w="683" w:type="pct"/>
            <w:shd w:val="clear" w:color="auto" w:fill="auto"/>
            <w:vAlign w:val="center"/>
          </w:tcPr>
          <w:p>
            <w:pPr>
              <w:spacing w:line="240" w:lineRule="exact"/>
              <w:jc w:val="center"/>
              <w:rPr>
                <w:rFonts w:ascii="黑体" w:hAnsi="黑体" w:eastAsia="黑体"/>
              </w:rPr>
            </w:pPr>
            <w:r>
              <w:rPr>
                <w:rFonts w:hint="eastAsia" w:ascii="黑体" w:hAnsi="黑体" w:eastAsia="黑体"/>
              </w:rPr>
              <w:t>中密、密实</w:t>
            </w:r>
          </w:p>
        </w:tc>
        <w:tc>
          <w:tcPr>
            <w:tcW w:w="1443" w:type="pct"/>
            <w:shd w:val="clear" w:color="auto" w:fill="auto"/>
            <w:vAlign w:val="center"/>
          </w:tcPr>
          <w:p>
            <w:pPr>
              <w:spacing w:line="240" w:lineRule="exact"/>
              <w:jc w:val="center"/>
              <w:rPr>
                <w:rFonts w:ascii="黑体" w:hAnsi="黑体" w:eastAsia="黑体"/>
              </w:rPr>
            </w:pPr>
            <w:r>
              <w:rPr>
                <w:rFonts w:hint="eastAsia" w:ascii="黑体" w:hAnsi="黑体" w:eastAsia="黑体"/>
              </w:rPr>
              <w:t>N</w:t>
            </w:r>
            <w:r>
              <w:rPr>
                <w:rFonts w:hint="eastAsia" w:ascii="黑体" w:hAnsi="黑体" w:eastAsia="黑体"/>
                <w:vertAlign w:val="subscript"/>
              </w:rPr>
              <w:t>63.5</w:t>
            </w:r>
            <w:r>
              <w:rPr>
                <w:rFonts w:hint="eastAsia" w:ascii="黑体" w:hAnsi="黑体" w:eastAsia="黑体"/>
              </w:rPr>
              <w:t>＞10</w:t>
            </w:r>
          </w:p>
        </w:tc>
        <w:tc>
          <w:tcPr>
            <w:tcW w:w="1891" w:type="pct"/>
            <w:shd w:val="clear" w:color="auto" w:fill="auto"/>
            <w:vAlign w:val="center"/>
          </w:tcPr>
          <w:p>
            <w:pPr>
              <w:spacing w:line="240" w:lineRule="exact"/>
              <w:jc w:val="center"/>
              <w:rPr>
                <w:rFonts w:ascii="黑体" w:hAnsi="黑体" w:eastAsia="黑体"/>
              </w:rPr>
            </w:pPr>
            <w:r>
              <w:rPr>
                <w:rFonts w:hint="eastAsia" w:ascii="黑体" w:hAnsi="黑体" w:eastAsia="黑体"/>
              </w:rPr>
              <w:t>200～300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81" w:type="pct"/>
            <w:shd w:val="clear" w:color="auto" w:fill="auto"/>
            <w:vAlign w:val="center"/>
          </w:tcPr>
          <w:p>
            <w:pPr>
              <w:spacing w:line="240" w:lineRule="exact"/>
              <w:jc w:val="center"/>
              <w:rPr>
                <w:rFonts w:ascii="黑体" w:hAnsi="黑体" w:eastAsia="黑体"/>
              </w:rPr>
            </w:pPr>
            <w:r>
              <w:rPr>
                <w:rFonts w:hint="eastAsia" w:ascii="黑体" w:hAnsi="黑体" w:eastAsia="黑体"/>
              </w:rPr>
              <w:t>全风化软质岩</w:t>
            </w:r>
          </w:p>
        </w:tc>
        <w:tc>
          <w:tcPr>
            <w:tcW w:w="683" w:type="pct"/>
            <w:shd w:val="clear" w:color="auto" w:fill="auto"/>
            <w:vAlign w:val="center"/>
          </w:tcPr>
          <w:p>
            <w:pPr>
              <w:spacing w:line="240" w:lineRule="exact"/>
              <w:jc w:val="center"/>
              <w:rPr>
                <w:rFonts w:ascii="黑体" w:hAnsi="黑体" w:eastAsia="黑体"/>
              </w:rPr>
            </w:pPr>
            <w:r>
              <w:rPr>
                <w:rFonts w:hint="eastAsia" w:ascii="黑体" w:hAnsi="黑体" w:eastAsia="黑体"/>
              </w:rPr>
              <w:t>—</w:t>
            </w:r>
          </w:p>
        </w:tc>
        <w:tc>
          <w:tcPr>
            <w:tcW w:w="1443" w:type="pct"/>
            <w:shd w:val="clear" w:color="auto" w:fill="auto"/>
            <w:vAlign w:val="center"/>
          </w:tcPr>
          <w:p>
            <w:pPr>
              <w:spacing w:line="240" w:lineRule="exact"/>
              <w:jc w:val="center"/>
              <w:rPr>
                <w:rFonts w:ascii="黑体" w:hAnsi="黑体" w:eastAsia="黑体"/>
              </w:rPr>
            </w:pPr>
            <w:r>
              <w:rPr>
                <w:rFonts w:hint="eastAsia" w:ascii="黑体" w:hAnsi="黑体" w:eastAsia="黑体"/>
              </w:rPr>
              <w:t>30＜N≤50</w:t>
            </w:r>
          </w:p>
        </w:tc>
        <w:tc>
          <w:tcPr>
            <w:tcW w:w="1891" w:type="pct"/>
            <w:shd w:val="clear" w:color="auto" w:fill="auto"/>
            <w:vAlign w:val="center"/>
          </w:tcPr>
          <w:p>
            <w:pPr>
              <w:spacing w:line="240" w:lineRule="exact"/>
              <w:jc w:val="center"/>
              <w:rPr>
                <w:rFonts w:ascii="黑体" w:hAnsi="黑体" w:eastAsia="黑体"/>
              </w:rPr>
            </w:pPr>
            <w:r>
              <w:rPr>
                <w:rFonts w:hint="eastAsia" w:ascii="黑体" w:hAnsi="黑体" w:eastAsia="黑体"/>
              </w:rPr>
              <w:t>100～120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81" w:type="pct"/>
            <w:shd w:val="clear" w:color="auto" w:fill="auto"/>
            <w:vAlign w:val="center"/>
          </w:tcPr>
          <w:p>
            <w:pPr>
              <w:spacing w:line="240" w:lineRule="exact"/>
              <w:jc w:val="center"/>
              <w:rPr>
                <w:rFonts w:ascii="黑体" w:hAnsi="黑体" w:eastAsia="黑体"/>
              </w:rPr>
            </w:pPr>
            <w:r>
              <w:rPr>
                <w:rFonts w:hint="eastAsia" w:ascii="黑体" w:hAnsi="黑体" w:eastAsia="黑体"/>
              </w:rPr>
              <w:t>全风化硬质岩</w:t>
            </w:r>
          </w:p>
        </w:tc>
        <w:tc>
          <w:tcPr>
            <w:tcW w:w="683" w:type="pct"/>
            <w:shd w:val="clear" w:color="auto" w:fill="auto"/>
            <w:vAlign w:val="center"/>
          </w:tcPr>
          <w:p>
            <w:pPr>
              <w:spacing w:line="240" w:lineRule="exact"/>
              <w:jc w:val="center"/>
              <w:rPr>
                <w:rFonts w:ascii="黑体" w:hAnsi="黑体" w:eastAsia="黑体"/>
              </w:rPr>
            </w:pPr>
            <w:r>
              <w:rPr>
                <w:rFonts w:hint="eastAsia" w:ascii="黑体" w:hAnsi="黑体" w:eastAsia="黑体"/>
              </w:rPr>
              <w:t>—</w:t>
            </w:r>
          </w:p>
        </w:tc>
        <w:tc>
          <w:tcPr>
            <w:tcW w:w="1443" w:type="pct"/>
            <w:shd w:val="clear" w:color="auto" w:fill="auto"/>
            <w:vAlign w:val="center"/>
          </w:tcPr>
          <w:p>
            <w:pPr>
              <w:spacing w:line="240" w:lineRule="exact"/>
              <w:jc w:val="center"/>
              <w:rPr>
                <w:rFonts w:ascii="黑体" w:hAnsi="黑体" w:eastAsia="黑体"/>
              </w:rPr>
            </w:pPr>
            <w:r>
              <w:rPr>
                <w:rFonts w:hint="eastAsia" w:ascii="黑体" w:hAnsi="黑体" w:eastAsia="黑体"/>
              </w:rPr>
              <w:t>30＜N≤50</w:t>
            </w:r>
          </w:p>
        </w:tc>
        <w:tc>
          <w:tcPr>
            <w:tcW w:w="1891" w:type="pct"/>
            <w:shd w:val="clear" w:color="auto" w:fill="auto"/>
            <w:vAlign w:val="center"/>
          </w:tcPr>
          <w:p>
            <w:pPr>
              <w:spacing w:line="240" w:lineRule="exact"/>
              <w:jc w:val="center"/>
              <w:rPr>
                <w:rFonts w:ascii="黑体" w:hAnsi="黑体" w:eastAsia="黑体"/>
              </w:rPr>
            </w:pPr>
            <w:r>
              <w:rPr>
                <w:rFonts w:hint="eastAsia" w:ascii="黑体" w:hAnsi="黑体" w:eastAsia="黑体"/>
              </w:rPr>
              <w:t>140～160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81" w:type="pct"/>
            <w:shd w:val="clear" w:color="auto" w:fill="auto"/>
            <w:vAlign w:val="center"/>
          </w:tcPr>
          <w:p>
            <w:pPr>
              <w:spacing w:line="240" w:lineRule="exact"/>
              <w:jc w:val="center"/>
              <w:rPr>
                <w:rFonts w:ascii="黑体" w:hAnsi="黑体" w:eastAsia="黑体"/>
              </w:rPr>
            </w:pPr>
            <w:r>
              <w:rPr>
                <w:rFonts w:hint="eastAsia" w:ascii="黑体" w:hAnsi="黑体" w:eastAsia="黑体"/>
              </w:rPr>
              <w:t>强风化软质岩</w:t>
            </w:r>
          </w:p>
        </w:tc>
        <w:tc>
          <w:tcPr>
            <w:tcW w:w="683" w:type="pct"/>
            <w:shd w:val="clear" w:color="auto" w:fill="auto"/>
            <w:vAlign w:val="center"/>
          </w:tcPr>
          <w:p>
            <w:pPr>
              <w:spacing w:line="240" w:lineRule="exact"/>
              <w:jc w:val="center"/>
              <w:rPr>
                <w:rFonts w:ascii="黑体" w:hAnsi="黑体" w:eastAsia="黑体"/>
              </w:rPr>
            </w:pPr>
            <w:r>
              <w:rPr>
                <w:rFonts w:hint="eastAsia" w:ascii="黑体" w:hAnsi="黑体" w:eastAsia="黑体"/>
              </w:rPr>
              <w:t>—</w:t>
            </w:r>
          </w:p>
        </w:tc>
        <w:tc>
          <w:tcPr>
            <w:tcW w:w="1443" w:type="pct"/>
            <w:shd w:val="clear" w:color="auto" w:fill="auto"/>
            <w:vAlign w:val="center"/>
          </w:tcPr>
          <w:p>
            <w:pPr>
              <w:spacing w:line="240" w:lineRule="exact"/>
              <w:jc w:val="center"/>
              <w:rPr>
                <w:rFonts w:ascii="黑体" w:hAnsi="黑体" w:eastAsia="黑体"/>
              </w:rPr>
            </w:pPr>
            <w:r>
              <w:rPr>
                <w:rFonts w:hint="eastAsia" w:ascii="黑体" w:hAnsi="黑体" w:eastAsia="黑体"/>
              </w:rPr>
              <w:t>N</w:t>
            </w:r>
            <w:r>
              <w:rPr>
                <w:rFonts w:hint="eastAsia" w:ascii="黑体" w:hAnsi="黑体" w:eastAsia="黑体"/>
                <w:vertAlign w:val="subscript"/>
              </w:rPr>
              <w:t>63.5</w:t>
            </w:r>
            <w:r>
              <w:rPr>
                <w:rFonts w:hint="eastAsia" w:ascii="黑体" w:hAnsi="黑体" w:eastAsia="黑体"/>
              </w:rPr>
              <w:t>＞10</w:t>
            </w:r>
          </w:p>
        </w:tc>
        <w:tc>
          <w:tcPr>
            <w:tcW w:w="1891" w:type="pct"/>
            <w:shd w:val="clear" w:color="auto" w:fill="auto"/>
            <w:vAlign w:val="center"/>
          </w:tcPr>
          <w:p>
            <w:pPr>
              <w:spacing w:line="240" w:lineRule="exact"/>
              <w:jc w:val="center"/>
              <w:rPr>
                <w:rFonts w:ascii="黑体" w:hAnsi="黑体" w:eastAsia="黑体"/>
              </w:rPr>
            </w:pPr>
            <w:r>
              <w:rPr>
                <w:rFonts w:hint="eastAsia" w:ascii="黑体" w:hAnsi="黑体" w:eastAsia="黑体"/>
              </w:rPr>
              <w:t>160～240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81" w:type="pct"/>
            <w:shd w:val="clear" w:color="auto" w:fill="auto"/>
            <w:vAlign w:val="center"/>
          </w:tcPr>
          <w:p>
            <w:pPr>
              <w:spacing w:line="240" w:lineRule="exact"/>
              <w:jc w:val="center"/>
              <w:rPr>
                <w:rFonts w:ascii="黑体" w:hAnsi="黑体" w:eastAsia="黑体"/>
              </w:rPr>
            </w:pPr>
            <w:r>
              <w:rPr>
                <w:rFonts w:hint="eastAsia" w:ascii="黑体" w:hAnsi="黑体" w:eastAsia="黑体"/>
              </w:rPr>
              <w:t>强风化硬质岩</w:t>
            </w:r>
          </w:p>
        </w:tc>
        <w:tc>
          <w:tcPr>
            <w:tcW w:w="683" w:type="pct"/>
            <w:shd w:val="clear" w:color="auto" w:fill="auto"/>
            <w:vAlign w:val="center"/>
          </w:tcPr>
          <w:p>
            <w:pPr>
              <w:spacing w:line="240" w:lineRule="exact"/>
              <w:jc w:val="center"/>
              <w:rPr>
                <w:rFonts w:ascii="黑体" w:hAnsi="黑体" w:eastAsia="黑体"/>
              </w:rPr>
            </w:pPr>
            <w:r>
              <w:rPr>
                <w:rFonts w:hint="eastAsia" w:ascii="黑体" w:hAnsi="黑体" w:eastAsia="黑体"/>
              </w:rPr>
              <w:t>—</w:t>
            </w:r>
          </w:p>
        </w:tc>
        <w:tc>
          <w:tcPr>
            <w:tcW w:w="1443" w:type="pct"/>
            <w:shd w:val="clear" w:color="auto" w:fill="auto"/>
            <w:vAlign w:val="center"/>
          </w:tcPr>
          <w:p>
            <w:pPr>
              <w:spacing w:line="240" w:lineRule="exact"/>
              <w:jc w:val="center"/>
              <w:rPr>
                <w:rFonts w:ascii="黑体" w:hAnsi="黑体" w:eastAsia="黑体"/>
              </w:rPr>
            </w:pPr>
            <w:r>
              <w:rPr>
                <w:rFonts w:hint="eastAsia" w:ascii="黑体" w:hAnsi="黑体" w:eastAsia="黑体"/>
              </w:rPr>
              <w:t>N</w:t>
            </w:r>
            <w:r>
              <w:rPr>
                <w:rFonts w:hint="eastAsia" w:ascii="黑体" w:hAnsi="黑体" w:eastAsia="黑体"/>
                <w:vertAlign w:val="subscript"/>
              </w:rPr>
              <w:t>63.5</w:t>
            </w:r>
            <w:r>
              <w:rPr>
                <w:rFonts w:hint="eastAsia" w:ascii="黑体" w:hAnsi="黑体" w:eastAsia="黑体"/>
              </w:rPr>
              <w:t>＞10</w:t>
            </w:r>
          </w:p>
        </w:tc>
        <w:tc>
          <w:tcPr>
            <w:tcW w:w="1891" w:type="pct"/>
            <w:shd w:val="clear" w:color="auto" w:fill="auto"/>
            <w:vAlign w:val="center"/>
          </w:tcPr>
          <w:p>
            <w:pPr>
              <w:spacing w:line="240" w:lineRule="exact"/>
              <w:jc w:val="center"/>
              <w:rPr>
                <w:rFonts w:ascii="黑体" w:hAnsi="黑体" w:eastAsia="黑体"/>
              </w:rPr>
            </w:pPr>
            <w:r>
              <w:rPr>
                <w:rFonts w:hint="eastAsia" w:ascii="黑体" w:hAnsi="黑体" w:eastAsia="黑体"/>
              </w:rPr>
              <w:t>220～300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981" w:type="pct"/>
            <w:shd w:val="clear" w:color="auto" w:fill="auto"/>
            <w:vAlign w:val="center"/>
          </w:tcPr>
          <w:p>
            <w:pPr>
              <w:spacing w:line="240" w:lineRule="exact"/>
              <w:jc w:val="center"/>
              <w:rPr>
                <w:rFonts w:ascii="黑体" w:hAnsi="黑体" w:eastAsia="黑体"/>
              </w:rPr>
            </w:pPr>
            <w:r>
              <w:rPr>
                <w:rFonts w:hint="eastAsia" w:ascii="黑体" w:hAnsi="黑体" w:eastAsia="黑体"/>
              </w:rPr>
              <w:t>中风化软质岩</w:t>
            </w:r>
          </w:p>
        </w:tc>
        <w:tc>
          <w:tcPr>
            <w:tcW w:w="683" w:type="pct"/>
            <w:shd w:val="clear" w:color="auto" w:fill="auto"/>
            <w:vAlign w:val="center"/>
          </w:tcPr>
          <w:p>
            <w:pPr>
              <w:spacing w:line="240" w:lineRule="exact"/>
              <w:jc w:val="center"/>
              <w:rPr>
                <w:rFonts w:ascii="黑体" w:hAnsi="黑体" w:eastAsia="黑体"/>
              </w:rPr>
            </w:pPr>
            <w:r>
              <w:rPr>
                <w:rFonts w:hint="eastAsia" w:ascii="黑体" w:hAnsi="黑体" w:eastAsia="黑体"/>
              </w:rPr>
              <w:t>—</w:t>
            </w:r>
          </w:p>
        </w:tc>
        <w:tc>
          <w:tcPr>
            <w:tcW w:w="1443" w:type="pct"/>
            <w:shd w:val="clear" w:color="auto" w:fill="auto"/>
            <w:vAlign w:val="center"/>
          </w:tcPr>
          <w:p>
            <w:pPr>
              <w:spacing w:line="240" w:lineRule="exact"/>
              <w:jc w:val="center"/>
              <w:rPr>
                <w:rFonts w:ascii="黑体" w:hAnsi="黑体" w:eastAsia="黑体"/>
              </w:rPr>
            </w:pPr>
            <w:r>
              <w:rPr>
                <w:rFonts w:hint="eastAsia" w:ascii="黑体" w:hAnsi="黑体" w:eastAsia="黑体"/>
              </w:rPr>
              <w:t>N</w:t>
            </w:r>
            <w:r>
              <w:rPr>
                <w:rFonts w:hint="eastAsia" w:ascii="黑体" w:hAnsi="黑体" w:eastAsia="黑体"/>
                <w:vertAlign w:val="subscript"/>
              </w:rPr>
              <w:t>63.5</w:t>
            </w:r>
            <w:r>
              <w:rPr>
                <w:rFonts w:hint="eastAsia" w:ascii="黑体" w:hAnsi="黑体" w:eastAsia="黑体"/>
              </w:rPr>
              <w:t>＞10</w:t>
            </w:r>
          </w:p>
        </w:tc>
        <w:tc>
          <w:tcPr>
            <w:tcW w:w="1891" w:type="pct"/>
            <w:shd w:val="clear" w:color="auto" w:fill="auto"/>
            <w:vAlign w:val="center"/>
          </w:tcPr>
          <w:p>
            <w:pPr>
              <w:spacing w:line="240" w:lineRule="exact"/>
              <w:jc w:val="center"/>
              <w:rPr>
                <w:rFonts w:ascii="黑体" w:hAnsi="黑体" w:eastAsia="黑体"/>
              </w:rPr>
            </w:pPr>
            <w:r>
              <w:rPr>
                <w:rFonts w:hint="eastAsia" w:ascii="黑体" w:hAnsi="黑体" w:eastAsia="黑体"/>
              </w:rPr>
              <w:t>180～260</w:t>
            </w:r>
          </w:p>
        </w:tc>
      </w:tr>
    </w:tbl>
    <w:p>
      <w:pPr>
        <w:pStyle w:val="56"/>
        <w:tabs>
          <w:tab w:val="left" w:pos="6469"/>
        </w:tabs>
        <w:ind w:firstLine="0" w:firstLineChars="0"/>
        <w:rPr>
          <w:rFonts w:ascii="黑体" w:hAnsi="黑体" w:eastAsia="黑体"/>
        </w:rPr>
      </w:pPr>
    </w:p>
    <w:p>
      <w:pPr>
        <w:pStyle w:val="180"/>
        <w:rPr>
          <w:rFonts w:ascii="黑体" w:hAnsi="黑体" w:eastAsia="黑体"/>
          <w:kern w:val="2"/>
          <w:szCs w:val="21"/>
        </w:rPr>
      </w:pPr>
      <w:r>
        <w:rPr>
          <w:rFonts w:hint="eastAsia" w:ascii="黑体" w:hAnsi="黑体" w:eastAsia="黑体"/>
        </w:rPr>
        <w:t>对于尚未完成自重固结的填土和以生活垃圾为主的杂填土，不计算其侧阻力；</w:t>
      </w:r>
    </w:p>
    <w:p>
      <w:pPr>
        <w:pStyle w:val="180"/>
        <w:rPr>
          <w:rFonts w:ascii="黑体" w:hAnsi="黑体" w:eastAsia="黑体"/>
          <w:kern w:val="2"/>
          <w:sz w:val="21"/>
          <w:szCs w:val="21"/>
        </w:rPr>
      </w:pPr>
      <w:r>
        <w:rPr>
          <w:rFonts w:ascii="黑体" w:hAnsi="黑体" w:eastAsia="黑体"/>
        </w:rPr>
        <w:drawing>
          <wp:inline distT="0" distB="0" distL="0" distR="0">
            <wp:extent cx="190500" cy="160655"/>
            <wp:effectExtent l="0" t="0" r="0" b="0"/>
            <wp:docPr id="213" name="图片 213" descr="C:\Users\ADMINI~1\AppData\Local\Temp\ksohtml9220\wps8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3" name="图片 213" descr="C:\Users\ADMINI~1\AppData\Local\Temp\ksohtml9220\wps84.png"/>
                    <pic:cNvPicPr>
                      <a:picLocks noChangeAspect="true" noChangeArrowheads="true"/>
                    </pic:cNvPicPr>
                  </pic:nvPicPr>
                  <pic:blipFill>
                    <a:blip r:embed="rId99">
                      <a:extLst>
                        <a:ext uri="{28A0092B-C50C-407E-A947-70E740481C1C}">
                          <a14:useLocalDpi xmlns:a14="http://schemas.microsoft.com/office/drawing/2010/main" val="false"/>
                        </a:ext>
                      </a:extLst>
                    </a:blip>
                    <a:srcRect/>
                    <a:stretch>
                      <a:fillRect/>
                    </a:stretch>
                  </pic:blipFill>
                  <pic:spPr>
                    <a:xfrm>
                      <a:off x="0" y="0"/>
                      <a:ext cx="192406" cy="162467"/>
                    </a:xfrm>
                    <a:prstGeom prst="rect">
                      <a:avLst/>
                    </a:prstGeom>
                    <a:noFill/>
                    <a:ln>
                      <a:noFill/>
                    </a:ln>
                  </pic:spPr>
                </pic:pic>
              </a:graphicData>
            </a:graphic>
          </wp:inline>
        </w:drawing>
      </w:r>
      <w:r>
        <w:rPr>
          <w:rFonts w:hint="eastAsia" w:ascii="黑体" w:hAnsi="黑体" w:eastAsia="黑体"/>
        </w:rPr>
        <w:t>为含水比，</w:t>
      </w:r>
      <w:r>
        <w:rPr>
          <w:rFonts w:ascii="黑体" w:hAnsi="黑体" w:eastAsia="黑体"/>
        </w:rPr>
        <w:drawing>
          <wp:inline distT="0" distB="0" distL="0" distR="0">
            <wp:extent cx="190500" cy="146050"/>
            <wp:effectExtent l="0" t="0" r="0" b="6350"/>
            <wp:docPr id="212" name="图片 212" descr="C:\Users\ADMINI~1\AppData\Local\Temp\ksohtml9220\wps85.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2" name="图片 212" descr="C:\Users\ADMINI~1\AppData\Local\Temp\ksohtml9220\wps85.png"/>
                    <pic:cNvPicPr>
                      <a:picLocks noChangeAspect="true" noChangeArrowheads="true"/>
                    </pic:cNvPicPr>
                  </pic:nvPicPr>
                  <pic:blipFill>
                    <a:blip r:embed="rId100">
                      <a:extLst>
                        <a:ext uri="{28A0092B-C50C-407E-A947-70E740481C1C}">
                          <a14:useLocalDpi xmlns:a14="http://schemas.microsoft.com/office/drawing/2010/main" val="false"/>
                        </a:ext>
                      </a:extLst>
                    </a:blip>
                    <a:srcRect/>
                    <a:stretch>
                      <a:fillRect/>
                    </a:stretch>
                  </pic:blipFill>
                  <pic:spPr>
                    <a:xfrm>
                      <a:off x="0" y="0"/>
                      <a:ext cx="192771" cy="148022"/>
                    </a:xfrm>
                    <a:prstGeom prst="rect">
                      <a:avLst/>
                    </a:prstGeom>
                    <a:noFill/>
                    <a:ln>
                      <a:noFill/>
                    </a:ln>
                  </pic:spPr>
                </pic:pic>
              </a:graphicData>
            </a:graphic>
          </wp:inline>
        </w:drawing>
      </w:r>
      <w:r>
        <w:rPr>
          <w:rFonts w:hint="eastAsia" w:ascii="黑体" w:hAnsi="黑体" w:eastAsia="黑体"/>
        </w:rPr>
        <w:t>=w/w</w:t>
      </w:r>
      <w:r>
        <w:rPr>
          <w:rFonts w:hint="eastAsia" w:ascii="黑体" w:hAnsi="黑体" w:eastAsia="黑体"/>
          <w:vertAlign w:val="subscript"/>
        </w:rPr>
        <w:t>1</w:t>
      </w:r>
      <w:r>
        <w:rPr>
          <w:rFonts w:hint="eastAsia" w:ascii="黑体" w:hAnsi="黑体" w:eastAsia="黑体"/>
        </w:rPr>
        <w:t>，w为土的天然含水量，w</w:t>
      </w:r>
      <w:r>
        <w:rPr>
          <w:rFonts w:hint="eastAsia" w:ascii="黑体" w:hAnsi="黑体" w:eastAsia="黑体"/>
          <w:vertAlign w:val="subscript"/>
        </w:rPr>
        <w:t>1</w:t>
      </w:r>
      <w:r>
        <w:rPr>
          <w:rFonts w:hint="eastAsia" w:ascii="黑体" w:hAnsi="黑体" w:eastAsia="黑体"/>
        </w:rPr>
        <w:t>为土的液限；</w:t>
      </w:r>
    </w:p>
    <w:p>
      <w:pPr>
        <w:pStyle w:val="180"/>
        <w:rPr>
          <w:rFonts w:ascii="黑体" w:hAnsi="黑体" w:eastAsia="黑体"/>
          <w:kern w:val="2"/>
          <w:sz w:val="21"/>
          <w:szCs w:val="21"/>
        </w:rPr>
      </w:pPr>
      <w:r>
        <w:rPr>
          <w:rFonts w:hint="eastAsia" w:ascii="黑体" w:hAnsi="黑体" w:eastAsia="黑体"/>
        </w:rPr>
        <w:t>N为标准贯入击数，N</w:t>
      </w:r>
      <w:r>
        <w:rPr>
          <w:rFonts w:hint="eastAsia" w:ascii="黑体" w:hAnsi="黑体" w:eastAsia="黑体"/>
          <w:vertAlign w:val="subscript"/>
        </w:rPr>
        <w:t>63.5</w:t>
      </w:r>
      <w:r>
        <w:rPr>
          <w:rFonts w:hint="eastAsia" w:ascii="黑体" w:hAnsi="黑体" w:eastAsia="黑体"/>
        </w:rPr>
        <w:t>为重型圆锥动力触探击数；</w:t>
      </w:r>
    </w:p>
    <w:p>
      <w:pPr>
        <w:pStyle w:val="180"/>
        <w:rPr>
          <w:rFonts w:ascii="黑体" w:hAnsi="黑体" w:eastAsia="黑体"/>
          <w:kern w:val="2"/>
          <w:sz w:val="21"/>
          <w:szCs w:val="21"/>
        </w:rPr>
      </w:pPr>
      <w:r>
        <w:rPr>
          <w:rFonts w:hint="eastAsia" w:ascii="黑体" w:hAnsi="黑体" w:eastAsia="黑体"/>
        </w:rPr>
        <w:t>全风化、强风化软质岩和全风化、强风化硬质岩系指其母岩分别为f</w:t>
      </w:r>
      <w:r>
        <w:rPr>
          <w:rFonts w:hint="eastAsia" w:ascii="黑体" w:hAnsi="黑体" w:eastAsia="黑体"/>
          <w:vertAlign w:val="subscript"/>
        </w:rPr>
        <w:t>rk</w:t>
      </w:r>
      <w:r>
        <w:rPr>
          <w:rFonts w:hint="eastAsia" w:ascii="黑体" w:hAnsi="黑体" w:eastAsia="黑体"/>
        </w:rPr>
        <w:t>≤15MPa、 f</w:t>
      </w:r>
      <w:r>
        <w:rPr>
          <w:rFonts w:hint="eastAsia" w:ascii="黑体" w:hAnsi="黑体" w:eastAsia="黑体"/>
          <w:vertAlign w:val="subscript"/>
        </w:rPr>
        <w:t>rk</w:t>
      </w:r>
      <w:r>
        <w:rPr>
          <w:rFonts w:hint="eastAsia" w:ascii="黑体" w:hAnsi="黑体" w:eastAsia="黑体"/>
        </w:rPr>
        <w:t>＞30MPa的岩石。</w:t>
      </w:r>
    </w:p>
    <w:p>
      <w:pPr>
        <w:pStyle w:val="112"/>
        <w:spacing w:before="156" w:after="156"/>
        <w:rPr>
          <w:rFonts w:hAnsi="黑体"/>
        </w:rPr>
      </w:pPr>
      <w:r>
        <w:rPr>
          <w:rFonts w:hint="eastAsia" w:hAnsi="黑体"/>
        </w:rPr>
        <w:t>桩的极限端阻力标准值（kPa）</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332"/>
        <w:gridCol w:w="1333"/>
        <w:gridCol w:w="1333"/>
        <w:gridCol w:w="1334"/>
        <w:gridCol w:w="1334"/>
        <w:gridCol w:w="1334"/>
        <w:gridCol w:w="13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332" w:type="dxa"/>
            <w:vMerge w:val="restart"/>
            <w:tcBorders>
              <w:top w:val="single" w:color="auto" w:sz="8" w:space="0"/>
            </w:tcBorders>
            <w:shd w:val="clear" w:color="auto" w:fill="auto"/>
            <w:vAlign w:val="center"/>
          </w:tcPr>
          <w:p>
            <w:pPr>
              <w:pStyle w:val="178"/>
              <w:rPr>
                <w:rFonts w:ascii="黑体" w:hAnsi="黑体" w:eastAsia="黑体"/>
              </w:rPr>
            </w:pPr>
            <w:r>
              <w:rPr>
                <w:rFonts w:hint="eastAsia" w:ascii="黑体" w:hAnsi="黑体" w:eastAsia="黑体"/>
              </w:rPr>
              <w:t>土名称</w:t>
            </w:r>
          </w:p>
        </w:tc>
        <w:tc>
          <w:tcPr>
            <w:tcW w:w="2666" w:type="dxa"/>
            <w:gridSpan w:val="2"/>
            <w:vMerge w:val="restart"/>
            <w:tcBorders>
              <w:top w:val="single" w:color="auto" w:sz="8" w:space="0"/>
            </w:tcBorders>
            <w:shd w:val="clear" w:color="auto" w:fill="auto"/>
            <w:vAlign w:val="center"/>
          </w:tcPr>
          <w:p>
            <w:pPr>
              <w:pStyle w:val="178"/>
              <w:rPr>
                <w:rFonts w:ascii="黑体" w:hAnsi="黑体" w:eastAsia="黑体"/>
              </w:rPr>
            </w:pPr>
            <w:r>
              <w:rPr>
                <w:rFonts w:hint="eastAsia" w:ascii="黑体" w:hAnsi="黑体" w:eastAsia="黑体"/>
              </w:rPr>
              <w:t>土的</w:t>
            </w:r>
            <w:r>
              <w:rPr>
                <w:rFonts w:ascii="黑体" w:hAnsi="黑体" w:eastAsia="黑体"/>
              </w:rPr>
              <w:t>状态</w:t>
            </w:r>
          </w:p>
        </w:tc>
        <w:tc>
          <w:tcPr>
            <w:tcW w:w="5336" w:type="dxa"/>
            <w:gridSpan w:val="4"/>
            <w:tcBorders>
              <w:top w:val="single" w:color="auto" w:sz="8" w:space="0"/>
              <w:bottom w:val="single" w:color="auto" w:sz="8" w:space="0"/>
            </w:tcBorders>
            <w:shd w:val="clear" w:color="auto" w:fill="auto"/>
            <w:vAlign w:val="center"/>
          </w:tcPr>
          <w:p>
            <w:pPr>
              <w:autoSpaceDE w:val="0"/>
              <w:ind w:firstLine="420" w:firstLineChars="200"/>
              <w:jc w:val="center"/>
              <w:rPr>
                <w:rFonts w:ascii="黑体" w:hAnsi="黑体" w:eastAsia="黑体"/>
              </w:rPr>
            </w:pPr>
            <w:r>
              <w:rPr>
                <w:rFonts w:hint="eastAsia" w:ascii="黑体" w:hAnsi="黑体" w:eastAsia="黑体"/>
              </w:rPr>
              <w:t>极限端阻力标准值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shd w:val="clear" w:color="auto" w:fill="auto"/>
            <w:vAlign w:val="center"/>
          </w:tcPr>
          <w:p>
            <w:pPr>
              <w:pStyle w:val="178"/>
              <w:rPr>
                <w:rFonts w:ascii="黑体" w:hAnsi="黑体" w:eastAsia="黑体"/>
              </w:rPr>
            </w:pPr>
          </w:p>
        </w:tc>
        <w:tc>
          <w:tcPr>
            <w:tcW w:w="2666" w:type="dxa"/>
            <w:gridSpan w:val="2"/>
            <w:vMerge w:val="continue"/>
            <w:shd w:val="clear" w:color="auto" w:fill="auto"/>
            <w:vAlign w:val="center"/>
          </w:tcPr>
          <w:p>
            <w:pPr>
              <w:pStyle w:val="178"/>
              <w:rPr>
                <w:rFonts w:ascii="黑体" w:hAnsi="黑体" w:eastAsia="黑体"/>
              </w:rPr>
            </w:pPr>
          </w:p>
        </w:tc>
        <w:tc>
          <w:tcPr>
            <w:tcW w:w="5336" w:type="dxa"/>
            <w:gridSpan w:val="4"/>
            <w:tcBorders>
              <w:top w:val="single" w:color="auto" w:sz="8" w:space="0"/>
            </w:tcBorders>
            <w:shd w:val="clear" w:color="auto" w:fill="auto"/>
            <w:vAlign w:val="center"/>
          </w:tcPr>
          <w:p>
            <w:pPr>
              <w:autoSpaceDE w:val="0"/>
              <w:jc w:val="center"/>
              <w:rPr>
                <w:rFonts w:ascii="黑体" w:hAnsi="黑体" w:eastAsia="黑体"/>
              </w:rPr>
            </w:pPr>
            <w:r>
              <w:rPr>
                <w:rFonts w:hint="eastAsia" w:ascii="黑体" w:hAnsi="黑体" w:eastAsia="黑体"/>
              </w:rPr>
              <w:t>桩长</w:t>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pict>
                <v:shape id="_x0000_i1027" o:spt="75" type="#_x0000_t75" style="height:16.1pt;width:11.8pt;" filled="f" o:preferrelative="t" stroked="f" coordsize="21600,21600">
                  <v:path/>
                  <v:fill on="f" focussize="0,0"/>
                  <v:stroke on="f" joinstyle="miter"/>
                  <v:imagedata r:id="rId101" r:href="rId102" o:title=""/>
                  <o:lock v:ext="edit" aspectratio="t"/>
                  <w10:wrap type="none"/>
                  <w10:anchorlock/>
                </v:shape>
              </w:pict>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hint="eastAsia" w:ascii="黑体" w:hAnsi="黑体" w:eastAsia="黑体"/>
              </w:rPr>
              <w:t>(m)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shd w:val="clear" w:color="auto" w:fill="auto"/>
            <w:vAlign w:val="center"/>
          </w:tcPr>
          <w:p>
            <w:pPr>
              <w:pStyle w:val="178"/>
              <w:rPr>
                <w:rFonts w:ascii="黑体" w:hAnsi="黑体" w:eastAsia="黑体"/>
              </w:rPr>
            </w:pPr>
          </w:p>
        </w:tc>
        <w:tc>
          <w:tcPr>
            <w:tcW w:w="2666" w:type="dxa"/>
            <w:gridSpan w:val="2"/>
            <w:vMerge w:val="continue"/>
            <w:shd w:val="clear" w:color="auto" w:fill="auto"/>
            <w:vAlign w:val="center"/>
          </w:tcPr>
          <w:p>
            <w:pPr>
              <w:pStyle w:val="178"/>
              <w:rPr>
                <w:rFonts w:ascii="黑体" w:hAnsi="黑体" w:eastAsia="黑体"/>
              </w:rPr>
            </w:pPr>
          </w:p>
        </w:tc>
        <w:tc>
          <w:tcPr>
            <w:tcW w:w="1334" w:type="dxa"/>
            <w:shd w:val="clear" w:color="auto" w:fill="auto"/>
            <w:vAlign w:val="center"/>
          </w:tcPr>
          <w:p>
            <w:pPr>
              <w:autoSpaceDE w:val="0"/>
              <w:jc w:val="center"/>
              <w:rPr>
                <w:rFonts w:ascii="黑体" w:hAnsi="黑体" w:eastAsia="黑体"/>
              </w:rPr>
            </w:pP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pict>
                <v:shape id="_x0000_i1028" o:spt="75" type="#_x0000_t75" style="height:16.1pt;width:11.8pt;" filled="f" o:preferrelative="t" stroked="f" coordsize="21600,21600">
                  <v:path/>
                  <v:fill on="f" focussize="0,0"/>
                  <v:stroke on="f" joinstyle="miter"/>
                  <v:imagedata r:id="rId101" r:href="rId102" o:title=""/>
                  <o:lock v:ext="edit" aspectratio="t"/>
                  <w10:wrap type="none"/>
                  <w10:anchorlock/>
                </v:shape>
              </w:pict>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hint="eastAsia" w:ascii="黑体" w:hAnsi="黑体" w:eastAsia="黑体"/>
              </w:rPr>
              <w:t>≤9</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9</w:t>
            </w:r>
            <w:r>
              <w:rPr>
                <w:rFonts w:hint="eastAsia" w:ascii="黑体" w:hAnsi="黑体" w:eastAsia="黑体"/>
                <w:i/>
              </w:rPr>
              <w:t>＜</w:t>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pict>
                <v:shape id="_x0000_i1029" o:spt="75" type="#_x0000_t75" style="height:16.1pt;width:11.8pt;" filled="f" o:preferrelative="t" stroked="f" coordsize="21600,21600">
                  <v:path/>
                  <v:fill on="f" focussize="0,0"/>
                  <v:stroke on="f" joinstyle="miter"/>
                  <v:imagedata r:id="rId101" r:href="rId102" o:title=""/>
                  <o:lock v:ext="edit" aspectratio="t"/>
                  <w10:wrap type="none"/>
                  <w10:anchorlock/>
                </v:shape>
              </w:pict>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hint="eastAsia" w:ascii="黑体" w:hAnsi="黑体" w:eastAsia="黑体"/>
              </w:rPr>
              <w:t>≤16</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16</w:t>
            </w:r>
            <w:r>
              <w:rPr>
                <w:rFonts w:hint="eastAsia" w:ascii="黑体" w:hAnsi="黑体" w:eastAsia="黑体"/>
                <w:i/>
              </w:rPr>
              <w:t>＜</w:t>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pict>
                <v:shape id="_x0000_i1030" o:spt="75" type="#_x0000_t75" style="height:16.1pt;width:11.8pt;" filled="f" o:preferrelative="t" stroked="f" coordsize="21600,21600">
                  <v:path/>
                  <v:fill on="f" focussize="0,0"/>
                  <v:stroke on="f" joinstyle="miter"/>
                  <v:imagedata r:id="rId101" r:href="rId102" o:title=""/>
                  <o:lock v:ext="edit" aspectratio="t"/>
                  <w10:wrap type="none"/>
                  <w10:anchorlock/>
                </v:shape>
              </w:pict>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hint="eastAsia" w:ascii="黑体" w:hAnsi="黑体" w:eastAsia="黑体"/>
              </w:rPr>
              <w:t>≤30</w:t>
            </w:r>
          </w:p>
        </w:tc>
        <w:tc>
          <w:tcPr>
            <w:tcW w:w="1334" w:type="dxa"/>
            <w:shd w:val="clear" w:color="auto" w:fill="auto"/>
            <w:vAlign w:val="center"/>
          </w:tcPr>
          <w:p>
            <w:pPr>
              <w:autoSpaceDE w:val="0"/>
              <w:jc w:val="center"/>
              <w:rPr>
                <w:rFonts w:ascii="黑体" w:hAnsi="黑体" w:eastAsia="黑体"/>
              </w:rPr>
            </w:pP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pict>
                <v:shape id="_x0000_i1031" o:spt="75" type="#_x0000_t75" style="height:16.1pt;width:11.8pt;" filled="f" o:preferrelative="t" stroked="f" coordsize="21600,21600">
                  <v:path/>
                  <v:fill on="f" focussize="0,0"/>
                  <v:stroke on="f" joinstyle="miter"/>
                  <v:imagedata r:id="rId101" r:href="rId102" o:title=""/>
                  <o:lock v:ext="edit" aspectratio="t"/>
                  <w10:wrap type="none"/>
                  <w10:anchorlock/>
                </v:shape>
              </w:pict>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hint="eastAsia" w:ascii="黑体" w:hAnsi="黑体" w:eastAsia="黑体"/>
                <w:i/>
              </w:rPr>
              <w:t>＞</w:t>
            </w:r>
            <w:r>
              <w:rPr>
                <w:rFonts w:hint="eastAsia" w:ascii="黑体" w:hAnsi="黑体" w:eastAsia="黑体"/>
              </w:rPr>
              <w:t>30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332" w:type="dxa"/>
            <w:vMerge w:val="restart"/>
            <w:shd w:val="clear" w:color="auto" w:fill="auto"/>
            <w:vAlign w:val="center"/>
          </w:tcPr>
          <w:p>
            <w:pPr>
              <w:pStyle w:val="178"/>
              <w:rPr>
                <w:rFonts w:ascii="黑体" w:hAnsi="黑体" w:eastAsia="黑体"/>
              </w:rPr>
            </w:pPr>
            <w:r>
              <w:rPr>
                <w:rFonts w:hint="eastAsia" w:ascii="黑体" w:hAnsi="黑体" w:eastAsia="黑体"/>
              </w:rPr>
              <w:t>黏性土</w:t>
            </w:r>
          </w:p>
        </w:tc>
        <w:tc>
          <w:tcPr>
            <w:tcW w:w="1333" w:type="dxa"/>
            <w:shd w:val="clear" w:color="auto" w:fill="auto"/>
            <w:vAlign w:val="center"/>
          </w:tcPr>
          <w:p>
            <w:pPr>
              <w:autoSpaceDE w:val="0"/>
              <w:jc w:val="center"/>
              <w:rPr>
                <w:rFonts w:ascii="黑体" w:hAnsi="黑体" w:eastAsia="黑体"/>
              </w:rPr>
            </w:pPr>
            <w:r>
              <w:rPr>
                <w:rFonts w:hint="eastAsia" w:ascii="黑体" w:hAnsi="黑体" w:eastAsia="黑体"/>
              </w:rPr>
              <w:t>软塑</w:t>
            </w:r>
          </w:p>
        </w:tc>
        <w:tc>
          <w:tcPr>
            <w:tcW w:w="1333" w:type="dxa"/>
            <w:shd w:val="clear" w:color="auto" w:fill="auto"/>
          </w:tcPr>
          <w:p>
            <w:pPr>
              <w:autoSpaceDE w:val="0"/>
              <w:jc w:val="center"/>
              <w:rPr>
                <w:rFonts w:ascii="黑体" w:hAnsi="黑体" w:eastAsia="黑体"/>
              </w:rPr>
            </w:pPr>
            <w:r>
              <w:rPr>
                <w:rFonts w:hint="eastAsia" w:ascii="黑体" w:hAnsi="黑体" w:eastAsia="黑体"/>
              </w:rPr>
              <w:t>0.75＜I</w:t>
            </w:r>
            <w:r>
              <w:rPr>
                <w:rFonts w:hint="eastAsia" w:ascii="黑体" w:hAnsi="黑体" w:eastAsia="黑体"/>
                <w:vertAlign w:val="subscript"/>
              </w:rPr>
              <w:t>L</w:t>
            </w:r>
            <w:r>
              <w:rPr>
                <w:rFonts w:hint="eastAsia" w:ascii="黑体" w:hAnsi="黑体" w:eastAsia="黑体"/>
              </w:rPr>
              <w:t>≤1</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shd w:val="clear" w:color="auto" w:fill="auto"/>
            <w:vAlign w:val="center"/>
          </w:tcPr>
          <w:p>
            <w:pPr>
              <w:pStyle w:val="178"/>
              <w:rPr>
                <w:rFonts w:ascii="黑体" w:hAnsi="黑体" w:eastAsia="黑体"/>
              </w:rPr>
            </w:pPr>
          </w:p>
        </w:tc>
        <w:tc>
          <w:tcPr>
            <w:tcW w:w="1333" w:type="dxa"/>
            <w:shd w:val="clear" w:color="auto" w:fill="auto"/>
            <w:vAlign w:val="center"/>
          </w:tcPr>
          <w:p>
            <w:pPr>
              <w:autoSpaceDE w:val="0"/>
              <w:jc w:val="center"/>
              <w:rPr>
                <w:rFonts w:ascii="黑体" w:hAnsi="黑体" w:eastAsia="黑体"/>
              </w:rPr>
            </w:pPr>
            <w:r>
              <w:rPr>
                <w:rFonts w:hint="eastAsia" w:ascii="黑体" w:hAnsi="黑体" w:eastAsia="黑体"/>
              </w:rPr>
              <w:t>可塑</w:t>
            </w:r>
          </w:p>
        </w:tc>
        <w:tc>
          <w:tcPr>
            <w:tcW w:w="1333" w:type="dxa"/>
            <w:shd w:val="clear" w:color="auto" w:fill="auto"/>
          </w:tcPr>
          <w:p>
            <w:pPr>
              <w:autoSpaceDE w:val="0"/>
              <w:jc w:val="center"/>
              <w:rPr>
                <w:rFonts w:ascii="黑体" w:hAnsi="黑体" w:eastAsia="黑体"/>
              </w:rPr>
            </w:pPr>
            <w:r>
              <w:rPr>
                <w:rFonts w:hint="eastAsia" w:ascii="黑体" w:hAnsi="黑体" w:eastAsia="黑体"/>
              </w:rPr>
              <w:t>0.5＜I</w:t>
            </w:r>
            <w:r>
              <w:rPr>
                <w:rFonts w:hint="eastAsia" w:ascii="黑体" w:hAnsi="黑体" w:eastAsia="黑体"/>
                <w:vertAlign w:val="subscript"/>
              </w:rPr>
              <w:t>L</w:t>
            </w:r>
            <w:r>
              <w:rPr>
                <w:rFonts w:hint="eastAsia" w:ascii="黑体" w:hAnsi="黑体" w:eastAsia="黑体"/>
              </w:rPr>
              <w:t>≤0.75</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850～1700</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1400～2200</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1900～2800</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2300～3600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shd w:val="clear" w:color="auto" w:fill="auto"/>
            <w:vAlign w:val="center"/>
          </w:tcPr>
          <w:p>
            <w:pPr>
              <w:pStyle w:val="178"/>
              <w:rPr>
                <w:rFonts w:ascii="黑体" w:hAnsi="黑体" w:eastAsia="黑体"/>
              </w:rPr>
            </w:pPr>
          </w:p>
        </w:tc>
        <w:tc>
          <w:tcPr>
            <w:tcW w:w="1333" w:type="dxa"/>
            <w:shd w:val="clear" w:color="auto" w:fill="auto"/>
            <w:vAlign w:val="center"/>
          </w:tcPr>
          <w:p>
            <w:pPr>
              <w:autoSpaceDE w:val="0"/>
              <w:jc w:val="center"/>
              <w:rPr>
                <w:rFonts w:ascii="黑体" w:hAnsi="黑体" w:eastAsia="黑体"/>
              </w:rPr>
            </w:pPr>
            <w:r>
              <w:rPr>
                <w:rFonts w:hint="eastAsia" w:ascii="黑体" w:hAnsi="黑体" w:eastAsia="黑体"/>
              </w:rPr>
              <w:t>硬可塑</w:t>
            </w:r>
          </w:p>
        </w:tc>
        <w:tc>
          <w:tcPr>
            <w:tcW w:w="1333" w:type="dxa"/>
            <w:shd w:val="clear" w:color="auto" w:fill="auto"/>
          </w:tcPr>
          <w:p>
            <w:pPr>
              <w:autoSpaceDE w:val="0"/>
              <w:jc w:val="left"/>
              <w:rPr>
                <w:rFonts w:ascii="黑体" w:hAnsi="黑体" w:eastAsia="黑体"/>
              </w:rPr>
            </w:pPr>
            <w:r>
              <w:rPr>
                <w:rFonts w:hint="eastAsia" w:ascii="黑体" w:hAnsi="黑体" w:eastAsia="黑体"/>
              </w:rPr>
              <w:t>0.25＜I</w:t>
            </w:r>
            <w:r>
              <w:rPr>
                <w:rFonts w:hint="eastAsia" w:ascii="黑体" w:hAnsi="黑体" w:eastAsia="黑体"/>
                <w:vertAlign w:val="subscript"/>
              </w:rPr>
              <w:t>L</w:t>
            </w:r>
            <w:r>
              <w:rPr>
                <w:rFonts w:hint="eastAsia" w:ascii="黑体" w:hAnsi="黑体" w:eastAsia="黑体"/>
              </w:rPr>
              <w:t>≤0.5</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1500～2300</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2300～3300</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2700～3600</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3600～4400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shd w:val="clear" w:color="auto" w:fill="auto"/>
            <w:vAlign w:val="center"/>
          </w:tcPr>
          <w:p>
            <w:pPr>
              <w:pStyle w:val="178"/>
              <w:rPr>
                <w:rFonts w:ascii="黑体" w:hAnsi="黑体" w:eastAsia="黑体"/>
              </w:rPr>
            </w:pPr>
          </w:p>
        </w:tc>
        <w:tc>
          <w:tcPr>
            <w:tcW w:w="1333" w:type="dxa"/>
            <w:shd w:val="clear" w:color="auto" w:fill="auto"/>
            <w:vAlign w:val="center"/>
          </w:tcPr>
          <w:p>
            <w:pPr>
              <w:autoSpaceDE w:val="0"/>
              <w:jc w:val="center"/>
              <w:rPr>
                <w:rFonts w:ascii="黑体" w:hAnsi="黑体" w:eastAsia="黑体"/>
              </w:rPr>
            </w:pPr>
            <w:r>
              <w:rPr>
                <w:rFonts w:hint="eastAsia" w:ascii="黑体" w:hAnsi="黑体" w:eastAsia="黑体"/>
              </w:rPr>
              <w:t>硬塑</w:t>
            </w:r>
          </w:p>
        </w:tc>
        <w:tc>
          <w:tcPr>
            <w:tcW w:w="1333" w:type="dxa"/>
            <w:shd w:val="clear" w:color="auto" w:fill="auto"/>
          </w:tcPr>
          <w:p>
            <w:pPr>
              <w:autoSpaceDE w:val="0"/>
              <w:jc w:val="center"/>
              <w:rPr>
                <w:rFonts w:ascii="黑体" w:hAnsi="黑体" w:eastAsia="黑体"/>
              </w:rPr>
            </w:pPr>
            <w:r>
              <w:rPr>
                <w:rFonts w:hint="eastAsia" w:ascii="黑体" w:hAnsi="黑体" w:eastAsia="黑体"/>
              </w:rPr>
              <w:t>0＜I</w:t>
            </w:r>
            <w:r>
              <w:rPr>
                <w:rFonts w:hint="eastAsia" w:ascii="黑体" w:hAnsi="黑体" w:eastAsia="黑体"/>
                <w:vertAlign w:val="subscript"/>
              </w:rPr>
              <w:t>L</w:t>
            </w:r>
            <w:r>
              <w:rPr>
                <w:rFonts w:hint="eastAsia" w:ascii="黑体" w:hAnsi="黑体" w:eastAsia="黑体"/>
              </w:rPr>
              <w:t>≤0.25</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2500～3800</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3800～5500</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5500～6000</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6000～6800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332" w:type="dxa"/>
            <w:vMerge w:val="restart"/>
            <w:shd w:val="clear" w:color="auto" w:fill="auto"/>
            <w:vAlign w:val="center"/>
          </w:tcPr>
          <w:p>
            <w:pPr>
              <w:pStyle w:val="178"/>
              <w:rPr>
                <w:rFonts w:ascii="黑体" w:hAnsi="黑体" w:eastAsia="黑体"/>
              </w:rPr>
            </w:pPr>
            <w:r>
              <w:rPr>
                <w:rFonts w:hint="eastAsia" w:ascii="黑体" w:hAnsi="黑体" w:eastAsia="黑体"/>
              </w:rPr>
              <w:t>粉土</w:t>
            </w:r>
          </w:p>
        </w:tc>
        <w:tc>
          <w:tcPr>
            <w:tcW w:w="1333" w:type="dxa"/>
            <w:shd w:val="clear" w:color="auto" w:fill="auto"/>
          </w:tcPr>
          <w:p>
            <w:pPr>
              <w:autoSpaceDE w:val="0"/>
              <w:jc w:val="center"/>
              <w:rPr>
                <w:rFonts w:ascii="黑体" w:hAnsi="黑体" w:eastAsia="黑体"/>
              </w:rPr>
            </w:pPr>
            <w:r>
              <w:rPr>
                <w:rFonts w:hint="eastAsia" w:ascii="黑体" w:hAnsi="黑体" w:eastAsia="黑体"/>
              </w:rPr>
              <w:t>中密</w:t>
            </w:r>
          </w:p>
        </w:tc>
        <w:tc>
          <w:tcPr>
            <w:tcW w:w="1333" w:type="dxa"/>
            <w:shd w:val="clear" w:color="auto" w:fill="auto"/>
          </w:tcPr>
          <w:p>
            <w:pPr>
              <w:autoSpaceDE w:val="0"/>
              <w:jc w:val="center"/>
              <w:rPr>
                <w:rFonts w:ascii="黑体" w:hAnsi="黑体" w:eastAsia="黑体"/>
              </w:rPr>
            </w:pPr>
            <w:r>
              <w:rPr>
                <w:rFonts w:hint="eastAsia" w:ascii="黑体" w:hAnsi="黑体" w:eastAsia="黑体"/>
              </w:rPr>
              <w:t>0.75≤e≤0.9</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950～1700</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1400～2100</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1900～2700</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2500～3400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shd w:val="clear" w:color="auto" w:fill="auto"/>
            <w:vAlign w:val="center"/>
          </w:tcPr>
          <w:p>
            <w:pPr>
              <w:pStyle w:val="178"/>
              <w:rPr>
                <w:rFonts w:ascii="黑体" w:hAnsi="黑体" w:eastAsia="黑体"/>
              </w:rPr>
            </w:pPr>
          </w:p>
        </w:tc>
        <w:tc>
          <w:tcPr>
            <w:tcW w:w="1333" w:type="dxa"/>
            <w:shd w:val="clear" w:color="auto" w:fill="auto"/>
          </w:tcPr>
          <w:p>
            <w:pPr>
              <w:autoSpaceDE w:val="0"/>
              <w:jc w:val="center"/>
              <w:rPr>
                <w:rFonts w:ascii="黑体" w:hAnsi="黑体" w:eastAsia="黑体"/>
              </w:rPr>
            </w:pPr>
            <w:r>
              <w:rPr>
                <w:rFonts w:hint="eastAsia" w:ascii="黑体" w:hAnsi="黑体" w:eastAsia="黑体"/>
              </w:rPr>
              <w:t>密实</w:t>
            </w:r>
          </w:p>
        </w:tc>
        <w:tc>
          <w:tcPr>
            <w:tcW w:w="1333" w:type="dxa"/>
            <w:shd w:val="clear" w:color="auto" w:fill="auto"/>
          </w:tcPr>
          <w:p>
            <w:pPr>
              <w:autoSpaceDE w:val="0"/>
              <w:jc w:val="center"/>
              <w:rPr>
                <w:rFonts w:ascii="黑体" w:hAnsi="黑体" w:eastAsia="黑体"/>
              </w:rPr>
            </w:pPr>
            <w:r>
              <w:rPr>
                <w:rFonts w:hint="eastAsia" w:ascii="黑体" w:hAnsi="黑体" w:eastAsia="黑体"/>
              </w:rPr>
              <w:t>e＜0.75</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1500～2600</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2100～3000</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2700～3600</w:t>
            </w:r>
          </w:p>
        </w:tc>
        <w:tc>
          <w:tcPr>
            <w:tcW w:w="1334" w:type="dxa"/>
            <w:shd w:val="clear" w:color="auto" w:fill="auto"/>
            <w:vAlign w:val="center"/>
          </w:tcPr>
          <w:p>
            <w:pPr>
              <w:autoSpaceDE w:val="0"/>
              <w:jc w:val="center"/>
              <w:rPr>
                <w:rFonts w:ascii="黑体" w:hAnsi="黑体" w:eastAsia="黑体"/>
              </w:rPr>
            </w:pPr>
            <w:r>
              <w:rPr>
                <w:rFonts w:hint="eastAsia" w:ascii="黑体" w:hAnsi="黑体" w:eastAsia="黑体"/>
              </w:rPr>
              <w:t>3600～4400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restart"/>
            <w:shd w:val="clear" w:color="auto" w:fill="auto"/>
            <w:vAlign w:val="center"/>
          </w:tcPr>
          <w:p>
            <w:pPr>
              <w:pStyle w:val="178"/>
              <w:ind w:firstLine="0" w:firstLineChars="0"/>
              <w:rPr>
                <w:rFonts w:ascii="黑体" w:hAnsi="黑体" w:eastAsia="黑体"/>
              </w:rPr>
            </w:pPr>
            <w:r>
              <w:rPr>
                <w:rFonts w:hint="eastAsia" w:ascii="黑体" w:hAnsi="黑体" w:eastAsia="黑体"/>
              </w:rPr>
              <w:t>粉砂</w:t>
            </w:r>
          </w:p>
        </w:tc>
        <w:tc>
          <w:tcPr>
            <w:tcW w:w="1333" w:type="dxa"/>
            <w:shd w:val="clear" w:color="auto" w:fill="auto"/>
            <w:vAlign w:val="top"/>
          </w:tcPr>
          <w:p>
            <w:pPr>
              <w:autoSpaceDE w:val="0"/>
              <w:jc w:val="center"/>
              <w:rPr>
                <w:rFonts w:hint="eastAsia" w:ascii="黑体" w:hAnsi="黑体" w:eastAsia="黑体"/>
              </w:rPr>
            </w:pPr>
            <w:r>
              <w:rPr>
                <w:rFonts w:hint="eastAsia" w:ascii="黑体" w:hAnsi="黑体" w:eastAsia="黑体"/>
              </w:rPr>
              <w:t>稍密</w:t>
            </w:r>
          </w:p>
        </w:tc>
        <w:tc>
          <w:tcPr>
            <w:tcW w:w="1333" w:type="dxa"/>
            <w:shd w:val="clear" w:color="auto" w:fill="auto"/>
            <w:vAlign w:val="top"/>
          </w:tcPr>
          <w:p>
            <w:pPr>
              <w:autoSpaceDE w:val="0"/>
              <w:jc w:val="center"/>
              <w:rPr>
                <w:rFonts w:hint="eastAsia" w:ascii="黑体" w:hAnsi="黑体" w:eastAsia="黑体"/>
              </w:rPr>
            </w:pPr>
            <w:r>
              <w:rPr>
                <w:rFonts w:hint="eastAsia" w:ascii="黑体" w:hAnsi="黑体" w:eastAsia="黑体"/>
              </w:rPr>
              <w:t>10＜N≤15</w:t>
            </w: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1000～1600</w:t>
            </w: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1500～2300</w:t>
            </w: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1900～2700</w:t>
            </w: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2100～3000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shd w:val="clear" w:color="auto" w:fill="auto"/>
            <w:vAlign w:val="center"/>
          </w:tcPr>
          <w:p>
            <w:pPr>
              <w:pStyle w:val="178"/>
              <w:ind w:firstLine="0" w:firstLineChars="0"/>
              <w:rPr>
                <w:rFonts w:ascii="黑体" w:hAnsi="黑体" w:eastAsia="黑体"/>
              </w:rPr>
            </w:pPr>
          </w:p>
        </w:tc>
        <w:tc>
          <w:tcPr>
            <w:tcW w:w="1333" w:type="dxa"/>
            <w:shd w:val="clear" w:color="auto" w:fill="auto"/>
            <w:vAlign w:val="center"/>
          </w:tcPr>
          <w:p>
            <w:pPr>
              <w:autoSpaceDE w:val="0"/>
              <w:spacing w:line="320" w:lineRule="exact"/>
              <w:jc w:val="center"/>
              <w:rPr>
                <w:rFonts w:hint="eastAsia" w:ascii="黑体" w:hAnsi="黑体" w:eastAsia="黑体"/>
              </w:rPr>
            </w:pPr>
            <w:r>
              <w:rPr>
                <w:rFonts w:hint="eastAsia" w:ascii="黑体" w:hAnsi="黑体" w:eastAsia="黑体"/>
              </w:rPr>
              <w:t>中密、密实</w:t>
            </w:r>
          </w:p>
        </w:tc>
        <w:tc>
          <w:tcPr>
            <w:tcW w:w="1333" w:type="dxa"/>
            <w:shd w:val="clear" w:color="auto" w:fill="auto"/>
            <w:vAlign w:val="center"/>
          </w:tcPr>
          <w:p>
            <w:pPr>
              <w:autoSpaceDE w:val="0"/>
              <w:jc w:val="center"/>
              <w:rPr>
                <w:rFonts w:hint="eastAsia" w:ascii="黑体" w:hAnsi="黑体" w:eastAsia="黑体"/>
              </w:rPr>
            </w:pPr>
            <w:r>
              <w:rPr>
                <w:rFonts w:hint="eastAsia" w:ascii="黑体" w:hAnsi="黑体" w:eastAsia="黑体"/>
              </w:rPr>
              <w:t>N＞15</w:t>
            </w: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1400-2200</w:t>
            </w: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2100～3000</w:t>
            </w: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3000～4500</w:t>
            </w: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3800～5500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332" w:type="dxa"/>
            <w:shd w:val="clear" w:color="auto" w:fill="auto"/>
            <w:vAlign w:val="center"/>
          </w:tcPr>
          <w:p>
            <w:pPr>
              <w:pStyle w:val="178"/>
              <w:ind w:firstLine="0" w:firstLineChars="0"/>
              <w:rPr>
                <w:rFonts w:ascii="黑体" w:hAnsi="黑体" w:eastAsia="黑体"/>
              </w:rPr>
            </w:pPr>
            <w:r>
              <w:rPr>
                <w:rFonts w:hint="eastAsia" w:ascii="黑体" w:hAnsi="黑体" w:eastAsia="黑体"/>
              </w:rPr>
              <w:t>细砂</w:t>
            </w:r>
          </w:p>
        </w:tc>
        <w:tc>
          <w:tcPr>
            <w:tcW w:w="1333" w:type="dxa"/>
            <w:vMerge w:val="restart"/>
            <w:shd w:val="clear" w:color="auto" w:fill="auto"/>
            <w:vAlign w:val="center"/>
          </w:tcPr>
          <w:p>
            <w:pPr>
              <w:autoSpaceDE w:val="0"/>
              <w:ind w:firstLine="105" w:firstLineChars="50"/>
              <w:jc w:val="left"/>
              <w:rPr>
                <w:rFonts w:hint="eastAsia" w:ascii="黑体" w:hAnsi="黑体" w:eastAsia="黑体"/>
              </w:rPr>
            </w:pPr>
            <w:r>
              <w:rPr>
                <w:rFonts w:hint="eastAsia" w:ascii="黑体" w:hAnsi="黑体" w:eastAsia="黑体"/>
              </w:rPr>
              <w:t>中密、密实</w:t>
            </w:r>
          </w:p>
        </w:tc>
        <w:tc>
          <w:tcPr>
            <w:tcW w:w="1333" w:type="dxa"/>
            <w:vMerge w:val="restart"/>
            <w:shd w:val="clear" w:color="auto" w:fill="auto"/>
            <w:vAlign w:val="center"/>
          </w:tcPr>
          <w:p>
            <w:pPr>
              <w:jc w:val="center"/>
              <w:rPr>
                <w:rFonts w:hint="eastAsia" w:ascii="黑体" w:hAnsi="黑体" w:eastAsia="黑体"/>
              </w:rPr>
            </w:pPr>
            <w:r>
              <w:rPr>
                <w:rFonts w:hint="eastAsia" w:ascii="黑体" w:hAnsi="黑体" w:eastAsia="黑体"/>
              </w:rPr>
              <w:t>N＞15</w:t>
            </w: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2500～4000</w:t>
            </w: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3600～5000</w:t>
            </w: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4400～6000</w:t>
            </w: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5300～7000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shd w:val="clear" w:color="auto" w:fill="auto"/>
            <w:vAlign w:val="center"/>
          </w:tcPr>
          <w:p>
            <w:pPr>
              <w:pStyle w:val="178"/>
              <w:ind w:firstLine="0" w:firstLineChars="0"/>
              <w:rPr>
                <w:rFonts w:ascii="黑体" w:hAnsi="黑体" w:eastAsia="黑体"/>
              </w:rPr>
            </w:pPr>
            <w:r>
              <w:rPr>
                <w:rFonts w:hint="eastAsia" w:ascii="黑体" w:hAnsi="黑体" w:eastAsia="黑体"/>
              </w:rPr>
              <w:t>中砂</w:t>
            </w:r>
          </w:p>
        </w:tc>
        <w:tc>
          <w:tcPr>
            <w:tcW w:w="1333" w:type="dxa"/>
            <w:vMerge w:val="continue"/>
            <w:shd w:val="clear" w:color="auto" w:fill="auto"/>
            <w:vAlign w:val="center"/>
          </w:tcPr>
          <w:p>
            <w:pPr>
              <w:pStyle w:val="178"/>
              <w:ind w:firstLine="0" w:firstLineChars="0"/>
              <w:rPr>
                <w:rFonts w:hint="eastAsia" w:ascii="黑体" w:hAnsi="黑体" w:eastAsia="黑体"/>
              </w:rPr>
            </w:pPr>
          </w:p>
        </w:tc>
        <w:tc>
          <w:tcPr>
            <w:tcW w:w="1333" w:type="dxa"/>
            <w:vMerge w:val="continue"/>
            <w:shd w:val="clear" w:color="auto" w:fill="auto"/>
            <w:vAlign w:val="center"/>
          </w:tcPr>
          <w:p>
            <w:pPr>
              <w:pStyle w:val="178"/>
              <w:ind w:firstLine="0" w:firstLineChars="0"/>
              <w:rPr>
                <w:rFonts w:hint="eastAsia" w:ascii="黑体" w:hAnsi="黑体" w:eastAsia="黑体"/>
              </w:rPr>
            </w:pP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4000～6000</w:t>
            </w: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5500～7000</w:t>
            </w: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6500～8000</w:t>
            </w: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7500～9000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shd w:val="clear" w:color="auto" w:fill="auto"/>
            <w:vAlign w:val="center"/>
          </w:tcPr>
          <w:p>
            <w:pPr>
              <w:pStyle w:val="178"/>
              <w:ind w:firstLine="0" w:firstLineChars="0"/>
              <w:rPr>
                <w:rFonts w:ascii="黑体" w:hAnsi="黑体" w:eastAsia="黑体"/>
              </w:rPr>
            </w:pPr>
            <w:r>
              <w:rPr>
                <w:rFonts w:hint="eastAsia" w:ascii="黑体" w:hAnsi="黑体" w:eastAsia="黑体"/>
              </w:rPr>
              <w:t>粗砂</w:t>
            </w:r>
          </w:p>
        </w:tc>
        <w:tc>
          <w:tcPr>
            <w:tcW w:w="1333" w:type="dxa"/>
            <w:vMerge w:val="continue"/>
            <w:shd w:val="clear" w:color="auto" w:fill="auto"/>
            <w:vAlign w:val="center"/>
          </w:tcPr>
          <w:p>
            <w:pPr>
              <w:pStyle w:val="178"/>
              <w:ind w:firstLine="0" w:firstLineChars="0"/>
              <w:rPr>
                <w:rFonts w:hint="eastAsia" w:ascii="黑体" w:hAnsi="黑体" w:eastAsia="黑体"/>
              </w:rPr>
            </w:pPr>
          </w:p>
        </w:tc>
        <w:tc>
          <w:tcPr>
            <w:tcW w:w="1333" w:type="dxa"/>
            <w:vMerge w:val="continue"/>
            <w:shd w:val="clear" w:color="auto" w:fill="auto"/>
            <w:vAlign w:val="center"/>
          </w:tcPr>
          <w:p>
            <w:pPr>
              <w:pStyle w:val="178"/>
              <w:ind w:firstLine="0" w:firstLineChars="0"/>
              <w:rPr>
                <w:rFonts w:hint="eastAsia" w:ascii="黑体" w:hAnsi="黑体" w:eastAsia="黑体"/>
              </w:rPr>
            </w:pP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5700～7500</w:t>
            </w: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7500～8500</w:t>
            </w:r>
          </w:p>
        </w:tc>
        <w:tc>
          <w:tcPr>
            <w:tcW w:w="1334" w:type="dxa"/>
            <w:shd w:val="clear" w:color="auto" w:fill="auto"/>
            <w:vAlign w:val="center"/>
          </w:tcPr>
          <w:p>
            <w:pPr>
              <w:autoSpaceDE w:val="0"/>
              <w:jc w:val="center"/>
              <w:rPr>
                <w:rFonts w:hint="eastAsia" w:ascii="黑体" w:hAnsi="黑体" w:eastAsia="黑体"/>
              </w:rPr>
            </w:pPr>
            <w:r>
              <w:rPr>
                <w:rFonts w:hint="eastAsia" w:ascii="黑体" w:hAnsi="黑体" w:eastAsia="黑体"/>
              </w:rPr>
              <w:t>8500～10000</w:t>
            </w:r>
          </w:p>
        </w:tc>
        <w:tc>
          <w:tcPr>
            <w:tcW w:w="1334" w:type="dxa"/>
            <w:shd w:val="clear" w:color="auto" w:fill="auto"/>
            <w:vAlign w:val="center"/>
          </w:tcPr>
          <w:p>
            <w:pPr>
              <w:autoSpaceDE w:val="0"/>
              <w:rPr>
                <w:rFonts w:hint="eastAsia" w:ascii="黑体" w:hAnsi="黑体" w:eastAsia="黑体"/>
              </w:rPr>
            </w:pPr>
            <w:r>
              <w:rPr>
                <w:rFonts w:hint="eastAsia" w:ascii="黑体" w:hAnsi="黑体" w:eastAsia="黑体"/>
              </w:rPr>
              <w:t>9500～11000</w:t>
            </w:r>
          </w:p>
        </w:tc>
      </w:tr>
    </w:tbl>
    <w:p>
      <w:pPr>
        <w:pStyle w:val="112"/>
        <w:numPr>
          <w:ilvl w:val="0"/>
          <w:numId w:val="0"/>
        </w:numPr>
        <w:spacing w:before="156" w:after="156"/>
        <w:ind w:firstLine="210" w:firstLineChars="100"/>
        <w:jc w:val="center"/>
        <w:rPr>
          <w:rFonts w:hAnsi="黑体"/>
        </w:rPr>
      </w:pPr>
      <w:r>
        <w:rPr>
          <w:rFonts w:hint="eastAsia" w:hAnsi="黑体"/>
        </w:rPr>
        <w:t>续表5</w:t>
      </w:r>
      <w:r>
        <w:rPr>
          <w:rFonts w:hAnsi="黑体"/>
        </w:rPr>
        <w:t xml:space="preserve">  </w:t>
      </w:r>
      <w:r>
        <w:rPr>
          <w:rFonts w:hint="eastAsia" w:hAnsi="黑体"/>
        </w:rPr>
        <w:t>桩的极限端阻力标准值（kPa）</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332"/>
        <w:gridCol w:w="1333"/>
        <w:gridCol w:w="1333"/>
        <w:gridCol w:w="1334"/>
        <w:gridCol w:w="1334"/>
        <w:gridCol w:w="1334"/>
        <w:gridCol w:w="13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332" w:type="dxa"/>
            <w:vMerge w:val="restart"/>
            <w:tcBorders>
              <w:top w:val="single" w:color="auto" w:sz="8" w:space="0"/>
            </w:tcBorders>
            <w:shd w:val="clear" w:color="auto" w:fill="auto"/>
            <w:vAlign w:val="center"/>
          </w:tcPr>
          <w:p>
            <w:pPr>
              <w:pStyle w:val="178"/>
              <w:rPr>
                <w:rFonts w:ascii="黑体" w:hAnsi="黑体" w:eastAsia="黑体"/>
              </w:rPr>
            </w:pPr>
            <w:r>
              <w:rPr>
                <w:rFonts w:hint="eastAsia" w:ascii="黑体" w:hAnsi="黑体" w:eastAsia="黑体"/>
              </w:rPr>
              <w:t>土名称</w:t>
            </w:r>
          </w:p>
        </w:tc>
        <w:tc>
          <w:tcPr>
            <w:tcW w:w="2666" w:type="dxa"/>
            <w:gridSpan w:val="2"/>
            <w:vMerge w:val="restart"/>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土的状态</w:t>
            </w:r>
          </w:p>
        </w:tc>
        <w:tc>
          <w:tcPr>
            <w:tcW w:w="5336" w:type="dxa"/>
            <w:gridSpan w:val="4"/>
            <w:tcBorders>
              <w:top w:val="single" w:color="auto" w:sz="8" w:space="0"/>
              <w:bottom w:val="single" w:color="auto" w:sz="8" w:space="0"/>
            </w:tcBorders>
            <w:shd w:val="clear" w:color="auto" w:fill="auto"/>
            <w:vAlign w:val="center"/>
          </w:tcPr>
          <w:p>
            <w:pPr>
              <w:autoSpaceDE w:val="0"/>
              <w:ind w:firstLine="420" w:firstLineChars="200"/>
              <w:jc w:val="center"/>
              <w:rPr>
                <w:rFonts w:ascii="黑体" w:hAnsi="黑体" w:eastAsia="黑体"/>
              </w:rPr>
            </w:pPr>
            <w:r>
              <w:rPr>
                <w:rFonts w:hint="eastAsia" w:ascii="黑体" w:hAnsi="黑体" w:eastAsia="黑体"/>
              </w:rPr>
              <w:t>极限端阻力标准值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332" w:type="dxa"/>
            <w:vMerge w:val="continue"/>
            <w:shd w:val="clear" w:color="auto" w:fill="auto"/>
            <w:vAlign w:val="center"/>
          </w:tcPr>
          <w:p>
            <w:pPr>
              <w:pStyle w:val="178"/>
              <w:rPr>
                <w:rFonts w:ascii="黑体" w:hAnsi="黑体" w:eastAsia="黑体"/>
              </w:rPr>
            </w:pPr>
          </w:p>
        </w:tc>
        <w:tc>
          <w:tcPr>
            <w:tcW w:w="2666" w:type="dxa"/>
            <w:gridSpan w:val="2"/>
            <w:vMerge w:val="continue"/>
            <w:shd w:val="clear" w:color="auto" w:fill="auto"/>
            <w:vAlign w:val="center"/>
          </w:tcPr>
          <w:p>
            <w:pPr>
              <w:jc w:val="center"/>
              <w:rPr>
                <w:rFonts w:ascii="黑体" w:hAnsi="黑体" w:eastAsia="黑体"/>
              </w:rPr>
            </w:pPr>
          </w:p>
        </w:tc>
        <w:tc>
          <w:tcPr>
            <w:tcW w:w="5336" w:type="dxa"/>
            <w:gridSpan w:val="4"/>
            <w:tcBorders>
              <w:top w:val="single" w:color="auto" w:sz="8" w:space="0"/>
              <w:bottom w:val="single" w:color="auto" w:sz="8" w:space="0"/>
            </w:tcBorders>
            <w:shd w:val="clear" w:color="auto" w:fill="auto"/>
            <w:vAlign w:val="center"/>
          </w:tcPr>
          <w:p>
            <w:pPr>
              <w:autoSpaceDE w:val="0"/>
              <w:jc w:val="center"/>
              <w:rPr>
                <w:rFonts w:ascii="黑体" w:hAnsi="黑体" w:eastAsia="黑体"/>
              </w:rPr>
            </w:pPr>
            <w:r>
              <w:rPr>
                <w:rFonts w:hint="eastAsia" w:ascii="黑体" w:hAnsi="黑体" w:eastAsia="黑体"/>
              </w:rPr>
              <w:t>桩长</w:t>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pict>
                <v:shape id="_x0000_i1032" o:spt="75" type="#_x0000_t75" style="height:16.1pt;width:11.8pt;" filled="f" o:preferrelative="t" stroked="f" coordsize="21600,21600">
                  <v:path/>
                  <v:fill on="f" focussize="0,0"/>
                  <v:stroke on="f" joinstyle="miter"/>
                  <v:imagedata r:id="rId101" r:href="rId102" o:title=""/>
                  <o:lock v:ext="edit" aspectratio="t"/>
                  <w10:wrap type="none"/>
                  <w10:anchorlock/>
                </v:shape>
              </w:pict>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hint="eastAsia" w:ascii="黑体" w:hAnsi="黑体" w:eastAsia="黑体"/>
              </w:rPr>
              <w:t>(m)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332" w:type="dxa"/>
            <w:vMerge w:val="continue"/>
            <w:tcBorders>
              <w:bottom w:val="single" w:color="auto" w:sz="8" w:space="0"/>
            </w:tcBorders>
            <w:shd w:val="clear" w:color="auto" w:fill="auto"/>
            <w:vAlign w:val="center"/>
          </w:tcPr>
          <w:p>
            <w:pPr>
              <w:pStyle w:val="178"/>
              <w:rPr>
                <w:rFonts w:ascii="黑体" w:hAnsi="黑体" w:eastAsia="黑体"/>
              </w:rPr>
            </w:pPr>
          </w:p>
        </w:tc>
        <w:tc>
          <w:tcPr>
            <w:tcW w:w="2666" w:type="dxa"/>
            <w:gridSpan w:val="2"/>
            <w:vMerge w:val="continue"/>
            <w:shd w:val="clear" w:color="auto" w:fill="auto"/>
            <w:vAlign w:val="center"/>
          </w:tcPr>
          <w:p>
            <w:pPr>
              <w:jc w:val="center"/>
              <w:rPr>
                <w:rFonts w:ascii="黑体" w:hAnsi="黑体" w:eastAsia="黑体"/>
              </w:rPr>
            </w:pPr>
          </w:p>
        </w:tc>
        <w:tc>
          <w:tcPr>
            <w:tcW w:w="1334" w:type="dxa"/>
            <w:tcBorders>
              <w:top w:val="single" w:color="auto" w:sz="8" w:space="0"/>
              <w:bottom w:val="single" w:color="auto" w:sz="8" w:space="0"/>
            </w:tcBorders>
            <w:shd w:val="clear" w:color="auto" w:fill="auto"/>
            <w:vAlign w:val="center"/>
          </w:tcPr>
          <w:p>
            <w:pPr>
              <w:autoSpaceDE w:val="0"/>
              <w:jc w:val="center"/>
              <w:rPr>
                <w:rFonts w:ascii="黑体" w:hAnsi="黑体" w:eastAsia="黑体"/>
              </w:rPr>
            </w:pP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pict>
                <v:shape id="_x0000_i1033" o:spt="75" type="#_x0000_t75" style="height:16.1pt;width:11.8pt;" filled="f" o:preferrelative="t" stroked="f" coordsize="21600,21600">
                  <v:path/>
                  <v:fill on="f" focussize="0,0"/>
                  <v:stroke on="f" joinstyle="miter"/>
                  <v:imagedata r:id="rId101" r:href="rId102" o:title=""/>
                  <o:lock v:ext="edit" aspectratio="t"/>
                  <w10:wrap type="none"/>
                  <w10:anchorlock/>
                </v:shape>
              </w:pict>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hint="eastAsia" w:ascii="黑体" w:hAnsi="黑体" w:eastAsia="黑体"/>
              </w:rPr>
              <w:t>≤9</w:t>
            </w:r>
          </w:p>
        </w:tc>
        <w:tc>
          <w:tcPr>
            <w:tcW w:w="1334" w:type="dxa"/>
            <w:tcBorders>
              <w:top w:val="single" w:color="auto" w:sz="8" w:space="0"/>
              <w:bottom w:val="single" w:color="auto" w:sz="8" w:space="0"/>
            </w:tcBorders>
            <w:shd w:val="clear" w:color="auto" w:fill="auto"/>
            <w:vAlign w:val="center"/>
          </w:tcPr>
          <w:p>
            <w:pPr>
              <w:autoSpaceDE w:val="0"/>
              <w:jc w:val="center"/>
              <w:rPr>
                <w:rFonts w:ascii="黑体" w:hAnsi="黑体" w:eastAsia="黑体"/>
              </w:rPr>
            </w:pP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pict>
                <v:shape id="_x0000_i1034" o:spt="75" type="#_x0000_t75" style="height:16.1pt;width:11.8pt;" filled="f" o:preferrelative="t" stroked="f" coordsize="21600,21600">
                  <v:path/>
                  <v:fill on="f" focussize="0,0"/>
                  <v:stroke on="f" joinstyle="miter"/>
                  <v:imagedata r:id="rId101" r:href="rId102" o:title=""/>
                  <o:lock v:ext="edit" aspectratio="t"/>
                  <w10:wrap type="none"/>
                  <w10:anchorlock/>
                </v:shape>
              </w:pict>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hint="eastAsia" w:ascii="黑体" w:hAnsi="黑体" w:eastAsia="黑体"/>
              </w:rPr>
              <w:t>≤9</w:t>
            </w:r>
          </w:p>
        </w:tc>
        <w:tc>
          <w:tcPr>
            <w:tcW w:w="1334" w:type="dxa"/>
            <w:tcBorders>
              <w:top w:val="single" w:color="auto" w:sz="8" w:space="0"/>
              <w:bottom w:val="single" w:color="auto" w:sz="8" w:space="0"/>
            </w:tcBorders>
            <w:shd w:val="clear" w:color="auto" w:fill="auto"/>
            <w:vAlign w:val="center"/>
          </w:tcPr>
          <w:p>
            <w:pPr>
              <w:autoSpaceDE w:val="0"/>
              <w:jc w:val="center"/>
              <w:rPr>
                <w:rFonts w:ascii="黑体" w:hAnsi="黑体" w:eastAsia="黑体"/>
              </w:rPr>
            </w:pP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pict>
                <v:shape id="_x0000_i1035" o:spt="75" type="#_x0000_t75" style="height:16.1pt;width:11.8pt;" filled="f" o:preferrelative="t" stroked="f" coordsize="21600,21600">
                  <v:path/>
                  <v:fill on="f" focussize="0,0"/>
                  <v:stroke on="f" joinstyle="miter"/>
                  <v:imagedata r:id="rId101" r:href="rId102" o:title=""/>
                  <o:lock v:ext="edit" aspectratio="t"/>
                  <w10:wrap type="none"/>
                  <w10:anchorlock/>
                </v:shape>
              </w:pict>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hint="eastAsia" w:ascii="黑体" w:hAnsi="黑体" w:eastAsia="黑体"/>
              </w:rPr>
              <w:t>≤9</w:t>
            </w:r>
          </w:p>
        </w:tc>
        <w:tc>
          <w:tcPr>
            <w:tcW w:w="1334" w:type="dxa"/>
            <w:tcBorders>
              <w:top w:val="single" w:color="auto" w:sz="8" w:space="0"/>
              <w:bottom w:val="single" w:color="auto" w:sz="8" w:space="0"/>
            </w:tcBorders>
            <w:shd w:val="clear" w:color="auto" w:fill="auto"/>
            <w:vAlign w:val="center"/>
          </w:tcPr>
          <w:p>
            <w:pPr>
              <w:autoSpaceDE w:val="0"/>
              <w:jc w:val="center"/>
              <w:rPr>
                <w:rFonts w:ascii="黑体" w:hAnsi="黑体" w:eastAsia="黑体"/>
              </w:rPr>
            </w:pP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fldChar w:fldCharType="begin"/>
            </w:r>
            <w:r>
              <w:instrText xml:space="preserve"> INCLUDEPICTURE "../../Downloads/" \* MERGEFORMAT </w:instrText>
            </w:r>
            <w:r>
              <w:rPr>
                <w:rFonts w:ascii="黑体" w:hAnsi="黑体" w:eastAsia="黑体"/>
                <w:position w:val="-6"/>
              </w:rPr>
              <w:fldChar w:fldCharType="separate"/>
            </w:r>
            <w:r>
              <w:rPr>
                <w:rFonts w:ascii="黑体" w:hAnsi="黑体" w:eastAsia="黑体"/>
                <w:position w:val="-6"/>
              </w:rPr>
              <w:pict>
                <v:shape id="_x0000_i1036" o:spt="75" type="#_x0000_t75" style="height:16.1pt;width:11.8pt;" filled="f" o:preferrelative="t" stroked="f" coordsize="21600,21600">
                  <v:path/>
                  <v:fill on="f" focussize="0,0"/>
                  <v:stroke on="f" joinstyle="miter"/>
                  <v:imagedata r:id="rId101" r:href="rId102" o:title=""/>
                  <o:lock v:ext="edit" aspectratio="t"/>
                  <w10:wrap type="none"/>
                  <w10:anchorlock/>
                </v:shape>
              </w:pict>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ascii="黑体" w:hAnsi="黑体" w:eastAsia="黑体"/>
                <w:position w:val="-6"/>
              </w:rPr>
              <w:fldChar w:fldCharType="end"/>
            </w:r>
            <w:r>
              <w:rPr>
                <w:rFonts w:hint="eastAsia" w:ascii="黑体" w:hAnsi="黑体" w:eastAsia="黑体"/>
              </w:rPr>
              <w:t>≤9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332" w:type="dxa"/>
            <w:shd w:val="clear" w:color="auto" w:fill="auto"/>
            <w:vAlign w:val="center"/>
          </w:tcPr>
          <w:p>
            <w:pPr>
              <w:autoSpaceDE w:val="0"/>
              <w:spacing w:line="360" w:lineRule="exact"/>
              <w:jc w:val="center"/>
              <w:rPr>
                <w:rFonts w:ascii="黑体" w:hAnsi="黑体" w:eastAsia="黑体"/>
              </w:rPr>
            </w:pPr>
            <w:r>
              <w:rPr>
                <w:rFonts w:hint="eastAsia" w:ascii="黑体" w:hAnsi="黑体" w:eastAsia="黑体"/>
              </w:rPr>
              <w:t>砾砂</w:t>
            </w:r>
          </w:p>
        </w:tc>
        <w:tc>
          <w:tcPr>
            <w:tcW w:w="1333" w:type="dxa"/>
            <w:vMerge w:val="restart"/>
            <w:shd w:val="clear" w:color="auto" w:fill="auto"/>
            <w:vAlign w:val="center"/>
          </w:tcPr>
          <w:p>
            <w:pPr>
              <w:pStyle w:val="178"/>
              <w:rPr>
                <w:rFonts w:ascii="黑体" w:hAnsi="黑体" w:eastAsia="黑体"/>
              </w:rPr>
            </w:pPr>
            <w:r>
              <w:rPr>
                <w:rFonts w:hint="eastAsia" w:ascii="黑体" w:hAnsi="黑体" w:eastAsia="黑体"/>
              </w:rPr>
              <w:t>中密、密实</w:t>
            </w:r>
          </w:p>
        </w:tc>
        <w:tc>
          <w:tcPr>
            <w:tcW w:w="1333" w:type="dxa"/>
            <w:shd w:val="clear" w:color="auto" w:fill="auto"/>
            <w:vAlign w:val="center"/>
          </w:tcPr>
          <w:p>
            <w:pPr>
              <w:autoSpaceDE w:val="0"/>
              <w:jc w:val="center"/>
              <w:rPr>
                <w:rFonts w:ascii="黑体" w:hAnsi="黑体" w:eastAsia="黑体"/>
              </w:rPr>
            </w:pPr>
            <w:r>
              <w:rPr>
                <w:rFonts w:hint="eastAsia" w:ascii="黑体" w:hAnsi="黑体" w:eastAsia="黑体"/>
              </w:rPr>
              <w:t>N＞15</w:t>
            </w:r>
          </w:p>
        </w:tc>
        <w:tc>
          <w:tcPr>
            <w:tcW w:w="2668" w:type="dxa"/>
            <w:gridSpan w:val="2"/>
            <w:shd w:val="clear" w:color="auto" w:fill="auto"/>
            <w:vAlign w:val="center"/>
          </w:tcPr>
          <w:p>
            <w:pPr>
              <w:autoSpaceDE w:val="0"/>
              <w:jc w:val="center"/>
              <w:rPr>
                <w:rFonts w:ascii="黑体" w:hAnsi="黑体" w:eastAsia="黑体"/>
              </w:rPr>
            </w:pPr>
            <w:r>
              <w:rPr>
                <w:rFonts w:hint="eastAsia" w:ascii="黑体" w:hAnsi="黑体" w:eastAsia="黑体"/>
              </w:rPr>
              <w:t>6000～9500</w:t>
            </w:r>
          </w:p>
        </w:tc>
        <w:tc>
          <w:tcPr>
            <w:tcW w:w="2668" w:type="dxa"/>
            <w:gridSpan w:val="2"/>
            <w:shd w:val="clear" w:color="auto" w:fill="auto"/>
            <w:vAlign w:val="center"/>
          </w:tcPr>
          <w:p>
            <w:pPr>
              <w:autoSpaceDE w:val="0"/>
              <w:jc w:val="center"/>
              <w:rPr>
                <w:rFonts w:ascii="黑体" w:hAnsi="黑体" w:eastAsia="黑体"/>
              </w:rPr>
            </w:pPr>
            <w:r>
              <w:rPr>
                <w:rFonts w:hint="eastAsia" w:ascii="黑体" w:hAnsi="黑体" w:eastAsia="黑体"/>
              </w:rPr>
              <w:t>9000～10500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shd w:val="clear" w:color="auto" w:fill="auto"/>
            <w:vAlign w:val="center"/>
          </w:tcPr>
          <w:p>
            <w:pPr>
              <w:autoSpaceDE w:val="0"/>
              <w:spacing w:line="360" w:lineRule="exact"/>
              <w:jc w:val="center"/>
              <w:rPr>
                <w:rFonts w:ascii="黑体" w:hAnsi="黑体" w:eastAsia="黑体"/>
              </w:rPr>
            </w:pPr>
            <w:r>
              <w:rPr>
                <w:rFonts w:hint="eastAsia" w:ascii="黑体" w:hAnsi="黑体" w:eastAsia="黑体"/>
              </w:rPr>
              <w:t xml:space="preserve">  角砾、圆砾</w:t>
            </w:r>
          </w:p>
        </w:tc>
        <w:tc>
          <w:tcPr>
            <w:tcW w:w="1333" w:type="dxa"/>
            <w:vMerge w:val="continue"/>
            <w:shd w:val="clear" w:color="auto" w:fill="auto"/>
            <w:vAlign w:val="center"/>
          </w:tcPr>
          <w:p>
            <w:pPr>
              <w:pStyle w:val="178"/>
              <w:rPr>
                <w:rFonts w:ascii="黑体" w:hAnsi="黑体" w:eastAsia="黑体"/>
              </w:rPr>
            </w:pPr>
          </w:p>
        </w:tc>
        <w:tc>
          <w:tcPr>
            <w:tcW w:w="1333" w:type="dxa"/>
            <w:vMerge w:val="restart"/>
            <w:shd w:val="clear" w:color="auto" w:fill="auto"/>
            <w:vAlign w:val="center"/>
          </w:tcPr>
          <w:p>
            <w:pPr>
              <w:autoSpaceDE w:val="0"/>
              <w:jc w:val="center"/>
              <w:rPr>
                <w:rFonts w:ascii="黑体" w:hAnsi="黑体" w:eastAsia="黑体"/>
              </w:rPr>
            </w:pPr>
            <w:r>
              <w:rPr>
                <w:rFonts w:hint="eastAsia" w:ascii="黑体" w:hAnsi="黑体" w:eastAsia="黑体"/>
              </w:rPr>
              <w:t>N</w:t>
            </w:r>
            <w:r>
              <w:rPr>
                <w:rFonts w:hint="eastAsia" w:ascii="黑体" w:hAnsi="黑体" w:eastAsia="黑体"/>
                <w:vertAlign w:val="subscript"/>
              </w:rPr>
              <w:t>63.5</w:t>
            </w:r>
            <w:r>
              <w:rPr>
                <w:rFonts w:hint="eastAsia" w:ascii="黑体" w:hAnsi="黑体" w:eastAsia="黑体"/>
              </w:rPr>
              <w:t>＞10</w:t>
            </w:r>
          </w:p>
        </w:tc>
        <w:tc>
          <w:tcPr>
            <w:tcW w:w="2668" w:type="dxa"/>
            <w:gridSpan w:val="2"/>
            <w:shd w:val="clear" w:color="auto" w:fill="auto"/>
            <w:vAlign w:val="center"/>
          </w:tcPr>
          <w:p>
            <w:pPr>
              <w:autoSpaceDE w:val="0"/>
              <w:jc w:val="center"/>
              <w:rPr>
                <w:rFonts w:ascii="黑体" w:hAnsi="黑体" w:eastAsia="黑体"/>
              </w:rPr>
            </w:pPr>
            <w:r>
              <w:rPr>
                <w:rFonts w:hint="eastAsia" w:ascii="黑体" w:hAnsi="黑体" w:eastAsia="黑体"/>
              </w:rPr>
              <w:t>7000～10000</w:t>
            </w:r>
          </w:p>
        </w:tc>
        <w:tc>
          <w:tcPr>
            <w:tcW w:w="2668" w:type="dxa"/>
            <w:gridSpan w:val="2"/>
            <w:shd w:val="clear" w:color="auto" w:fill="auto"/>
            <w:vAlign w:val="center"/>
          </w:tcPr>
          <w:p>
            <w:pPr>
              <w:autoSpaceDE w:val="0"/>
              <w:jc w:val="center"/>
              <w:rPr>
                <w:rFonts w:ascii="黑体" w:hAnsi="黑体" w:eastAsia="黑体"/>
              </w:rPr>
            </w:pPr>
            <w:r>
              <w:rPr>
                <w:rFonts w:hint="eastAsia" w:ascii="黑体" w:hAnsi="黑体" w:eastAsia="黑体"/>
              </w:rPr>
              <w:t>9500～11500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shd w:val="clear" w:color="auto" w:fill="auto"/>
            <w:vAlign w:val="center"/>
          </w:tcPr>
          <w:p>
            <w:pPr>
              <w:autoSpaceDE w:val="0"/>
              <w:spacing w:line="360" w:lineRule="exact"/>
              <w:jc w:val="center"/>
              <w:rPr>
                <w:rFonts w:ascii="黑体" w:hAnsi="黑体" w:eastAsia="黑体"/>
              </w:rPr>
            </w:pPr>
            <w:r>
              <w:rPr>
                <w:rFonts w:hint="eastAsia" w:ascii="黑体" w:hAnsi="黑体" w:eastAsia="黑体"/>
              </w:rPr>
              <w:t xml:space="preserve">  碎石、卵石</w:t>
            </w:r>
          </w:p>
        </w:tc>
        <w:tc>
          <w:tcPr>
            <w:tcW w:w="1333" w:type="dxa"/>
            <w:vMerge w:val="continue"/>
            <w:shd w:val="clear" w:color="auto" w:fill="auto"/>
            <w:vAlign w:val="center"/>
          </w:tcPr>
          <w:p>
            <w:pPr>
              <w:pStyle w:val="178"/>
              <w:rPr>
                <w:rFonts w:ascii="黑体" w:hAnsi="黑体" w:eastAsia="黑体"/>
              </w:rPr>
            </w:pPr>
          </w:p>
        </w:tc>
        <w:tc>
          <w:tcPr>
            <w:tcW w:w="1333" w:type="dxa"/>
            <w:vMerge w:val="continue"/>
            <w:shd w:val="clear" w:color="auto" w:fill="auto"/>
            <w:vAlign w:val="center"/>
          </w:tcPr>
          <w:p>
            <w:pPr>
              <w:pStyle w:val="178"/>
              <w:rPr>
                <w:rFonts w:ascii="黑体" w:hAnsi="黑体" w:eastAsia="黑体"/>
              </w:rPr>
            </w:pPr>
          </w:p>
        </w:tc>
        <w:tc>
          <w:tcPr>
            <w:tcW w:w="2668" w:type="dxa"/>
            <w:gridSpan w:val="2"/>
            <w:shd w:val="clear" w:color="auto" w:fill="auto"/>
            <w:vAlign w:val="center"/>
          </w:tcPr>
          <w:p>
            <w:pPr>
              <w:autoSpaceDE w:val="0"/>
              <w:jc w:val="center"/>
              <w:rPr>
                <w:rFonts w:ascii="黑体" w:hAnsi="黑体" w:eastAsia="黑体"/>
              </w:rPr>
            </w:pPr>
            <w:r>
              <w:rPr>
                <w:rFonts w:hint="eastAsia" w:ascii="黑体" w:hAnsi="黑体" w:eastAsia="黑体"/>
              </w:rPr>
              <w:t>8000～11000</w:t>
            </w:r>
          </w:p>
        </w:tc>
        <w:tc>
          <w:tcPr>
            <w:tcW w:w="2668" w:type="dxa"/>
            <w:gridSpan w:val="2"/>
            <w:shd w:val="clear" w:color="auto" w:fill="auto"/>
            <w:vAlign w:val="center"/>
          </w:tcPr>
          <w:p>
            <w:pPr>
              <w:autoSpaceDE w:val="0"/>
              <w:jc w:val="center"/>
              <w:rPr>
                <w:rFonts w:ascii="黑体" w:hAnsi="黑体" w:eastAsia="黑体"/>
              </w:rPr>
            </w:pPr>
            <w:r>
              <w:rPr>
                <w:rFonts w:hint="eastAsia" w:ascii="黑体" w:hAnsi="黑体" w:eastAsia="黑体"/>
              </w:rPr>
              <w:t>10500～13000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shd w:val="clear" w:color="auto" w:fill="auto"/>
            <w:vAlign w:val="center"/>
          </w:tcPr>
          <w:p>
            <w:pPr>
              <w:autoSpaceDE w:val="0"/>
              <w:spacing w:line="360" w:lineRule="exact"/>
              <w:jc w:val="center"/>
              <w:rPr>
                <w:rFonts w:ascii="黑体" w:hAnsi="黑体" w:eastAsia="黑体"/>
              </w:rPr>
            </w:pPr>
            <w:r>
              <w:rPr>
                <w:rFonts w:hint="eastAsia" w:ascii="黑体" w:hAnsi="黑体" w:eastAsia="黑体"/>
              </w:rPr>
              <w:t>全风化软质岩</w:t>
            </w:r>
          </w:p>
        </w:tc>
        <w:tc>
          <w:tcPr>
            <w:tcW w:w="1333" w:type="dxa"/>
            <w:shd w:val="clear" w:color="auto" w:fill="auto"/>
            <w:vAlign w:val="center"/>
          </w:tcPr>
          <w:p>
            <w:pPr>
              <w:pStyle w:val="178"/>
              <w:rPr>
                <w:rFonts w:ascii="黑体" w:hAnsi="黑体" w:eastAsia="黑体"/>
              </w:rPr>
            </w:pPr>
          </w:p>
        </w:tc>
        <w:tc>
          <w:tcPr>
            <w:tcW w:w="1333" w:type="dxa"/>
            <w:vMerge w:val="restart"/>
            <w:shd w:val="clear" w:color="auto" w:fill="auto"/>
            <w:vAlign w:val="center"/>
          </w:tcPr>
          <w:p>
            <w:pPr>
              <w:autoSpaceDE w:val="0"/>
              <w:jc w:val="center"/>
              <w:rPr>
                <w:rFonts w:ascii="黑体" w:hAnsi="黑体" w:eastAsia="黑体"/>
              </w:rPr>
            </w:pPr>
            <w:r>
              <w:rPr>
                <w:rFonts w:hint="eastAsia" w:ascii="黑体" w:hAnsi="黑体" w:eastAsia="黑体"/>
              </w:rPr>
              <w:t>30＜N≤50</w:t>
            </w:r>
          </w:p>
        </w:tc>
        <w:tc>
          <w:tcPr>
            <w:tcW w:w="5336" w:type="dxa"/>
            <w:gridSpan w:val="4"/>
            <w:shd w:val="clear" w:color="auto" w:fill="auto"/>
            <w:vAlign w:val="center"/>
          </w:tcPr>
          <w:p>
            <w:pPr>
              <w:autoSpaceDE w:val="0"/>
              <w:jc w:val="center"/>
              <w:rPr>
                <w:rFonts w:ascii="黑体" w:hAnsi="黑体" w:eastAsia="黑体"/>
              </w:rPr>
            </w:pPr>
            <w:r>
              <w:rPr>
                <w:rFonts w:hint="eastAsia" w:ascii="黑体" w:hAnsi="黑体" w:eastAsia="黑体"/>
              </w:rPr>
              <w:t>4000～6000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332" w:type="dxa"/>
            <w:shd w:val="clear" w:color="auto" w:fill="auto"/>
            <w:vAlign w:val="center"/>
          </w:tcPr>
          <w:p>
            <w:pPr>
              <w:autoSpaceDE w:val="0"/>
              <w:spacing w:line="360" w:lineRule="exact"/>
              <w:jc w:val="center"/>
              <w:rPr>
                <w:rFonts w:ascii="黑体" w:hAnsi="黑体" w:eastAsia="黑体"/>
              </w:rPr>
            </w:pPr>
            <w:r>
              <w:rPr>
                <w:rFonts w:hint="eastAsia" w:ascii="黑体" w:hAnsi="黑体" w:eastAsia="黑体"/>
              </w:rPr>
              <w:t>全风化硬质岩</w:t>
            </w:r>
          </w:p>
        </w:tc>
        <w:tc>
          <w:tcPr>
            <w:tcW w:w="1333" w:type="dxa"/>
            <w:shd w:val="clear" w:color="auto" w:fill="auto"/>
            <w:vAlign w:val="center"/>
          </w:tcPr>
          <w:p>
            <w:pPr>
              <w:pStyle w:val="178"/>
              <w:rPr>
                <w:rFonts w:ascii="黑体" w:hAnsi="黑体" w:eastAsia="黑体"/>
              </w:rPr>
            </w:pPr>
          </w:p>
        </w:tc>
        <w:tc>
          <w:tcPr>
            <w:tcW w:w="1333" w:type="dxa"/>
            <w:vMerge w:val="continue"/>
            <w:shd w:val="clear" w:color="auto" w:fill="auto"/>
            <w:vAlign w:val="center"/>
          </w:tcPr>
          <w:p>
            <w:pPr>
              <w:pStyle w:val="178"/>
              <w:rPr>
                <w:rFonts w:ascii="黑体" w:hAnsi="黑体" w:eastAsia="黑体"/>
              </w:rPr>
            </w:pPr>
          </w:p>
        </w:tc>
        <w:tc>
          <w:tcPr>
            <w:tcW w:w="5336" w:type="dxa"/>
            <w:gridSpan w:val="4"/>
            <w:shd w:val="clear" w:color="auto" w:fill="auto"/>
            <w:vAlign w:val="center"/>
          </w:tcPr>
          <w:p>
            <w:pPr>
              <w:autoSpaceDE w:val="0"/>
              <w:jc w:val="center"/>
              <w:rPr>
                <w:rFonts w:ascii="黑体" w:hAnsi="黑体" w:eastAsia="黑体"/>
              </w:rPr>
            </w:pPr>
            <w:r>
              <w:rPr>
                <w:rFonts w:hint="eastAsia" w:ascii="黑体" w:hAnsi="黑体" w:eastAsia="黑体"/>
              </w:rPr>
              <w:t>5000～8000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shd w:val="clear" w:color="auto" w:fill="auto"/>
            <w:vAlign w:val="center"/>
          </w:tcPr>
          <w:p>
            <w:pPr>
              <w:autoSpaceDE w:val="0"/>
              <w:spacing w:line="360" w:lineRule="exact"/>
              <w:jc w:val="center"/>
              <w:rPr>
                <w:rFonts w:ascii="黑体" w:hAnsi="黑体" w:eastAsia="黑体"/>
              </w:rPr>
            </w:pPr>
            <w:r>
              <w:rPr>
                <w:rFonts w:hint="eastAsia" w:ascii="黑体" w:hAnsi="黑体" w:eastAsia="黑体"/>
              </w:rPr>
              <w:t>强风化软质岩</w:t>
            </w:r>
          </w:p>
        </w:tc>
        <w:tc>
          <w:tcPr>
            <w:tcW w:w="1333" w:type="dxa"/>
            <w:shd w:val="clear" w:color="auto" w:fill="auto"/>
            <w:vAlign w:val="center"/>
          </w:tcPr>
          <w:p>
            <w:pPr>
              <w:pStyle w:val="178"/>
              <w:rPr>
                <w:rFonts w:ascii="黑体" w:hAnsi="黑体" w:eastAsia="黑体"/>
              </w:rPr>
            </w:pPr>
          </w:p>
        </w:tc>
        <w:tc>
          <w:tcPr>
            <w:tcW w:w="1333" w:type="dxa"/>
            <w:vMerge w:val="restart"/>
            <w:shd w:val="clear" w:color="auto" w:fill="auto"/>
            <w:vAlign w:val="center"/>
          </w:tcPr>
          <w:p>
            <w:pPr>
              <w:autoSpaceDE w:val="0"/>
              <w:jc w:val="center"/>
              <w:rPr>
                <w:rFonts w:ascii="黑体" w:hAnsi="黑体" w:eastAsia="黑体"/>
              </w:rPr>
            </w:pPr>
            <w:r>
              <w:rPr>
                <w:rFonts w:hint="eastAsia" w:ascii="黑体" w:hAnsi="黑体" w:eastAsia="黑体"/>
              </w:rPr>
              <w:t>N</w:t>
            </w:r>
            <w:r>
              <w:rPr>
                <w:rFonts w:hint="eastAsia" w:ascii="黑体" w:hAnsi="黑体" w:eastAsia="黑体"/>
                <w:vertAlign w:val="subscript"/>
              </w:rPr>
              <w:t>63.5</w:t>
            </w:r>
            <w:r>
              <w:rPr>
                <w:rFonts w:hint="eastAsia" w:ascii="黑体" w:hAnsi="黑体" w:eastAsia="黑体"/>
              </w:rPr>
              <w:t>＞10</w:t>
            </w:r>
          </w:p>
        </w:tc>
        <w:tc>
          <w:tcPr>
            <w:tcW w:w="5336" w:type="dxa"/>
            <w:gridSpan w:val="4"/>
            <w:shd w:val="clear" w:color="auto" w:fill="auto"/>
            <w:vAlign w:val="center"/>
          </w:tcPr>
          <w:p>
            <w:pPr>
              <w:autoSpaceDE w:val="0"/>
              <w:jc w:val="center"/>
              <w:rPr>
                <w:rFonts w:ascii="黑体" w:hAnsi="黑体" w:eastAsia="黑体"/>
              </w:rPr>
            </w:pPr>
            <w:r>
              <w:rPr>
                <w:rFonts w:hint="eastAsia" w:ascii="黑体" w:hAnsi="黑体" w:eastAsia="黑体"/>
              </w:rPr>
              <w:t>6000～9000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shd w:val="clear" w:color="auto" w:fill="auto"/>
            <w:vAlign w:val="center"/>
          </w:tcPr>
          <w:p>
            <w:pPr>
              <w:autoSpaceDE w:val="0"/>
              <w:spacing w:line="360" w:lineRule="exact"/>
              <w:jc w:val="center"/>
              <w:rPr>
                <w:rFonts w:ascii="黑体" w:hAnsi="黑体" w:eastAsia="黑体"/>
              </w:rPr>
            </w:pPr>
            <w:r>
              <w:rPr>
                <w:rFonts w:hint="eastAsia" w:ascii="黑体" w:hAnsi="黑体" w:eastAsia="黑体"/>
              </w:rPr>
              <w:t>强风化硬质岩</w:t>
            </w:r>
          </w:p>
        </w:tc>
        <w:tc>
          <w:tcPr>
            <w:tcW w:w="1333" w:type="dxa"/>
            <w:shd w:val="clear" w:color="auto" w:fill="auto"/>
            <w:vAlign w:val="center"/>
          </w:tcPr>
          <w:p>
            <w:pPr>
              <w:pStyle w:val="178"/>
              <w:rPr>
                <w:rFonts w:ascii="黑体" w:hAnsi="黑体" w:eastAsia="黑体"/>
              </w:rPr>
            </w:pPr>
          </w:p>
        </w:tc>
        <w:tc>
          <w:tcPr>
            <w:tcW w:w="1333" w:type="dxa"/>
            <w:vMerge w:val="continue"/>
            <w:shd w:val="clear" w:color="auto" w:fill="auto"/>
            <w:vAlign w:val="center"/>
          </w:tcPr>
          <w:p>
            <w:pPr>
              <w:pStyle w:val="178"/>
              <w:rPr>
                <w:rFonts w:ascii="黑体" w:hAnsi="黑体" w:eastAsia="黑体"/>
              </w:rPr>
            </w:pPr>
          </w:p>
        </w:tc>
        <w:tc>
          <w:tcPr>
            <w:tcW w:w="5336" w:type="dxa"/>
            <w:gridSpan w:val="4"/>
            <w:shd w:val="clear" w:color="auto" w:fill="auto"/>
            <w:vAlign w:val="center"/>
          </w:tcPr>
          <w:p>
            <w:pPr>
              <w:autoSpaceDE w:val="0"/>
              <w:jc w:val="center"/>
              <w:rPr>
                <w:rFonts w:ascii="黑体" w:hAnsi="黑体" w:eastAsia="黑体"/>
              </w:rPr>
            </w:pPr>
            <w:r>
              <w:rPr>
                <w:rFonts w:hint="eastAsia" w:ascii="黑体" w:hAnsi="黑体" w:eastAsia="黑体"/>
              </w:rPr>
              <w:t>7000～11000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32" w:type="dxa"/>
            <w:shd w:val="clear" w:color="auto" w:fill="auto"/>
            <w:vAlign w:val="center"/>
          </w:tcPr>
          <w:p>
            <w:pPr>
              <w:autoSpaceDE w:val="0"/>
              <w:spacing w:line="360" w:lineRule="exact"/>
              <w:jc w:val="center"/>
              <w:rPr>
                <w:rFonts w:ascii="黑体" w:hAnsi="黑体" w:eastAsia="黑体"/>
              </w:rPr>
            </w:pPr>
            <w:r>
              <w:rPr>
                <w:rFonts w:hint="eastAsia" w:ascii="黑体" w:hAnsi="黑体" w:eastAsia="黑体"/>
              </w:rPr>
              <w:t>中风化软质岩</w:t>
            </w:r>
          </w:p>
        </w:tc>
        <w:tc>
          <w:tcPr>
            <w:tcW w:w="1333" w:type="dxa"/>
            <w:shd w:val="clear" w:color="auto" w:fill="auto"/>
            <w:vAlign w:val="center"/>
          </w:tcPr>
          <w:p>
            <w:pPr>
              <w:pStyle w:val="178"/>
              <w:rPr>
                <w:rFonts w:ascii="黑体" w:hAnsi="黑体" w:eastAsia="黑体"/>
              </w:rPr>
            </w:pPr>
          </w:p>
        </w:tc>
        <w:tc>
          <w:tcPr>
            <w:tcW w:w="1333" w:type="dxa"/>
            <w:vMerge w:val="continue"/>
            <w:shd w:val="clear" w:color="auto" w:fill="auto"/>
            <w:vAlign w:val="center"/>
          </w:tcPr>
          <w:p>
            <w:pPr>
              <w:pStyle w:val="178"/>
              <w:rPr>
                <w:rFonts w:ascii="黑体" w:hAnsi="黑体" w:eastAsia="黑体"/>
              </w:rPr>
            </w:pPr>
          </w:p>
        </w:tc>
        <w:tc>
          <w:tcPr>
            <w:tcW w:w="5336" w:type="dxa"/>
            <w:gridSpan w:val="4"/>
            <w:shd w:val="clear" w:color="auto" w:fill="auto"/>
            <w:vAlign w:val="center"/>
          </w:tcPr>
          <w:p>
            <w:pPr>
              <w:autoSpaceDE w:val="0"/>
              <w:jc w:val="center"/>
              <w:rPr>
                <w:rFonts w:ascii="黑体" w:hAnsi="黑体" w:eastAsia="黑体"/>
              </w:rPr>
            </w:pPr>
            <w:r>
              <w:rPr>
                <w:rFonts w:hint="eastAsia" w:ascii="黑体" w:hAnsi="黑体" w:eastAsia="黑体"/>
              </w:rPr>
              <w:t>9000~13000</w:t>
            </w:r>
          </w:p>
        </w:tc>
      </w:tr>
    </w:tbl>
    <w:p>
      <w:pPr>
        <w:pStyle w:val="180"/>
        <w:numPr>
          <w:ilvl w:val="0"/>
          <w:numId w:val="32"/>
        </w:numPr>
        <w:rPr>
          <w:rFonts w:ascii="黑体" w:hAnsi="黑体" w:eastAsia="黑体"/>
          <w:kern w:val="2"/>
          <w:sz w:val="21"/>
          <w:szCs w:val="21"/>
        </w:rPr>
      </w:pPr>
      <w:r>
        <w:rPr>
          <w:rFonts w:hint="eastAsia" w:ascii="黑体" w:hAnsi="黑体" w:eastAsia="黑体"/>
        </w:rPr>
        <w:t>砂土和碎石土中桩的极限端阻力取值，宜综合考虑土的密实度，桩端进入持力层深径比</w:t>
      </w:r>
      <w:r>
        <w:rPr>
          <w:rFonts w:ascii="黑体" w:hAnsi="黑体" w:eastAsia="黑体"/>
        </w:rPr>
        <w:drawing>
          <wp:inline distT="0" distB="0" distL="0" distR="0">
            <wp:extent cx="382270" cy="231775"/>
            <wp:effectExtent l="0" t="0" r="0" b="0"/>
            <wp:docPr id="215" name="图片 215" descr="C:\Users\ADMINI~1\AppData\Local\Temp\ksohtml9220\wps96.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5" name="图片 215" descr="C:\Users\ADMINI~1\AppData\Local\Temp\ksohtml9220\wps96.png"/>
                    <pic:cNvPicPr>
                      <a:picLocks noChangeAspect="true" noChangeArrowheads="true"/>
                    </pic:cNvPicPr>
                  </pic:nvPicPr>
                  <pic:blipFill>
                    <a:blip r:embed="rId103">
                      <a:extLst>
                        <a:ext uri="{28A0092B-C50C-407E-A947-70E740481C1C}">
                          <a14:useLocalDpi xmlns:a14="http://schemas.microsoft.com/office/drawing/2010/main" val="false"/>
                        </a:ext>
                      </a:extLst>
                    </a:blip>
                    <a:srcRect/>
                    <a:stretch>
                      <a:fillRect/>
                    </a:stretch>
                  </pic:blipFill>
                  <pic:spPr>
                    <a:xfrm>
                      <a:off x="0" y="0"/>
                      <a:ext cx="382270" cy="231775"/>
                    </a:xfrm>
                    <a:prstGeom prst="rect">
                      <a:avLst/>
                    </a:prstGeom>
                    <a:noFill/>
                    <a:ln>
                      <a:noFill/>
                    </a:ln>
                  </pic:spPr>
                </pic:pic>
              </a:graphicData>
            </a:graphic>
          </wp:inline>
        </w:drawing>
      </w:r>
      <w:r>
        <w:rPr>
          <w:rFonts w:hint="eastAsia" w:ascii="黑体" w:hAnsi="黑体" w:eastAsia="黑体"/>
        </w:rPr>
        <w:t>，土愈密实，</w:t>
      </w:r>
      <w:r>
        <w:rPr>
          <w:rFonts w:ascii="黑体" w:hAnsi="黑体" w:eastAsia="黑体"/>
        </w:rPr>
        <w:drawing>
          <wp:inline distT="0" distB="0" distL="0" distR="0">
            <wp:extent cx="382270" cy="231775"/>
            <wp:effectExtent l="0" t="0" r="0" b="0"/>
            <wp:docPr id="214" name="图片 214" descr="C:\Users\ADMINI~1\AppData\Local\Temp\ksohtml9220\wps97.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4" name="图片 214" descr="C:\Users\ADMINI~1\AppData\Local\Temp\ksohtml9220\wps97.png"/>
                    <pic:cNvPicPr>
                      <a:picLocks noChangeAspect="true" noChangeArrowheads="true"/>
                    </pic:cNvPicPr>
                  </pic:nvPicPr>
                  <pic:blipFill>
                    <a:blip r:embed="rId103">
                      <a:extLst>
                        <a:ext uri="{28A0092B-C50C-407E-A947-70E740481C1C}">
                          <a14:useLocalDpi xmlns:a14="http://schemas.microsoft.com/office/drawing/2010/main" val="false"/>
                        </a:ext>
                      </a:extLst>
                    </a:blip>
                    <a:srcRect/>
                    <a:stretch>
                      <a:fillRect/>
                    </a:stretch>
                  </pic:blipFill>
                  <pic:spPr>
                    <a:xfrm>
                      <a:off x="0" y="0"/>
                      <a:ext cx="382270" cy="231775"/>
                    </a:xfrm>
                    <a:prstGeom prst="rect">
                      <a:avLst/>
                    </a:prstGeom>
                    <a:noFill/>
                    <a:ln>
                      <a:noFill/>
                    </a:ln>
                  </pic:spPr>
                </pic:pic>
              </a:graphicData>
            </a:graphic>
          </wp:inline>
        </w:drawing>
      </w:r>
      <w:r>
        <w:rPr>
          <w:rFonts w:hint="eastAsia" w:ascii="黑体" w:hAnsi="黑体" w:eastAsia="黑体"/>
        </w:rPr>
        <w:t>愈大，取值愈高；</w:t>
      </w:r>
    </w:p>
    <w:p>
      <w:pPr>
        <w:pStyle w:val="180"/>
        <w:numPr>
          <w:ilvl w:val="0"/>
          <w:numId w:val="32"/>
        </w:numPr>
        <w:rPr>
          <w:rFonts w:ascii="黑体" w:hAnsi="黑体" w:eastAsia="黑体"/>
          <w:kern w:val="2"/>
          <w:sz w:val="21"/>
          <w:szCs w:val="21"/>
        </w:rPr>
      </w:pPr>
      <w:r>
        <w:rPr>
          <w:rFonts w:hint="eastAsia" w:ascii="黑体" w:hAnsi="黑体" w:eastAsia="黑体"/>
        </w:rPr>
        <w:t>螺杆灌注桩的岩石极限端阻力指桩端支承进入全风化岩、强风化岩、中风化软质岩一定深度条件下极限端阻力；</w:t>
      </w:r>
    </w:p>
    <w:p>
      <w:pPr>
        <w:pStyle w:val="180"/>
        <w:numPr>
          <w:ilvl w:val="0"/>
          <w:numId w:val="32"/>
        </w:numPr>
        <w:rPr>
          <w:rFonts w:ascii="黑体" w:hAnsi="黑体" w:eastAsia="黑体"/>
          <w:kern w:val="2"/>
          <w:sz w:val="21"/>
          <w:szCs w:val="21"/>
        </w:rPr>
      </w:pPr>
      <w:r>
        <w:rPr>
          <w:rFonts w:hint="eastAsia" w:ascii="黑体" w:hAnsi="黑体" w:eastAsia="黑体"/>
        </w:rPr>
        <w:t>软质岩和硬质岩指其母岩分别为f</w:t>
      </w:r>
      <w:r>
        <w:rPr>
          <w:rFonts w:hint="eastAsia" w:ascii="黑体" w:hAnsi="黑体" w:eastAsia="黑体"/>
          <w:vertAlign w:val="subscript"/>
        </w:rPr>
        <w:t>rk</w:t>
      </w:r>
      <w:r>
        <w:rPr>
          <w:rFonts w:hint="eastAsia" w:ascii="黑体" w:hAnsi="黑体" w:eastAsia="黑体"/>
        </w:rPr>
        <w:t>≤15MPa、f</w:t>
      </w:r>
      <w:r>
        <w:rPr>
          <w:rFonts w:hint="eastAsia" w:ascii="黑体" w:hAnsi="黑体" w:eastAsia="黑体"/>
          <w:vertAlign w:val="subscript"/>
        </w:rPr>
        <w:t>rk</w:t>
      </w:r>
      <w:r>
        <w:rPr>
          <w:rFonts w:hint="eastAsia" w:ascii="黑体" w:hAnsi="黑体" w:eastAsia="黑体"/>
        </w:rPr>
        <w:t>＞30MPa的岩石。</w:t>
      </w:r>
    </w:p>
    <w:p>
      <w:pPr>
        <w:pStyle w:val="180"/>
        <w:numPr>
          <w:ilvl w:val="0"/>
          <w:numId w:val="0"/>
        </w:numPr>
        <w:ind w:left="811"/>
        <w:rPr>
          <w:rFonts w:ascii="黑体" w:hAnsi="黑体" w:eastAsia="黑体"/>
          <w:kern w:val="2"/>
          <w:sz w:val="21"/>
          <w:szCs w:val="21"/>
        </w:rPr>
      </w:pPr>
    </w:p>
    <w:p>
      <w:pPr>
        <w:pStyle w:val="112"/>
        <w:spacing w:before="156" w:after="156"/>
        <w:rPr>
          <w:rFonts w:hAnsi="黑体"/>
          <w:kern w:val="2"/>
          <w:szCs w:val="21"/>
        </w:rPr>
      </w:pPr>
      <w:r>
        <w:rPr>
          <w:rFonts w:hint="eastAsia" w:hAnsi="黑体"/>
        </w:rPr>
        <w:t>螺杆灌注桩螺纹段的极限侧阻力增强系数</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110"/>
        <w:gridCol w:w="3112"/>
        <w:gridCol w:w="31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3110" w:type="dxa"/>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土的名称</w:t>
            </w:r>
          </w:p>
        </w:tc>
        <w:tc>
          <w:tcPr>
            <w:tcW w:w="3112" w:type="dxa"/>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土的状态</w:t>
            </w:r>
          </w:p>
        </w:tc>
        <w:tc>
          <w:tcPr>
            <w:tcW w:w="3112" w:type="dxa"/>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桩侧阻力提高系数</w:t>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pict>
                <v:shape id="_x0000_i1037" o:spt="75" type="#_x0000_t75" style="height:18.25pt;width:13.95pt;" filled="f" o:preferrelative="t" stroked="f" coordsize="21600,21600">
                  <v:path/>
                  <v:fill on="f" focussize="0,0"/>
                  <v:stroke on="f" joinstyle="miter"/>
                  <v:imagedata r:id="rId67" r:href="rId104" o:title=""/>
                  <o:lock v:ext="edit" aspectratio="t"/>
                  <w10:wrap type="none"/>
                  <w10:anchorlock/>
                </v:shape>
              </w:pict>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restart"/>
            <w:tcBorders>
              <w:top w:val="single" w:color="auto" w:sz="8" w:space="0"/>
            </w:tcBorders>
            <w:shd w:val="clear" w:color="auto" w:fill="auto"/>
            <w:vAlign w:val="center"/>
          </w:tcPr>
          <w:p>
            <w:pPr>
              <w:pStyle w:val="178"/>
              <w:rPr>
                <w:rFonts w:ascii="黑体" w:hAnsi="黑体" w:eastAsia="黑体"/>
              </w:rPr>
            </w:pPr>
            <w:r>
              <w:rPr>
                <w:rFonts w:hint="eastAsia" w:ascii="黑体" w:hAnsi="黑体" w:eastAsia="黑体"/>
              </w:rPr>
              <w:t>黏性土</w:t>
            </w:r>
          </w:p>
        </w:tc>
        <w:tc>
          <w:tcPr>
            <w:tcW w:w="3112" w:type="dxa"/>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软塑</w:t>
            </w:r>
          </w:p>
        </w:tc>
        <w:tc>
          <w:tcPr>
            <w:tcW w:w="3112" w:type="dxa"/>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1.2~1.5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shd w:val="clear" w:color="auto" w:fill="auto"/>
            <w:vAlign w:val="center"/>
          </w:tcPr>
          <w:p>
            <w:pPr>
              <w:pStyle w:val="178"/>
              <w:rPr>
                <w:rFonts w:ascii="黑体" w:hAnsi="黑体" w:eastAsia="黑体"/>
              </w:rPr>
            </w:pPr>
          </w:p>
        </w:tc>
        <w:tc>
          <w:tcPr>
            <w:tcW w:w="3112" w:type="dxa"/>
            <w:shd w:val="clear" w:color="auto" w:fill="auto"/>
            <w:vAlign w:val="center"/>
          </w:tcPr>
          <w:p>
            <w:pPr>
              <w:jc w:val="center"/>
              <w:rPr>
                <w:rFonts w:ascii="黑体" w:hAnsi="黑体" w:eastAsia="黑体"/>
              </w:rPr>
            </w:pPr>
            <w:r>
              <w:rPr>
                <w:rFonts w:hint="eastAsia" w:ascii="黑体" w:hAnsi="黑体" w:eastAsia="黑体"/>
              </w:rPr>
              <w:t>可塑</w:t>
            </w:r>
          </w:p>
        </w:tc>
        <w:tc>
          <w:tcPr>
            <w:tcW w:w="3112" w:type="dxa"/>
            <w:shd w:val="clear" w:color="auto" w:fill="auto"/>
            <w:vAlign w:val="center"/>
          </w:tcPr>
          <w:p>
            <w:pPr>
              <w:jc w:val="center"/>
              <w:rPr>
                <w:rFonts w:ascii="黑体" w:hAnsi="黑体" w:eastAsia="黑体"/>
              </w:rPr>
            </w:pPr>
            <w:r>
              <w:rPr>
                <w:rFonts w:hint="eastAsia" w:ascii="黑体" w:hAnsi="黑体" w:eastAsia="黑体"/>
              </w:rPr>
              <w:t>1.5~1.6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110" w:type="dxa"/>
            <w:vMerge w:val="continue"/>
            <w:shd w:val="clear" w:color="auto" w:fill="auto"/>
            <w:vAlign w:val="center"/>
          </w:tcPr>
          <w:p>
            <w:pPr>
              <w:pStyle w:val="178"/>
              <w:rPr>
                <w:rFonts w:ascii="黑体" w:hAnsi="黑体" w:eastAsia="黑体"/>
              </w:rPr>
            </w:pPr>
          </w:p>
        </w:tc>
        <w:tc>
          <w:tcPr>
            <w:tcW w:w="3112" w:type="dxa"/>
            <w:shd w:val="clear" w:color="auto" w:fill="auto"/>
            <w:vAlign w:val="center"/>
          </w:tcPr>
          <w:p>
            <w:pPr>
              <w:jc w:val="center"/>
              <w:rPr>
                <w:rFonts w:ascii="黑体" w:hAnsi="黑体" w:eastAsia="黑体"/>
              </w:rPr>
            </w:pPr>
            <w:r>
              <w:rPr>
                <w:rFonts w:hint="eastAsia" w:ascii="黑体" w:hAnsi="黑体" w:eastAsia="黑体"/>
              </w:rPr>
              <w:t>硬塑、坚硬</w:t>
            </w:r>
          </w:p>
        </w:tc>
        <w:tc>
          <w:tcPr>
            <w:tcW w:w="3112" w:type="dxa"/>
            <w:shd w:val="clear" w:color="auto" w:fill="auto"/>
            <w:vAlign w:val="center"/>
          </w:tcPr>
          <w:p>
            <w:pPr>
              <w:jc w:val="center"/>
              <w:rPr>
                <w:rFonts w:ascii="黑体" w:hAnsi="黑体" w:eastAsia="黑体"/>
              </w:rPr>
            </w:pPr>
            <w:r>
              <w:rPr>
                <w:rFonts w:hint="eastAsia" w:ascii="黑体" w:hAnsi="黑体" w:eastAsia="黑体"/>
              </w:rPr>
              <w:t>1.3~1.8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restart"/>
            <w:shd w:val="clear" w:color="auto" w:fill="auto"/>
            <w:vAlign w:val="center"/>
          </w:tcPr>
          <w:p>
            <w:pPr>
              <w:pStyle w:val="178"/>
              <w:rPr>
                <w:rFonts w:ascii="黑体" w:hAnsi="黑体" w:eastAsia="黑体"/>
              </w:rPr>
            </w:pPr>
            <w:r>
              <w:rPr>
                <w:rFonts w:hint="eastAsia" w:ascii="黑体" w:hAnsi="黑体" w:eastAsia="黑体"/>
              </w:rPr>
              <w:t>粉土</w:t>
            </w:r>
          </w:p>
        </w:tc>
        <w:tc>
          <w:tcPr>
            <w:tcW w:w="3112" w:type="dxa"/>
            <w:shd w:val="clear" w:color="auto" w:fill="auto"/>
            <w:vAlign w:val="center"/>
          </w:tcPr>
          <w:p>
            <w:pPr>
              <w:jc w:val="center"/>
              <w:rPr>
                <w:rFonts w:ascii="黑体" w:hAnsi="黑体" w:eastAsia="黑体"/>
              </w:rPr>
            </w:pPr>
            <w:r>
              <w:rPr>
                <w:rFonts w:hint="eastAsia" w:ascii="黑体" w:hAnsi="黑体" w:eastAsia="黑体"/>
              </w:rPr>
              <w:t>稍密</w:t>
            </w:r>
          </w:p>
        </w:tc>
        <w:tc>
          <w:tcPr>
            <w:tcW w:w="3112" w:type="dxa"/>
            <w:shd w:val="clear" w:color="auto" w:fill="auto"/>
            <w:vAlign w:val="center"/>
          </w:tcPr>
          <w:p>
            <w:pPr>
              <w:jc w:val="center"/>
              <w:rPr>
                <w:rFonts w:ascii="黑体" w:hAnsi="黑体" w:eastAsia="黑体"/>
              </w:rPr>
            </w:pPr>
            <w:r>
              <w:rPr>
                <w:rFonts w:hint="eastAsia" w:ascii="黑体" w:hAnsi="黑体" w:eastAsia="黑体"/>
              </w:rPr>
              <w:t>1.5~1.8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shd w:val="clear" w:color="auto" w:fill="auto"/>
            <w:vAlign w:val="center"/>
          </w:tcPr>
          <w:p>
            <w:pPr>
              <w:pStyle w:val="178"/>
              <w:rPr>
                <w:rFonts w:ascii="黑体" w:hAnsi="黑体" w:eastAsia="黑体"/>
              </w:rPr>
            </w:pPr>
          </w:p>
        </w:tc>
        <w:tc>
          <w:tcPr>
            <w:tcW w:w="3112" w:type="dxa"/>
            <w:shd w:val="clear" w:color="auto" w:fill="auto"/>
            <w:vAlign w:val="center"/>
          </w:tcPr>
          <w:p>
            <w:pPr>
              <w:jc w:val="center"/>
              <w:rPr>
                <w:rFonts w:ascii="黑体" w:hAnsi="黑体" w:eastAsia="黑体"/>
              </w:rPr>
            </w:pPr>
            <w:r>
              <w:rPr>
                <w:rFonts w:hint="eastAsia" w:ascii="黑体" w:hAnsi="黑体" w:eastAsia="黑体"/>
              </w:rPr>
              <w:t>中密</w:t>
            </w:r>
          </w:p>
        </w:tc>
        <w:tc>
          <w:tcPr>
            <w:tcW w:w="3112" w:type="dxa"/>
            <w:shd w:val="clear" w:color="auto" w:fill="auto"/>
            <w:vAlign w:val="center"/>
          </w:tcPr>
          <w:p>
            <w:pPr>
              <w:jc w:val="center"/>
              <w:rPr>
                <w:rFonts w:ascii="黑体" w:hAnsi="黑体" w:eastAsia="黑体"/>
              </w:rPr>
            </w:pPr>
            <w:r>
              <w:rPr>
                <w:rFonts w:hint="eastAsia" w:ascii="黑体" w:hAnsi="黑体" w:eastAsia="黑体"/>
              </w:rPr>
              <w:t>1.6~2.0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shd w:val="clear" w:color="auto" w:fill="auto"/>
            <w:vAlign w:val="center"/>
          </w:tcPr>
          <w:p>
            <w:pPr>
              <w:pStyle w:val="178"/>
              <w:rPr>
                <w:rFonts w:ascii="黑体" w:hAnsi="黑体" w:eastAsia="黑体"/>
              </w:rPr>
            </w:pPr>
          </w:p>
        </w:tc>
        <w:tc>
          <w:tcPr>
            <w:tcW w:w="3112" w:type="dxa"/>
            <w:shd w:val="clear" w:color="auto" w:fill="auto"/>
            <w:vAlign w:val="center"/>
          </w:tcPr>
          <w:p>
            <w:pPr>
              <w:jc w:val="center"/>
              <w:rPr>
                <w:rFonts w:ascii="黑体" w:hAnsi="黑体" w:eastAsia="黑体"/>
              </w:rPr>
            </w:pPr>
            <w:r>
              <w:rPr>
                <w:rFonts w:hint="eastAsia" w:ascii="黑体" w:hAnsi="黑体" w:eastAsia="黑体"/>
              </w:rPr>
              <w:t>密实</w:t>
            </w:r>
          </w:p>
        </w:tc>
        <w:tc>
          <w:tcPr>
            <w:tcW w:w="3112" w:type="dxa"/>
            <w:shd w:val="clear" w:color="auto" w:fill="auto"/>
            <w:vAlign w:val="center"/>
          </w:tcPr>
          <w:p>
            <w:pPr>
              <w:jc w:val="center"/>
              <w:rPr>
                <w:rFonts w:ascii="黑体" w:hAnsi="黑体" w:eastAsia="黑体"/>
              </w:rPr>
            </w:pPr>
            <w:r>
              <w:rPr>
                <w:rFonts w:hint="eastAsia" w:ascii="黑体" w:hAnsi="黑体" w:eastAsia="黑体"/>
              </w:rPr>
              <w:t>1.3~1.7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110" w:type="dxa"/>
            <w:vMerge w:val="restart"/>
            <w:shd w:val="clear" w:color="auto" w:fill="auto"/>
            <w:vAlign w:val="center"/>
          </w:tcPr>
          <w:p>
            <w:pPr>
              <w:pStyle w:val="178"/>
              <w:ind w:firstLine="0" w:firstLineChars="0"/>
              <w:rPr>
                <w:rFonts w:ascii="黑体" w:hAnsi="黑体" w:eastAsia="黑体"/>
              </w:rPr>
            </w:pPr>
            <w:r>
              <w:rPr>
                <w:rFonts w:hint="eastAsia" w:ascii="黑体" w:hAnsi="黑体" w:eastAsia="黑体"/>
              </w:rPr>
              <w:t>粉砂、细砂</w:t>
            </w:r>
          </w:p>
        </w:tc>
        <w:tc>
          <w:tcPr>
            <w:tcW w:w="3112" w:type="dxa"/>
            <w:shd w:val="clear" w:color="auto" w:fill="auto"/>
            <w:vAlign w:val="center"/>
          </w:tcPr>
          <w:p>
            <w:pPr>
              <w:jc w:val="center"/>
              <w:rPr>
                <w:rFonts w:hint="eastAsia" w:ascii="黑体" w:hAnsi="黑体" w:eastAsia="黑体"/>
              </w:rPr>
            </w:pPr>
            <w:r>
              <w:rPr>
                <w:rFonts w:hint="eastAsia" w:ascii="黑体" w:hAnsi="黑体" w:eastAsia="黑体"/>
              </w:rPr>
              <w:t>稍密</w:t>
            </w:r>
          </w:p>
        </w:tc>
        <w:tc>
          <w:tcPr>
            <w:tcW w:w="3112" w:type="dxa"/>
            <w:shd w:val="clear" w:color="auto" w:fill="auto"/>
            <w:vAlign w:val="center"/>
          </w:tcPr>
          <w:p>
            <w:pPr>
              <w:jc w:val="center"/>
              <w:rPr>
                <w:rFonts w:hint="eastAsia" w:ascii="黑体" w:hAnsi="黑体" w:eastAsia="黑体"/>
              </w:rPr>
            </w:pPr>
            <w:r>
              <w:rPr>
                <w:rFonts w:hint="eastAsia" w:ascii="黑体" w:hAnsi="黑体" w:eastAsia="黑体"/>
              </w:rPr>
              <w:t>1.6~1.9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shd w:val="clear" w:color="auto" w:fill="auto"/>
            <w:vAlign w:val="center"/>
          </w:tcPr>
          <w:p>
            <w:pPr>
              <w:pStyle w:val="178"/>
              <w:ind w:firstLine="0" w:firstLineChars="0"/>
              <w:rPr>
                <w:rFonts w:ascii="黑体" w:hAnsi="黑体" w:eastAsia="黑体"/>
              </w:rPr>
            </w:pPr>
          </w:p>
        </w:tc>
        <w:tc>
          <w:tcPr>
            <w:tcW w:w="3112" w:type="dxa"/>
            <w:shd w:val="clear" w:color="auto" w:fill="auto"/>
            <w:vAlign w:val="center"/>
          </w:tcPr>
          <w:p>
            <w:pPr>
              <w:jc w:val="center"/>
              <w:rPr>
                <w:rFonts w:hint="eastAsia" w:ascii="黑体" w:hAnsi="黑体" w:eastAsia="黑体"/>
              </w:rPr>
            </w:pPr>
            <w:r>
              <w:rPr>
                <w:rFonts w:hint="eastAsia" w:ascii="黑体" w:hAnsi="黑体" w:eastAsia="黑体"/>
              </w:rPr>
              <w:t>中密</w:t>
            </w:r>
          </w:p>
        </w:tc>
        <w:tc>
          <w:tcPr>
            <w:tcW w:w="3112" w:type="dxa"/>
            <w:shd w:val="clear" w:color="auto" w:fill="auto"/>
            <w:vAlign w:val="center"/>
          </w:tcPr>
          <w:p>
            <w:pPr>
              <w:jc w:val="center"/>
              <w:rPr>
                <w:rFonts w:hint="eastAsia" w:ascii="黑体" w:hAnsi="黑体" w:eastAsia="黑体"/>
              </w:rPr>
            </w:pPr>
            <w:r>
              <w:rPr>
                <w:rFonts w:hint="eastAsia" w:ascii="黑体" w:hAnsi="黑体" w:eastAsia="黑体"/>
              </w:rPr>
              <w:t>1.6~2.0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shd w:val="clear" w:color="auto" w:fill="auto"/>
            <w:vAlign w:val="center"/>
          </w:tcPr>
          <w:p>
            <w:pPr>
              <w:pStyle w:val="178"/>
              <w:ind w:firstLine="0" w:firstLineChars="0"/>
              <w:rPr>
                <w:rFonts w:ascii="黑体" w:hAnsi="黑体" w:eastAsia="黑体"/>
              </w:rPr>
            </w:pPr>
          </w:p>
        </w:tc>
        <w:tc>
          <w:tcPr>
            <w:tcW w:w="3112" w:type="dxa"/>
            <w:shd w:val="clear" w:color="auto" w:fill="auto"/>
            <w:vAlign w:val="center"/>
          </w:tcPr>
          <w:p>
            <w:pPr>
              <w:jc w:val="center"/>
              <w:rPr>
                <w:rFonts w:hint="eastAsia" w:ascii="黑体" w:hAnsi="黑体" w:eastAsia="黑体"/>
              </w:rPr>
            </w:pPr>
            <w:r>
              <w:rPr>
                <w:rFonts w:hint="eastAsia" w:ascii="黑体" w:hAnsi="黑体" w:eastAsia="黑体"/>
              </w:rPr>
              <w:t>密实</w:t>
            </w:r>
          </w:p>
        </w:tc>
        <w:tc>
          <w:tcPr>
            <w:tcW w:w="3112" w:type="dxa"/>
            <w:shd w:val="clear" w:color="auto" w:fill="auto"/>
            <w:vAlign w:val="center"/>
          </w:tcPr>
          <w:p>
            <w:pPr>
              <w:jc w:val="center"/>
              <w:rPr>
                <w:rFonts w:hint="eastAsia" w:ascii="黑体" w:hAnsi="黑体" w:eastAsia="黑体"/>
              </w:rPr>
            </w:pPr>
            <w:r>
              <w:rPr>
                <w:rFonts w:hint="eastAsia" w:ascii="黑体" w:hAnsi="黑体" w:eastAsia="黑体"/>
              </w:rPr>
              <w:t>1.4~1.8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restart"/>
            <w:shd w:val="clear" w:color="auto" w:fill="auto"/>
            <w:vAlign w:val="center"/>
          </w:tcPr>
          <w:p>
            <w:pPr>
              <w:pStyle w:val="178"/>
              <w:ind w:firstLine="0" w:firstLineChars="0"/>
              <w:rPr>
                <w:rFonts w:ascii="黑体" w:hAnsi="黑体" w:eastAsia="黑体"/>
              </w:rPr>
            </w:pPr>
            <w:r>
              <w:rPr>
                <w:rFonts w:hint="eastAsia" w:ascii="黑体" w:hAnsi="黑体" w:eastAsia="黑体"/>
              </w:rPr>
              <w:t>中砂</w:t>
            </w:r>
          </w:p>
        </w:tc>
        <w:tc>
          <w:tcPr>
            <w:tcW w:w="3112" w:type="dxa"/>
            <w:shd w:val="clear" w:color="auto" w:fill="auto"/>
            <w:vAlign w:val="center"/>
          </w:tcPr>
          <w:p>
            <w:pPr>
              <w:jc w:val="center"/>
              <w:rPr>
                <w:rFonts w:hint="eastAsia" w:ascii="黑体" w:hAnsi="黑体" w:eastAsia="黑体"/>
              </w:rPr>
            </w:pPr>
            <w:r>
              <w:rPr>
                <w:rFonts w:hint="eastAsia" w:ascii="黑体" w:hAnsi="黑体" w:eastAsia="黑体"/>
              </w:rPr>
              <w:t>中密</w:t>
            </w:r>
          </w:p>
        </w:tc>
        <w:tc>
          <w:tcPr>
            <w:tcW w:w="3112" w:type="dxa"/>
            <w:shd w:val="clear" w:color="auto" w:fill="auto"/>
            <w:vAlign w:val="center"/>
          </w:tcPr>
          <w:p>
            <w:pPr>
              <w:jc w:val="center"/>
              <w:rPr>
                <w:rFonts w:hint="eastAsia" w:ascii="黑体" w:hAnsi="黑体" w:eastAsia="黑体"/>
              </w:rPr>
            </w:pPr>
            <w:r>
              <w:rPr>
                <w:rFonts w:hint="eastAsia" w:ascii="黑体" w:hAnsi="黑体" w:eastAsia="黑体"/>
              </w:rPr>
              <w:t>1.6~2.0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110" w:type="dxa"/>
            <w:vMerge w:val="continue"/>
            <w:shd w:val="clear" w:color="auto" w:fill="auto"/>
            <w:vAlign w:val="center"/>
          </w:tcPr>
          <w:p>
            <w:pPr>
              <w:pStyle w:val="178"/>
              <w:ind w:firstLine="0" w:firstLineChars="0"/>
              <w:rPr>
                <w:rFonts w:ascii="黑体" w:hAnsi="黑体" w:eastAsia="黑体"/>
              </w:rPr>
            </w:pPr>
          </w:p>
        </w:tc>
        <w:tc>
          <w:tcPr>
            <w:tcW w:w="3112" w:type="dxa"/>
            <w:shd w:val="clear" w:color="auto" w:fill="auto"/>
            <w:vAlign w:val="center"/>
          </w:tcPr>
          <w:p>
            <w:pPr>
              <w:jc w:val="center"/>
              <w:rPr>
                <w:rFonts w:hint="eastAsia" w:ascii="黑体" w:hAnsi="黑体" w:eastAsia="黑体"/>
              </w:rPr>
            </w:pPr>
            <w:r>
              <w:rPr>
                <w:rFonts w:hint="eastAsia" w:ascii="黑体" w:hAnsi="黑体" w:eastAsia="黑体"/>
              </w:rPr>
              <w:t>密实</w:t>
            </w:r>
          </w:p>
        </w:tc>
        <w:tc>
          <w:tcPr>
            <w:tcW w:w="3112" w:type="dxa"/>
            <w:shd w:val="clear" w:color="auto" w:fill="auto"/>
            <w:vAlign w:val="center"/>
          </w:tcPr>
          <w:p>
            <w:pPr>
              <w:jc w:val="center"/>
              <w:rPr>
                <w:rFonts w:hint="eastAsia" w:ascii="黑体" w:hAnsi="黑体" w:eastAsia="黑体"/>
              </w:rPr>
            </w:pPr>
            <w:r>
              <w:rPr>
                <w:rFonts w:hint="eastAsia" w:ascii="黑体" w:hAnsi="黑体" w:eastAsia="黑体"/>
              </w:rPr>
              <w:t>1.4~1.8</w:t>
            </w:r>
          </w:p>
        </w:tc>
      </w:tr>
    </w:tbl>
    <w:p>
      <w:pPr>
        <w:pStyle w:val="112"/>
        <w:numPr>
          <w:ilvl w:val="0"/>
          <w:numId w:val="0"/>
        </w:numPr>
        <w:spacing w:before="156" w:after="156"/>
        <w:rPr>
          <w:rFonts w:hAnsi="黑体"/>
        </w:rPr>
      </w:pPr>
      <w:r>
        <w:rPr>
          <w:rFonts w:hint="eastAsia" w:hAnsi="黑体"/>
        </w:rPr>
        <w:t>续表6</w:t>
      </w:r>
      <w:r>
        <w:rPr>
          <w:rFonts w:hAnsi="黑体"/>
        </w:rPr>
        <w:t xml:space="preserve">  </w:t>
      </w:r>
      <w:r>
        <w:rPr>
          <w:rFonts w:hint="eastAsia" w:hAnsi="黑体"/>
        </w:rPr>
        <w:t>螺杆灌注桩螺纹段的极限侧阻力增强系数</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110"/>
        <w:gridCol w:w="3112"/>
        <w:gridCol w:w="31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3110" w:type="dxa"/>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土的名称</w:t>
            </w:r>
          </w:p>
        </w:tc>
        <w:tc>
          <w:tcPr>
            <w:tcW w:w="3112" w:type="dxa"/>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土的状态</w:t>
            </w:r>
          </w:p>
        </w:tc>
        <w:tc>
          <w:tcPr>
            <w:tcW w:w="3112" w:type="dxa"/>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桩侧阻力提高系数</w:t>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pict>
                <v:shape id="_x0000_i1038" o:spt="75" type="#_x0000_t75" style="height:18.25pt;width:13.95pt;" filled="f" o:preferrelative="t" stroked="f" coordsize="21600,21600">
                  <v:path/>
                  <v:fill on="f" focussize="0,0"/>
                  <v:stroke on="f" joinstyle="miter"/>
                  <v:imagedata r:id="rId67" r:href="rId104" o:title=""/>
                  <o:lock v:ext="edit" aspectratio="t"/>
                  <w10:wrap type="none"/>
                  <w10:anchorlock/>
                </v:shape>
              </w:pict>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restart"/>
            <w:shd w:val="clear" w:color="auto" w:fill="auto"/>
            <w:vAlign w:val="center"/>
          </w:tcPr>
          <w:p>
            <w:pPr>
              <w:pStyle w:val="178"/>
              <w:rPr>
                <w:rFonts w:ascii="黑体" w:hAnsi="黑体" w:eastAsia="黑体"/>
              </w:rPr>
            </w:pPr>
            <w:r>
              <w:rPr>
                <w:rFonts w:hint="eastAsia" w:ascii="黑体" w:hAnsi="黑体" w:eastAsia="黑体"/>
              </w:rPr>
              <w:t>粗砂</w:t>
            </w:r>
          </w:p>
        </w:tc>
        <w:tc>
          <w:tcPr>
            <w:tcW w:w="3112" w:type="dxa"/>
            <w:shd w:val="clear" w:color="auto" w:fill="auto"/>
            <w:vAlign w:val="center"/>
          </w:tcPr>
          <w:p>
            <w:pPr>
              <w:jc w:val="center"/>
              <w:rPr>
                <w:rFonts w:ascii="黑体" w:hAnsi="黑体" w:eastAsia="黑体"/>
              </w:rPr>
            </w:pPr>
            <w:r>
              <w:rPr>
                <w:rFonts w:hint="eastAsia" w:ascii="黑体" w:hAnsi="黑体" w:eastAsia="黑体"/>
              </w:rPr>
              <w:t>稍密</w:t>
            </w:r>
          </w:p>
        </w:tc>
        <w:tc>
          <w:tcPr>
            <w:tcW w:w="3112" w:type="dxa"/>
            <w:shd w:val="clear" w:color="auto" w:fill="auto"/>
            <w:vAlign w:val="center"/>
          </w:tcPr>
          <w:p>
            <w:pPr>
              <w:jc w:val="center"/>
              <w:rPr>
                <w:rFonts w:ascii="黑体" w:hAnsi="黑体" w:eastAsia="黑体"/>
              </w:rPr>
            </w:pPr>
            <w:r>
              <w:rPr>
                <w:rFonts w:hint="eastAsia" w:ascii="黑体" w:hAnsi="黑体" w:eastAsia="黑体"/>
              </w:rPr>
              <w:t>1.0~1.4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shd w:val="clear" w:color="auto" w:fill="auto"/>
            <w:vAlign w:val="center"/>
          </w:tcPr>
          <w:p>
            <w:pPr>
              <w:pStyle w:val="178"/>
              <w:rPr>
                <w:rFonts w:ascii="黑体" w:hAnsi="黑体" w:eastAsia="黑体"/>
              </w:rPr>
            </w:pPr>
          </w:p>
        </w:tc>
        <w:tc>
          <w:tcPr>
            <w:tcW w:w="3112" w:type="dxa"/>
            <w:shd w:val="clear" w:color="auto" w:fill="auto"/>
            <w:vAlign w:val="center"/>
          </w:tcPr>
          <w:p>
            <w:pPr>
              <w:jc w:val="center"/>
              <w:rPr>
                <w:rFonts w:ascii="黑体" w:hAnsi="黑体" w:eastAsia="黑体"/>
              </w:rPr>
            </w:pPr>
            <w:r>
              <w:rPr>
                <w:rFonts w:hint="eastAsia" w:ascii="黑体" w:hAnsi="黑体" w:eastAsia="黑体"/>
              </w:rPr>
              <w:t>中密</w:t>
            </w:r>
          </w:p>
        </w:tc>
        <w:tc>
          <w:tcPr>
            <w:tcW w:w="3112" w:type="dxa"/>
            <w:shd w:val="clear" w:color="auto" w:fill="auto"/>
            <w:vAlign w:val="center"/>
          </w:tcPr>
          <w:p>
            <w:pPr>
              <w:jc w:val="center"/>
              <w:rPr>
                <w:rFonts w:ascii="黑体" w:hAnsi="黑体" w:eastAsia="黑体"/>
              </w:rPr>
            </w:pPr>
            <w:r>
              <w:rPr>
                <w:rFonts w:hint="eastAsia" w:ascii="黑体" w:hAnsi="黑体" w:eastAsia="黑体"/>
              </w:rPr>
              <w:t>1.6~2.0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110" w:type="dxa"/>
            <w:vMerge w:val="continue"/>
            <w:shd w:val="clear" w:color="auto" w:fill="auto"/>
            <w:vAlign w:val="center"/>
          </w:tcPr>
          <w:p>
            <w:pPr>
              <w:pStyle w:val="178"/>
              <w:rPr>
                <w:rFonts w:ascii="黑体" w:hAnsi="黑体" w:eastAsia="黑体"/>
              </w:rPr>
            </w:pPr>
          </w:p>
        </w:tc>
        <w:tc>
          <w:tcPr>
            <w:tcW w:w="3112" w:type="dxa"/>
            <w:shd w:val="clear" w:color="auto" w:fill="auto"/>
            <w:vAlign w:val="center"/>
          </w:tcPr>
          <w:p>
            <w:pPr>
              <w:jc w:val="center"/>
              <w:rPr>
                <w:rFonts w:ascii="黑体" w:hAnsi="黑体" w:eastAsia="黑体"/>
              </w:rPr>
            </w:pPr>
            <w:r>
              <w:rPr>
                <w:rFonts w:hint="eastAsia" w:ascii="黑体" w:hAnsi="黑体" w:eastAsia="黑体"/>
              </w:rPr>
              <w:t>密实</w:t>
            </w:r>
          </w:p>
        </w:tc>
        <w:tc>
          <w:tcPr>
            <w:tcW w:w="3112" w:type="dxa"/>
            <w:shd w:val="clear" w:color="auto" w:fill="auto"/>
            <w:vAlign w:val="center"/>
          </w:tcPr>
          <w:p>
            <w:pPr>
              <w:jc w:val="center"/>
              <w:rPr>
                <w:rFonts w:ascii="黑体" w:hAnsi="黑体" w:eastAsia="黑体"/>
              </w:rPr>
            </w:pPr>
            <w:r>
              <w:rPr>
                <w:rFonts w:hint="eastAsia" w:ascii="黑体" w:hAnsi="黑体" w:eastAsia="黑体"/>
              </w:rPr>
              <w:t>1.4~1.8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restart"/>
            <w:shd w:val="clear" w:color="auto" w:fill="auto"/>
            <w:vAlign w:val="center"/>
          </w:tcPr>
          <w:p>
            <w:pPr>
              <w:pStyle w:val="178"/>
              <w:rPr>
                <w:rFonts w:ascii="黑体" w:hAnsi="黑体" w:eastAsia="黑体"/>
              </w:rPr>
            </w:pPr>
            <w:r>
              <w:rPr>
                <w:rFonts w:hint="eastAsia" w:ascii="黑体" w:hAnsi="黑体" w:eastAsia="黑体"/>
              </w:rPr>
              <w:t>砾砂</w:t>
            </w:r>
          </w:p>
        </w:tc>
        <w:tc>
          <w:tcPr>
            <w:tcW w:w="3112" w:type="dxa"/>
            <w:shd w:val="clear" w:color="auto" w:fill="auto"/>
            <w:vAlign w:val="center"/>
          </w:tcPr>
          <w:p>
            <w:pPr>
              <w:jc w:val="center"/>
              <w:rPr>
                <w:rFonts w:ascii="黑体" w:hAnsi="黑体" w:eastAsia="黑体"/>
              </w:rPr>
            </w:pPr>
            <w:r>
              <w:rPr>
                <w:rFonts w:hint="eastAsia" w:ascii="黑体" w:hAnsi="黑体" w:eastAsia="黑体"/>
              </w:rPr>
              <w:t>中密</w:t>
            </w:r>
          </w:p>
        </w:tc>
        <w:tc>
          <w:tcPr>
            <w:tcW w:w="3112" w:type="dxa"/>
            <w:shd w:val="clear" w:color="auto" w:fill="auto"/>
            <w:vAlign w:val="center"/>
          </w:tcPr>
          <w:p>
            <w:pPr>
              <w:jc w:val="center"/>
              <w:rPr>
                <w:rFonts w:ascii="黑体" w:hAnsi="黑体" w:eastAsia="黑体"/>
              </w:rPr>
            </w:pPr>
            <w:r>
              <w:rPr>
                <w:rFonts w:hint="eastAsia" w:ascii="黑体" w:hAnsi="黑体" w:eastAsia="黑体"/>
              </w:rPr>
              <w:t>1.6~1.8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shd w:val="clear" w:color="auto" w:fill="auto"/>
            <w:vAlign w:val="center"/>
          </w:tcPr>
          <w:p>
            <w:pPr>
              <w:pStyle w:val="178"/>
              <w:rPr>
                <w:rFonts w:ascii="黑体" w:hAnsi="黑体" w:eastAsia="黑体"/>
              </w:rPr>
            </w:pPr>
          </w:p>
        </w:tc>
        <w:tc>
          <w:tcPr>
            <w:tcW w:w="3112" w:type="dxa"/>
            <w:shd w:val="clear" w:color="auto" w:fill="auto"/>
            <w:vAlign w:val="center"/>
          </w:tcPr>
          <w:p>
            <w:pPr>
              <w:jc w:val="center"/>
              <w:rPr>
                <w:rFonts w:ascii="黑体" w:hAnsi="黑体" w:eastAsia="黑体"/>
              </w:rPr>
            </w:pPr>
            <w:r>
              <w:rPr>
                <w:rFonts w:hint="eastAsia" w:ascii="黑体" w:hAnsi="黑体" w:eastAsia="黑体"/>
              </w:rPr>
              <w:t>密实</w:t>
            </w:r>
          </w:p>
        </w:tc>
        <w:tc>
          <w:tcPr>
            <w:tcW w:w="3112" w:type="dxa"/>
            <w:shd w:val="clear" w:color="auto" w:fill="auto"/>
            <w:vAlign w:val="center"/>
          </w:tcPr>
          <w:p>
            <w:pPr>
              <w:jc w:val="center"/>
              <w:rPr>
                <w:rFonts w:ascii="黑体" w:hAnsi="黑体" w:eastAsia="黑体"/>
              </w:rPr>
            </w:pPr>
            <w:r>
              <w:rPr>
                <w:rFonts w:hint="eastAsia" w:ascii="黑体" w:hAnsi="黑体" w:eastAsia="黑体"/>
              </w:rPr>
              <w:t>1.6~2.0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restart"/>
            <w:shd w:val="clear" w:color="auto" w:fill="auto"/>
            <w:vAlign w:val="center"/>
          </w:tcPr>
          <w:p>
            <w:pPr>
              <w:pStyle w:val="178"/>
              <w:rPr>
                <w:rFonts w:ascii="黑体" w:hAnsi="黑体" w:eastAsia="黑体"/>
              </w:rPr>
            </w:pPr>
            <w:r>
              <w:rPr>
                <w:rFonts w:hint="eastAsia" w:ascii="黑体" w:hAnsi="黑体" w:eastAsia="黑体"/>
              </w:rPr>
              <w:t>砾石、卵石</w:t>
            </w:r>
          </w:p>
        </w:tc>
        <w:tc>
          <w:tcPr>
            <w:tcW w:w="3112" w:type="dxa"/>
            <w:shd w:val="clear" w:color="auto" w:fill="auto"/>
            <w:vAlign w:val="center"/>
          </w:tcPr>
          <w:p>
            <w:pPr>
              <w:jc w:val="center"/>
              <w:rPr>
                <w:rFonts w:ascii="黑体" w:hAnsi="黑体" w:eastAsia="黑体"/>
              </w:rPr>
            </w:pPr>
            <w:r>
              <w:rPr>
                <w:rFonts w:hint="eastAsia" w:ascii="黑体" w:hAnsi="黑体" w:eastAsia="黑体"/>
              </w:rPr>
              <w:t>松散</w:t>
            </w:r>
          </w:p>
        </w:tc>
        <w:tc>
          <w:tcPr>
            <w:tcW w:w="3112" w:type="dxa"/>
            <w:shd w:val="clear" w:color="auto" w:fill="auto"/>
            <w:vAlign w:val="center"/>
          </w:tcPr>
          <w:p>
            <w:pPr>
              <w:jc w:val="center"/>
              <w:rPr>
                <w:rFonts w:ascii="黑体" w:hAnsi="黑体" w:eastAsia="黑体"/>
              </w:rPr>
            </w:pPr>
            <w:r>
              <w:rPr>
                <w:rFonts w:hint="eastAsia" w:ascii="黑体" w:hAnsi="黑体" w:eastAsia="黑体"/>
              </w:rPr>
              <w:t>1.2~1.5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110" w:type="dxa"/>
            <w:vMerge w:val="continue"/>
            <w:shd w:val="clear" w:color="auto" w:fill="auto"/>
            <w:vAlign w:val="center"/>
          </w:tcPr>
          <w:p>
            <w:pPr>
              <w:pStyle w:val="178"/>
              <w:rPr>
                <w:rFonts w:ascii="黑体" w:hAnsi="黑体" w:eastAsia="黑体"/>
              </w:rPr>
            </w:pPr>
          </w:p>
        </w:tc>
        <w:tc>
          <w:tcPr>
            <w:tcW w:w="3112" w:type="dxa"/>
            <w:shd w:val="clear" w:color="auto" w:fill="auto"/>
            <w:vAlign w:val="center"/>
          </w:tcPr>
          <w:p>
            <w:pPr>
              <w:jc w:val="center"/>
              <w:rPr>
                <w:rFonts w:ascii="黑体" w:hAnsi="黑体" w:eastAsia="黑体"/>
              </w:rPr>
            </w:pPr>
            <w:r>
              <w:rPr>
                <w:rFonts w:hint="eastAsia" w:ascii="黑体" w:hAnsi="黑体" w:eastAsia="黑体"/>
              </w:rPr>
              <w:t>稍密</w:t>
            </w:r>
          </w:p>
        </w:tc>
        <w:tc>
          <w:tcPr>
            <w:tcW w:w="3112" w:type="dxa"/>
            <w:shd w:val="clear" w:color="auto" w:fill="auto"/>
            <w:vAlign w:val="center"/>
          </w:tcPr>
          <w:p>
            <w:pPr>
              <w:jc w:val="center"/>
              <w:rPr>
                <w:rFonts w:ascii="黑体" w:hAnsi="黑体" w:eastAsia="黑体"/>
              </w:rPr>
            </w:pPr>
            <w:r>
              <w:rPr>
                <w:rFonts w:hint="eastAsia" w:ascii="黑体" w:hAnsi="黑体" w:eastAsia="黑体"/>
              </w:rPr>
              <w:t>1.2~1.6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shd w:val="clear" w:color="auto" w:fill="auto"/>
            <w:vAlign w:val="center"/>
          </w:tcPr>
          <w:p>
            <w:pPr>
              <w:pStyle w:val="178"/>
              <w:rPr>
                <w:rFonts w:ascii="黑体" w:hAnsi="黑体" w:eastAsia="黑体"/>
              </w:rPr>
            </w:pPr>
          </w:p>
        </w:tc>
        <w:tc>
          <w:tcPr>
            <w:tcW w:w="3112" w:type="dxa"/>
            <w:shd w:val="clear" w:color="auto" w:fill="auto"/>
            <w:vAlign w:val="center"/>
          </w:tcPr>
          <w:p>
            <w:pPr>
              <w:jc w:val="center"/>
              <w:rPr>
                <w:rFonts w:ascii="黑体" w:hAnsi="黑体" w:eastAsia="黑体"/>
              </w:rPr>
            </w:pPr>
            <w:r>
              <w:rPr>
                <w:rFonts w:hint="eastAsia" w:ascii="黑体" w:hAnsi="黑体" w:eastAsia="黑体"/>
              </w:rPr>
              <w:t>中密</w:t>
            </w:r>
          </w:p>
        </w:tc>
        <w:tc>
          <w:tcPr>
            <w:tcW w:w="3112" w:type="dxa"/>
            <w:shd w:val="clear" w:color="auto" w:fill="auto"/>
            <w:vAlign w:val="center"/>
          </w:tcPr>
          <w:p>
            <w:pPr>
              <w:jc w:val="center"/>
              <w:rPr>
                <w:rFonts w:ascii="黑体" w:hAnsi="黑体" w:eastAsia="黑体"/>
              </w:rPr>
            </w:pPr>
            <w:r>
              <w:rPr>
                <w:rFonts w:hint="eastAsia" w:ascii="黑体" w:hAnsi="黑体" w:eastAsia="黑体"/>
              </w:rPr>
              <w:t>1.2~1.8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shd w:val="clear" w:color="auto" w:fill="auto"/>
            <w:vAlign w:val="center"/>
          </w:tcPr>
          <w:p>
            <w:pPr>
              <w:pStyle w:val="178"/>
              <w:rPr>
                <w:rFonts w:ascii="黑体" w:hAnsi="黑体" w:eastAsia="黑体"/>
              </w:rPr>
            </w:pPr>
          </w:p>
        </w:tc>
        <w:tc>
          <w:tcPr>
            <w:tcW w:w="3112" w:type="dxa"/>
            <w:shd w:val="clear" w:color="auto" w:fill="auto"/>
            <w:vAlign w:val="center"/>
          </w:tcPr>
          <w:p>
            <w:pPr>
              <w:jc w:val="center"/>
              <w:rPr>
                <w:rFonts w:ascii="黑体" w:hAnsi="黑体" w:eastAsia="黑体"/>
              </w:rPr>
            </w:pPr>
            <w:r>
              <w:rPr>
                <w:rFonts w:hint="eastAsia" w:ascii="黑体" w:hAnsi="黑体" w:eastAsia="黑体"/>
              </w:rPr>
              <w:t>密实</w:t>
            </w:r>
          </w:p>
        </w:tc>
        <w:tc>
          <w:tcPr>
            <w:tcW w:w="3112" w:type="dxa"/>
            <w:shd w:val="clear" w:color="auto" w:fill="auto"/>
            <w:vAlign w:val="center"/>
          </w:tcPr>
          <w:p>
            <w:pPr>
              <w:jc w:val="center"/>
              <w:rPr>
                <w:rFonts w:ascii="黑体" w:hAnsi="黑体" w:eastAsia="黑体"/>
              </w:rPr>
            </w:pPr>
            <w:r>
              <w:rPr>
                <w:rFonts w:hint="eastAsia" w:ascii="黑体" w:hAnsi="黑体" w:eastAsia="黑体"/>
              </w:rPr>
              <w:t>1.3~1.6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restart"/>
            <w:shd w:val="clear" w:color="auto" w:fill="auto"/>
            <w:vAlign w:val="center"/>
          </w:tcPr>
          <w:p>
            <w:pPr>
              <w:pStyle w:val="178"/>
              <w:rPr>
                <w:rFonts w:ascii="黑体" w:hAnsi="黑体" w:eastAsia="黑体"/>
              </w:rPr>
            </w:pPr>
            <w:r>
              <w:rPr>
                <w:rFonts w:hint="eastAsia" w:ascii="黑体" w:hAnsi="黑体" w:eastAsia="黑体"/>
              </w:rPr>
              <w:t>风化岩</w:t>
            </w:r>
          </w:p>
        </w:tc>
        <w:tc>
          <w:tcPr>
            <w:tcW w:w="3112" w:type="dxa"/>
            <w:shd w:val="clear" w:color="auto" w:fill="auto"/>
            <w:vAlign w:val="center"/>
          </w:tcPr>
          <w:p>
            <w:pPr>
              <w:jc w:val="center"/>
              <w:rPr>
                <w:rFonts w:ascii="黑体" w:hAnsi="黑体" w:eastAsia="黑体"/>
              </w:rPr>
            </w:pPr>
            <w:r>
              <w:rPr>
                <w:rFonts w:hint="eastAsia" w:ascii="黑体" w:hAnsi="黑体" w:eastAsia="黑体"/>
              </w:rPr>
              <w:t>全风化岩</w:t>
            </w:r>
          </w:p>
        </w:tc>
        <w:tc>
          <w:tcPr>
            <w:tcW w:w="3112" w:type="dxa"/>
            <w:shd w:val="clear" w:color="auto" w:fill="auto"/>
            <w:vAlign w:val="center"/>
          </w:tcPr>
          <w:p>
            <w:pPr>
              <w:jc w:val="center"/>
              <w:rPr>
                <w:rFonts w:ascii="黑体" w:hAnsi="黑体" w:eastAsia="黑体"/>
              </w:rPr>
            </w:pPr>
            <w:r>
              <w:rPr>
                <w:rFonts w:hint="eastAsia" w:ascii="黑体" w:hAnsi="黑体" w:eastAsia="黑体"/>
              </w:rPr>
              <w:t>1.2~1.8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110" w:type="dxa"/>
            <w:vMerge w:val="continue"/>
            <w:shd w:val="clear" w:color="auto" w:fill="auto"/>
            <w:vAlign w:val="center"/>
          </w:tcPr>
          <w:p>
            <w:pPr>
              <w:pStyle w:val="178"/>
              <w:rPr>
                <w:rFonts w:ascii="黑体" w:hAnsi="黑体" w:eastAsia="黑体"/>
              </w:rPr>
            </w:pPr>
          </w:p>
        </w:tc>
        <w:tc>
          <w:tcPr>
            <w:tcW w:w="3112" w:type="dxa"/>
            <w:shd w:val="clear" w:color="auto" w:fill="auto"/>
            <w:vAlign w:val="center"/>
          </w:tcPr>
          <w:p>
            <w:pPr>
              <w:jc w:val="center"/>
              <w:rPr>
                <w:rFonts w:ascii="黑体" w:hAnsi="黑体" w:eastAsia="黑体"/>
              </w:rPr>
            </w:pPr>
            <w:r>
              <w:rPr>
                <w:rFonts w:hint="eastAsia" w:ascii="黑体" w:hAnsi="黑体" w:eastAsia="黑体"/>
              </w:rPr>
              <w:t>强风化软质岩</w:t>
            </w:r>
          </w:p>
        </w:tc>
        <w:tc>
          <w:tcPr>
            <w:tcW w:w="3112" w:type="dxa"/>
            <w:shd w:val="clear" w:color="auto" w:fill="auto"/>
            <w:vAlign w:val="center"/>
          </w:tcPr>
          <w:p>
            <w:pPr>
              <w:jc w:val="center"/>
              <w:rPr>
                <w:rFonts w:ascii="黑体" w:hAnsi="黑体" w:eastAsia="黑体"/>
              </w:rPr>
            </w:pPr>
            <w:r>
              <w:rPr>
                <w:rFonts w:hint="eastAsia" w:ascii="黑体" w:hAnsi="黑体" w:eastAsia="黑体"/>
              </w:rPr>
              <w:t>1.2~1.6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shd w:val="clear" w:color="auto" w:fill="auto"/>
            <w:vAlign w:val="center"/>
          </w:tcPr>
          <w:p>
            <w:pPr>
              <w:pStyle w:val="178"/>
              <w:rPr>
                <w:rFonts w:ascii="黑体" w:hAnsi="黑体" w:eastAsia="黑体"/>
              </w:rPr>
            </w:pPr>
          </w:p>
        </w:tc>
        <w:tc>
          <w:tcPr>
            <w:tcW w:w="3112" w:type="dxa"/>
            <w:shd w:val="clear" w:color="auto" w:fill="auto"/>
            <w:vAlign w:val="center"/>
          </w:tcPr>
          <w:p>
            <w:pPr>
              <w:jc w:val="center"/>
              <w:rPr>
                <w:rFonts w:ascii="黑体" w:hAnsi="黑体" w:eastAsia="黑体"/>
              </w:rPr>
            </w:pPr>
            <w:r>
              <w:rPr>
                <w:rFonts w:hint="eastAsia" w:ascii="黑体" w:hAnsi="黑体" w:eastAsia="黑体"/>
              </w:rPr>
              <w:t>强风化硬质岩</w:t>
            </w:r>
          </w:p>
        </w:tc>
        <w:tc>
          <w:tcPr>
            <w:tcW w:w="3112" w:type="dxa"/>
            <w:shd w:val="clear" w:color="auto" w:fill="auto"/>
            <w:vAlign w:val="center"/>
          </w:tcPr>
          <w:p>
            <w:pPr>
              <w:jc w:val="center"/>
              <w:rPr>
                <w:rFonts w:ascii="黑体" w:hAnsi="黑体" w:eastAsia="黑体"/>
              </w:rPr>
            </w:pPr>
            <w:r>
              <w:rPr>
                <w:rFonts w:hint="eastAsia" w:ascii="黑体" w:hAnsi="黑体" w:eastAsia="黑体"/>
              </w:rPr>
              <w:t>1.0~1.4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shd w:val="clear" w:color="auto" w:fill="auto"/>
            <w:vAlign w:val="center"/>
          </w:tcPr>
          <w:p>
            <w:pPr>
              <w:pStyle w:val="178"/>
              <w:rPr>
                <w:rFonts w:ascii="黑体" w:hAnsi="黑体" w:eastAsia="黑体"/>
              </w:rPr>
            </w:pPr>
          </w:p>
        </w:tc>
        <w:tc>
          <w:tcPr>
            <w:tcW w:w="3112" w:type="dxa"/>
            <w:shd w:val="clear" w:color="auto" w:fill="auto"/>
            <w:vAlign w:val="center"/>
          </w:tcPr>
          <w:p>
            <w:pPr>
              <w:jc w:val="center"/>
              <w:rPr>
                <w:rFonts w:ascii="黑体" w:hAnsi="黑体" w:eastAsia="黑体"/>
              </w:rPr>
            </w:pPr>
            <w:r>
              <w:rPr>
                <w:rFonts w:hint="eastAsia" w:ascii="黑体" w:hAnsi="黑体" w:eastAsia="黑体"/>
              </w:rPr>
              <w:t>中风化软质岩</w:t>
            </w:r>
          </w:p>
        </w:tc>
        <w:tc>
          <w:tcPr>
            <w:tcW w:w="3112" w:type="dxa"/>
            <w:shd w:val="clear" w:color="auto" w:fill="auto"/>
            <w:vAlign w:val="center"/>
          </w:tcPr>
          <w:p>
            <w:pPr>
              <w:jc w:val="center"/>
              <w:rPr>
                <w:rFonts w:ascii="黑体" w:hAnsi="黑体" w:eastAsia="黑体"/>
              </w:rPr>
            </w:pPr>
            <w:r>
              <w:rPr>
                <w:rFonts w:hint="eastAsia" w:ascii="黑体" w:hAnsi="黑体" w:eastAsia="黑体"/>
              </w:rPr>
              <w:t>1.0~1.2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shd w:val="clear" w:color="auto" w:fill="auto"/>
            <w:vAlign w:val="center"/>
          </w:tcPr>
          <w:p>
            <w:pPr>
              <w:pStyle w:val="178"/>
              <w:rPr>
                <w:rFonts w:ascii="黑体" w:hAnsi="黑体" w:eastAsia="黑体"/>
              </w:rPr>
            </w:pPr>
          </w:p>
        </w:tc>
        <w:tc>
          <w:tcPr>
            <w:tcW w:w="3112" w:type="dxa"/>
            <w:shd w:val="clear" w:color="auto" w:fill="auto"/>
            <w:vAlign w:val="center"/>
          </w:tcPr>
          <w:p>
            <w:pPr>
              <w:jc w:val="center"/>
              <w:rPr>
                <w:rFonts w:ascii="黑体" w:hAnsi="黑体" w:eastAsia="黑体"/>
              </w:rPr>
            </w:pPr>
            <w:r>
              <w:rPr>
                <w:rFonts w:hint="eastAsia" w:ascii="黑体" w:hAnsi="黑体" w:eastAsia="黑体"/>
              </w:rPr>
              <w:t>中风化硬质岩</w:t>
            </w:r>
          </w:p>
        </w:tc>
        <w:tc>
          <w:tcPr>
            <w:tcW w:w="3112" w:type="dxa"/>
            <w:shd w:val="clear" w:color="auto" w:fill="auto"/>
            <w:vAlign w:val="center"/>
          </w:tcPr>
          <w:p>
            <w:pPr>
              <w:jc w:val="center"/>
              <w:rPr>
                <w:rFonts w:ascii="黑体" w:hAnsi="黑体" w:eastAsia="黑体"/>
              </w:rPr>
            </w:pPr>
            <w:r>
              <w:rPr>
                <w:rFonts w:hint="eastAsia" w:ascii="黑体" w:hAnsi="黑体" w:eastAsia="黑体"/>
              </w:rPr>
              <w:t>1.0~1.1</w:t>
            </w:r>
          </w:p>
        </w:tc>
      </w:tr>
    </w:tbl>
    <w:p>
      <w:pPr>
        <w:pStyle w:val="65"/>
        <w:spacing w:before="156" w:after="156"/>
        <w:rPr>
          <w:rFonts w:hAnsi="黑体"/>
        </w:rPr>
      </w:pPr>
      <w:bookmarkStart w:id="176" w:name="_Toc124595586"/>
      <w:r>
        <w:rPr>
          <w:rFonts w:hint="eastAsia" w:hAnsi="黑体"/>
        </w:rPr>
        <w:t>螺杆灌注桩桩端置于完整、较完整基岩的嵌岩桩单桩竖向极限承载力可按</w:t>
      </w:r>
      <w:r>
        <w:rPr>
          <w:rFonts w:hint="eastAsia" w:hAnsi="黑体"/>
          <w:lang w:eastAsia="zh-CN"/>
        </w:rPr>
        <w:t>（</w:t>
      </w:r>
      <w:r>
        <w:rPr>
          <w:rFonts w:hint="eastAsia" w:hAnsi="黑体"/>
          <w:lang w:val="en-US" w:eastAsia="zh-CN"/>
        </w:rPr>
        <w:t>9）、（10）</w:t>
      </w:r>
      <w:r>
        <w:rPr>
          <w:rFonts w:hint="eastAsia" w:hAnsi="黑体"/>
        </w:rPr>
        <w:t>式估算：</w:t>
      </w:r>
      <w:bookmarkEnd w:id="176"/>
    </w:p>
    <w:p>
      <w:pPr>
        <w:pStyle w:val="56"/>
        <w:ind w:firstLine="420"/>
        <w:rPr>
          <w:rFonts w:ascii="黑体" w:hAnsi="黑体" w:eastAsia="黑体"/>
        </w:rPr>
      </w:pP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927735" cy="231775"/>
            <wp:effectExtent l="0" t="0" r="5715" b="0"/>
            <wp:docPr id="216" name="图片 216" descr="C:\Users\ADMINI~1\AppData\Local\Temp\ksohtml9220\wps99.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6" name="图片 216" descr="C:\Users\ADMINI~1\AppData\Local\Temp\ksohtml9220\wps99.png"/>
                    <pic:cNvPicPr>
                      <a:picLocks noChangeAspect="true" noChangeArrowheads="true"/>
                    </pic:cNvPicPr>
                  </pic:nvPicPr>
                  <pic:blipFill>
                    <a:blip r:embed="rId105">
                      <a:extLst>
                        <a:ext uri="{28A0092B-C50C-407E-A947-70E740481C1C}">
                          <a14:useLocalDpi xmlns:a14="http://schemas.microsoft.com/office/drawing/2010/main" val="false"/>
                        </a:ext>
                      </a:extLst>
                    </a:blip>
                    <a:srcRect/>
                    <a:stretch>
                      <a:fillRect/>
                    </a:stretch>
                  </pic:blipFill>
                  <pic:spPr>
                    <a:xfrm>
                      <a:off x="0" y="0"/>
                      <a:ext cx="927735" cy="231775"/>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9</w:t>
      </w:r>
      <w:r>
        <w:rPr>
          <w:rFonts w:ascii="黑体" w:hAnsi="黑体" w:eastAsia="黑体"/>
        </w:rPr>
        <w:t>)</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859790" cy="245745"/>
            <wp:effectExtent l="0" t="0" r="0" b="1905"/>
            <wp:docPr id="218" name="图片 218" descr="C:\Users\ADMINI~1\AppData\Local\Temp\ksohtml9220\wps100.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8" name="图片 218" descr="C:\Users\ADMINI~1\AppData\Local\Temp\ksohtml9220\wps100.png"/>
                    <pic:cNvPicPr>
                      <a:picLocks noChangeAspect="true" noChangeArrowheads="true"/>
                    </pic:cNvPicPr>
                  </pic:nvPicPr>
                  <pic:blipFill>
                    <a:blip r:embed="rId106">
                      <a:extLst>
                        <a:ext uri="{28A0092B-C50C-407E-A947-70E740481C1C}">
                          <a14:useLocalDpi xmlns:a14="http://schemas.microsoft.com/office/drawing/2010/main" val="false"/>
                        </a:ext>
                      </a:extLst>
                    </a:blip>
                    <a:srcRect/>
                    <a:stretch>
                      <a:fillRect/>
                    </a:stretch>
                  </pic:blipFill>
                  <pic:spPr>
                    <a:xfrm>
                      <a:off x="0" y="0"/>
                      <a:ext cx="859790" cy="245745"/>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ascii="黑体" w:hAnsi="黑体" w:eastAsia="黑体"/>
        </w:rPr>
        <w:fldChar w:fldCharType="begin"/>
      </w:r>
      <w:r>
        <w:rPr>
          <w:rFonts w:ascii="黑体" w:hAnsi="黑体" w:eastAsia="黑体"/>
        </w:rPr>
        <w:instrText xml:space="preserve"> AUTONUM </w:instrText>
      </w:r>
      <w:r>
        <w:rPr>
          <w:rFonts w:ascii="黑体" w:hAnsi="黑体" w:eastAsia="黑体"/>
        </w:rPr>
        <w:fldChar w:fldCharType="end"/>
      </w:r>
      <w:r>
        <w:rPr>
          <w:rFonts w:hint="eastAsia" w:ascii="黑体" w:hAnsi="黑体" w:eastAsia="黑体"/>
          <w:lang w:val="en-US" w:eastAsia="zh-CN"/>
        </w:rPr>
        <w:t>0</w:t>
      </w:r>
      <w:r>
        <w:rPr>
          <w:rFonts w:ascii="黑体" w:hAnsi="黑体" w:eastAsia="黑体"/>
        </w:rPr>
        <w:t>)</w:t>
      </w:r>
    </w:p>
    <w:p>
      <w:pPr>
        <w:autoSpaceDE w:val="0"/>
        <w:rPr>
          <w:rFonts w:ascii="黑体" w:hAnsi="黑体" w:eastAsia="黑体"/>
        </w:rPr>
      </w:pPr>
      <w:r>
        <w:rPr>
          <w:rFonts w:hint="eastAsia" w:ascii="黑体" w:hAnsi="黑体" w:eastAsia="黑体"/>
        </w:rPr>
        <w:t>式中：</w:t>
      </w:r>
      <w:r>
        <w:rPr>
          <w:rFonts w:ascii="黑体" w:hAnsi="黑体" w:eastAsia="黑体"/>
        </w:rPr>
        <w:drawing>
          <wp:inline distT="0" distB="0" distL="0" distR="0">
            <wp:extent cx="245745" cy="231775"/>
            <wp:effectExtent l="0" t="0" r="1905" b="0"/>
            <wp:docPr id="222" name="图片 222" descr="C:\Users\ADMINI~1\AppData\Local\Temp\ksohtml9220\wps10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2" name="图片 222" descr="C:\Users\ADMINI~1\AppData\Local\Temp\ksohtml9220\wps101.png"/>
                    <pic:cNvPicPr>
                      <a:picLocks noChangeAspect="true" noChangeArrowheads="true"/>
                    </pic:cNvPicPr>
                  </pic:nvPicPr>
                  <pic:blipFill>
                    <a:blip r:embed="rId46">
                      <a:extLst>
                        <a:ext uri="{28A0092B-C50C-407E-A947-70E740481C1C}">
                          <a14:useLocalDpi xmlns:a14="http://schemas.microsoft.com/office/drawing/2010/main" val="false"/>
                        </a:ext>
                      </a:extLst>
                    </a:blip>
                    <a:srcRect/>
                    <a:stretch>
                      <a:fillRect/>
                    </a:stretch>
                  </pic:blipFill>
                  <pic:spPr>
                    <a:xfrm>
                      <a:off x="0" y="0"/>
                      <a:ext cx="245745" cy="231775"/>
                    </a:xfrm>
                    <a:prstGeom prst="rect">
                      <a:avLst/>
                    </a:prstGeom>
                    <a:noFill/>
                    <a:ln>
                      <a:noFill/>
                    </a:ln>
                  </pic:spPr>
                </pic:pic>
              </a:graphicData>
            </a:graphic>
          </wp:inline>
        </w:drawing>
      </w:r>
      <w:r>
        <w:rPr>
          <w:rFonts w:hint="eastAsia" w:ascii="黑体" w:hAnsi="黑体" w:eastAsia="黑体"/>
        </w:rPr>
        <w:t>——螺杆灌注桩非嵌岩段总极限侧阻力标准值（kN）;</w:t>
      </w:r>
    </w:p>
    <w:p>
      <w:pPr>
        <w:autoSpaceDE w:val="0"/>
        <w:ind w:firstLine="630" w:firstLineChars="300"/>
        <w:rPr>
          <w:rFonts w:ascii="黑体" w:hAnsi="黑体" w:eastAsia="黑体"/>
        </w:rPr>
      </w:pPr>
      <w:r>
        <w:rPr>
          <w:rFonts w:ascii="黑体" w:hAnsi="黑体" w:eastAsia="黑体"/>
        </w:rPr>
        <w:drawing>
          <wp:inline distT="0" distB="0" distL="0" distR="0">
            <wp:extent cx="231775" cy="231775"/>
            <wp:effectExtent l="0" t="0" r="0" b="0"/>
            <wp:docPr id="221" name="图片 221" descr="C:\Users\ADMINI~1\AppData\Local\Temp\ksohtml9220\wps10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1" name="图片 221" descr="C:\Users\ADMINI~1\AppData\Local\Temp\ksohtml9220\wps102.png"/>
                    <pic:cNvPicPr>
                      <a:picLocks noChangeAspect="true" noChangeArrowheads="true"/>
                    </pic:cNvPicPr>
                  </pic:nvPicPr>
                  <pic:blipFill>
                    <a:blip r:embed="rId45">
                      <a:extLst>
                        <a:ext uri="{28A0092B-C50C-407E-A947-70E740481C1C}">
                          <a14:useLocalDpi xmlns:a14="http://schemas.microsoft.com/office/drawing/2010/main" val="false"/>
                        </a:ext>
                      </a:extLst>
                    </a:blip>
                    <a:srcRect/>
                    <a:stretch>
                      <a:fillRect/>
                    </a:stretch>
                  </pic:blipFill>
                  <pic:spPr>
                    <a:xfrm>
                      <a:off x="0" y="0"/>
                      <a:ext cx="231775" cy="231775"/>
                    </a:xfrm>
                    <a:prstGeom prst="rect">
                      <a:avLst/>
                    </a:prstGeom>
                    <a:noFill/>
                    <a:ln>
                      <a:noFill/>
                    </a:ln>
                  </pic:spPr>
                </pic:pic>
              </a:graphicData>
            </a:graphic>
          </wp:inline>
        </w:drawing>
      </w:r>
      <w:r>
        <w:rPr>
          <w:rFonts w:hint="eastAsia" w:ascii="黑体" w:hAnsi="黑体" w:eastAsia="黑体"/>
        </w:rPr>
        <w:t>——螺杆灌注桩嵌岩段总极限阻力标准值（kN）;</w:t>
      </w:r>
    </w:p>
    <w:p>
      <w:pPr>
        <w:autoSpaceDE w:val="0"/>
        <w:rPr>
          <w:rFonts w:ascii="黑体" w:hAnsi="黑体" w:eastAsia="黑体"/>
        </w:rPr>
      </w:pPr>
      <w:r>
        <w:rPr>
          <w:rFonts w:hint="eastAsia" w:ascii="黑体" w:hAnsi="黑体" w:eastAsia="黑体"/>
        </w:rPr>
        <w:t xml:space="preserve">      </w:t>
      </w:r>
      <w:r>
        <w:rPr>
          <w:rFonts w:ascii="黑体" w:hAnsi="黑体" w:eastAsia="黑体"/>
        </w:rPr>
        <w:drawing>
          <wp:inline distT="0" distB="0" distL="0" distR="0">
            <wp:extent cx="218440" cy="231775"/>
            <wp:effectExtent l="0" t="0" r="0" b="0"/>
            <wp:docPr id="220" name="图片 220" descr="C:\Users\ADMINI~1\AppData\Local\Temp\ksohtml9220\wps103.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0" name="图片 220" descr="C:\Users\ADMINI~1\AppData\Local\Temp\ksohtml9220\wps103.png"/>
                    <pic:cNvPicPr>
                      <a:picLocks noChangeAspect="true" noChangeArrowheads="true"/>
                    </pic:cNvPicPr>
                  </pic:nvPicPr>
                  <pic:blipFill>
                    <a:blip r:embed="rId39">
                      <a:extLst>
                        <a:ext uri="{28A0092B-C50C-407E-A947-70E740481C1C}">
                          <a14:useLocalDpi xmlns:a14="http://schemas.microsoft.com/office/drawing/2010/main" val="false"/>
                        </a:ext>
                      </a:extLst>
                    </a:blip>
                    <a:srcRect/>
                    <a:stretch>
                      <a:fillRect/>
                    </a:stretch>
                  </pic:blipFill>
                  <pic:spPr>
                    <a:xfrm>
                      <a:off x="0" y="0"/>
                      <a:ext cx="218440" cy="231775"/>
                    </a:xfrm>
                    <a:prstGeom prst="rect">
                      <a:avLst/>
                    </a:prstGeom>
                    <a:noFill/>
                    <a:ln>
                      <a:noFill/>
                    </a:ln>
                  </pic:spPr>
                </pic:pic>
              </a:graphicData>
            </a:graphic>
          </wp:inline>
        </w:drawing>
      </w:r>
      <w:r>
        <w:rPr>
          <w:rFonts w:hint="eastAsia" w:ascii="黑体" w:hAnsi="黑体" w:eastAsia="黑体"/>
        </w:rPr>
        <w:t>——岩石单轴饱和抗压强度标准值，泥岩取天然湿度单轴抗压强度标准值（kPa）；</w:t>
      </w:r>
    </w:p>
    <w:p>
      <w:pPr>
        <w:autoSpaceDE w:val="0"/>
        <w:rPr>
          <w:rFonts w:hint="eastAsia" w:ascii="黑体" w:hAnsi="黑体" w:eastAsia="黑体"/>
        </w:rPr>
      </w:pPr>
      <w:r>
        <w:rPr>
          <w:rFonts w:hint="eastAsia" w:ascii="黑体" w:hAnsi="黑体" w:eastAsia="黑体"/>
        </w:rPr>
        <w:t xml:space="preserve">      </w:t>
      </w:r>
      <w:r>
        <w:rPr>
          <w:rFonts w:ascii="黑体" w:hAnsi="黑体" w:eastAsia="黑体"/>
        </w:rPr>
        <w:t xml:space="preserve"> </w:t>
      </w:r>
      <w:r>
        <w:rPr>
          <w:rFonts w:ascii="黑体" w:hAnsi="黑体" w:eastAsia="黑体"/>
        </w:rPr>
        <w:drawing>
          <wp:inline distT="0" distB="0" distL="0" distR="0">
            <wp:extent cx="177165" cy="218440"/>
            <wp:effectExtent l="0" t="0" r="0" b="0"/>
            <wp:docPr id="219" name="图片 219" descr="C:\Users\ADMINI~1\AppData\Local\Temp\ksohtml9220\wps10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9" name="图片 219" descr="C:\Users\ADMINI~1\AppData\Local\Temp\ksohtml9220\wps104.png"/>
                    <pic:cNvPicPr>
                      <a:picLocks noChangeAspect="true" noChangeArrowheads="true"/>
                    </pic:cNvPicPr>
                  </pic:nvPicPr>
                  <pic:blipFill>
                    <a:blip r:embed="rId75">
                      <a:extLst>
                        <a:ext uri="{28A0092B-C50C-407E-A947-70E740481C1C}">
                          <a14:useLocalDpi xmlns:a14="http://schemas.microsoft.com/office/drawing/2010/main" val="false"/>
                        </a:ext>
                      </a:extLst>
                    </a:blip>
                    <a:srcRect/>
                    <a:stretch>
                      <a:fillRect/>
                    </a:stretch>
                  </pic:blipFill>
                  <pic:spPr>
                    <a:xfrm>
                      <a:off x="0" y="0"/>
                      <a:ext cx="177165" cy="218440"/>
                    </a:xfrm>
                    <a:prstGeom prst="rect">
                      <a:avLst/>
                    </a:prstGeom>
                    <a:noFill/>
                    <a:ln>
                      <a:noFill/>
                    </a:ln>
                  </pic:spPr>
                </pic:pic>
              </a:graphicData>
            </a:graphic>
          </wp:inline>
        </w:drawing>
      </w:r>
      <w:r>
        <w:rPr>
          <w:rFonts w:hint="eastAsia" w:ascii="黑体" w:hAnsi="黑体" w:eastAsia="黑体"/>
        </w:rPr>
        <w:t>——嵌岩段侧阻和端阻综合系数，按表</w:t>
      </w:r>
      <w:r>
        <w:rPr>
          <w:rFonts w:ascii="黑体" w:hAnsi="黑体" w:eastAsia="黑体"/>
        </w:rPr>
        <w:t>7</w:t>
      </w:r>
      <w:r>
        <w:rPr>
          <w:rFonts w:hint="eastAsia" w:ascii="黑体" w:hAnsi="黑体" w:eastAsia="黑体"/>
        </w:rPr>
        <w:t>取值。</w:t>
      </w:r>
    </w:p>
    <w:p>
      <w:pPr>
        <w:pStyle w:val="2"/>
      </w:pPr>
    </w:p>
    <w:p>
      <w:pPr>
        <w:pStyle w:val="112"/>
        <w:spacing w:before="156" w:after="156"/>
        <w:rPr>
          <w:rFonts w:hAnsi="黑体"/>
        </w:rPr>
      </w:pPr>
      <w:r>
        <w:rPr>
          <w:rFonts w:hint="eastAsia" w:hAnsi="黑体"/>
        </w:rPr>
        <w:t>螺杆灌注桩嵌岩段侧阻和端阻综合系数</w:t>
      </w:r>
      <w:r>
        <w:rPr>
          <w:rFonts w:hAnsi="黑体"/>
        </w:rPr>
        <w:drawing>
          <wp:inline distT="0" distB="0" distL="0" distR="0">
            <wp:extent cx="177165" cy="218440"/>
            <wp:effectExtent l="0" t="0" r="0" b="0"/>
            <wp:docPr id="223" name="图片 223" descr="C:\Users\ADMINI~1\AppData\Local\Temp\ksohtml9220\wps105.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3" name="图片 223" descr="C:\Users\ADMINI~1\AppData\Local\Temp\ksohtml9220\wps105.png"/>
                    <pic:cNvPicPr>
                      <a:picLocks noChangeAspect="true" noChangeArrowheads="true"/>
                    </pic:cNvPicPr>
                  </pic:nvPicPr>
                  <pic:blipFill>
                    <a:blip r:embed="rId75">
                      <a:extLst>
                        <a:ext uri="{28A0092B-C50C-407E-A947-70E740481C1C}">
                          <a14:useLocalDpi xmlns:a14="http://schemas.microsoft.com/office/drawing/2010/main" val="false"/>
                        </a:ext>
                      </a:extLst>
                    </a:blip>
                    <a:srcRect/>
                    <a:stretch>
                      <a:fillRect/>
                    </a:stretch>
                  </pic:blipFill>
                  <pic:spPr>
                    <a:xfrm>
                      <a:off x="0" y="0"/>
                      <a:ext cx="177165" cy="218440"/>
                    </a:xfrm>
                    <a:prstGeom prst="rect">
                      <a:avLst/>
                    </a:prstGeom>
                    <a:noFill/>
                    <a:ln>
                      <a:noFill/>
                    </a:ln>
                  </pic:spPr>
                </pic:pic>
              </a:graphicData>
            </a:graphic>
          </wp:inline>
        </w:drawing>
      </w:r>
    </w:p>
    <w:tbl>
      <w:tblPr>
        <w:tblStyle w:val="2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615"/>
        <w:gridCol w:w="677"/>
        <w:gridCol w:w="675"/>
        <w:gridCol w:w="675"/>
        <w:gridCol w:w="675"/>
        <w:gridCol w:w="675"/>
        <w:gridCol w:w="675"/>
        <w:gridCol w:w="675"/>
        <w:gridCol w:w="675"/>
        <w:gridCol w:w="675"/>
        <w:gridCol w:w="68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395" w:type="pct"/>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嵌岩深径比</w:t>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pict>
                <v:shape id="_x0000_i1039" o:spt="75" type="#_x0000_t75" style="height:13.95pt;width:30.1pt;" filled="f" o:preferrelative="t" stroked="f" coordsize="21600,21600">
                  <v:path/>
                  <v:fill on="f" focussize="0,0"/>
                  <v:stroke on="f" joinstyle="miter"/>
                  <v:imagedata r:id="rId107" r:href="rId108" o:title=""/>
                  <o:lock v:ext="edit" aspectratio="t"/>
                  <w10:wrap type="none"/>
                  <w10:anchorlock/>
                </v:shape>
              </w:pict>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p>
        </w:tc>
        <w:tc>
          <w:tcPr>
            <w:tcW w:w="361" w:type="pct"/>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0</w:t>
            </w:r>
          </w:p>
        </w:tc>
        <w:tc>
          <w:tcPr>
            <w:tcW w:w="360" w:type="pct"/>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0.5</w:t>
            </w:r>
          </w:p>
        </w:tc>
        <w:tc>
          <w:tcPr>
            <w:tcW w:w="360" w:type="pct"/>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1.0</w:t>
            </w:r>
          </w:p>
        </w:tc>
        <w:tc>
          <w:tcPr>
            <w:tcW w:w="360" w:type="pct"/>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2.0</w:t>
            </w:r>
          </w:p>
        </w:tc>
        <w:tc>
          <w:tcPr>
            <w:tcW w:w="360" w:type="pct"/>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3.0</w:t>
            </w:r>
          </w:p>
        </w:tc>
        <w:tc>
          <w:tcPr>
            <w:tcW w:w="360" w:type="pct"/>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4.0</w:t>
            </w:r>
          </w:p>
        </w:tc>
        <w:tc>
          <w:tcPr>
            <w:tcW w:w="360" w:type="pct"/>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5.0</w:t>
            </w:r>
          </w:p>
        </w:tc>
        <w:tc>
          <w:tcPr>
            <w:tcW w:w="360" w:type="pct"/>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6.0</w:t>
            </w:r>
          </w:p>
        </w:tc>
        <w:tc>
          <w:tcPr>
            <w:tcW w:w="360" w:type="pct"/>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7.0</w:t>
            </w:r>
          </w:p>
        </w:tc>
        <w:tc>
          <w:tcPr>
            <w:tcW w:w="364" w:type="pct"/>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8.0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95" w:type="pct"/>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极软岩、软岩</w:t>
            </w:r>
          </w:p>
        </w:tc>
        <w:tc>
          <w:tcPr>
            <w:tcW w:w="361" w:type="pct"/>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0.72</w:t>
            </w:r>
          </w:p>
        </w:tc>
        <w:tc>
          <w:tcPr>
            <w:tcW w:w="360" w:type="pct"/>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0.96</w:t>
            </w:r>
          </w:p>
        </w:tc>
        <w:tc>
          <w:tcPr>
            <w:tcW w:w="360" w:type="pct"/>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1.14</w:t>
            </w:r>
          </w:p>
        </w:tc>
        <w:tc>
          <w:tcPr>
            <w:tcW w:w="360" w:type="pct"/>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1.42</w:t>
            </w:r>
          </w:p>
        </w:tc>
        <w:tc>
          <w:tcPr>
            <w:tcW w:w="360" w:type="pct"/>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1.62</w:t>
            </w:r>
          </w:p>
        </w:tc>
        <w:tc>
          <w:tcPr>
            <w:tcW w:w="360" w:type="pct"/>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1.78</w:t>
            </w:r>
          </w:p>
        </w:tc>
        <w:tc>
          <w:tcPr>
            <w:tcW w:w="360" w:type="pct"/>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1.88</w:t>
            </w:r>
          </w:p>
        </w:tc>
        <w:tc>
          <w:tcPr>
            <w:tcW w:w="360" w:type="pct"/>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1.96</w:t>
            </w:r>
          </w:p>
        </w:tc>
        <w:tc>
          <w:tcPr>
            <w:tcW w:w="360" w:type="pct"/>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1.99</w:t>
            </w:r>
          </w:p>
        </w:tc>
        <w:tc>
          <w:tcPr>
            <w:tcW w:w="364" w:type="pct"/>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2.04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95" w:type="pct"/>
            <w:shd w:val="clear" w:color="auto" w:fill="auto"/>
            <w:vAlign w:val="center"/>
          </w:tcPr>
          <w:p>
            <w:pPr>
              <w:jc w:val="center"/>
              <w:rPr>
                <w:rFonts w:ascii="黑体" w:hAnsi="黑体" w:eastAsia="黑体"/>
              </w:rPr>
            </w:pPr>
            <w:r>
              <w:rPr>
                <w:rFonts w:hint="eastAsia" w:ascii="黑体" w:hAnsi="黑体" w:eastAsia="黑体"/>
              </w:rPr>
              <w:t>较硬岩</w:t>
            </w:r>
          </w:p>
        </w:tc>
        <w:tc>
          <w:tcPr>
            <w:tcW w:w="361" w:type="pct"/>
            <w:shd w:val="clear" w:color="auto" w:fill="auto"/>
            <w:vAlign w:val="center"/>
          </w:tcPr>
          <w:p>
            <w:pPr>
              <w:jc w:val="center"/>
              <w:rPr>
                <w:rFonts w:ascii="黑体" w:hAnsi="黑体" w:eastAsia="黑体"/>
              </w:rPr>
            </w:pPr>
            <w:r>
              <w:rPr>
                <w:rFonts w:hint="eastAsia" w:ascii="黑体" w:hAnsi="黑体" w:eastAsia="黑体"/>
              </w:rPr>
              <w:t>0.54</w:t>
            </w:r>
          </w:p>
        </w:tc>
        <w:tc>
          <w:tcPr>
            <w:tcW w:w="360" w:type="pct"/>
            <w:shd w:val="clear" w:color="auto" w:fill="auto"/>
            <w:vAlign w:val="center"/>
          </w:tcPr>
          <w:p>
            <w:pPr>
              <w:jc w:val="center"/>
              <w:rPr>
                <w:rFonts w:ascii="黑体" w:hAnsi="黑体" w:eastAsia="黑体"/>
              </w:rPr>
            </w:pPr>
            <w:r>
              <w:rPr>
                <w:rFonts w:hint="eastAsia" w:ascii="黑体" w:hAnsi="黑体" w:eastAsia="黑体"/>
              </w:rPr>
              <w:t>0.78</w:t>
            </w:r>
          </w:p>
        </w:tc>
        <w:tc>
          <w:tcPr>
            <w:tcW w:w="360" w:type="pct"/>
            <w:shd w:val="clear" w:color="auto" w:fill="auto"/>
            <w:vAlign w:val="center"/>
          </w:tcPr>
          <w:p>
            <w:pPr>
              <w:jc w:val="center"/>
              <w:rPr>
                <w:rFonts w:ascii="黑体" w:hAnsi="黑体" w:eastAsia="黑体"/>
              </w:rPr>
            </w:pPr>
            <w:r>
              <w:rPr>
                <w:rFonts w:hint="eastAsia" w:ascii="黑体" w:hAnsi="黑体" w:eastAsia="黑体"/>
              </w:rPr>
              <w:t>0.97</w:t>
            </w:r>
          </w:p>
        </w:tc>
        <w:tc>
          <w:tcPr>
            <w:tcW w:w="360" w:type="pct"/>
            <w:shd w:val="clear" w:color="auto" w:fill="auto"/>
            <w:vAlign w:val="center"/>
          </w:tcPr>
          <w:p>
            <w:pPr>
              <w:jc w:val="center"/>
              <w:rPr>
                <w:rFonts w:ascii="黑体" w:hAnsi="黑体" w:eastAsia="黑体"/>
              </w:rPr>
            </w:pPr>
            <w:r>
              <w:rPr>
                <w:rFonts w:hint="eastAsia" w:ascii="黑体" w:hAnsi="黑体" w:eastAsia="黑体"/>
              </w:rPr>
              <w:t>1.08</w:t>
            </w:r>
          </w:p>
        </w:tc>
        <w:tc>
          <w:tcPr>
            <w:tcW w:w="360" w:type="pct"/>
            <w:shd w:val="clear" w:color="auto" w:fill="auto"/>
            <w:vAlign w:val="center"/>
          </w:tcPr>
          <w:p>
            <w:pPr>
              <w:jc w:val="center"/>
              <w:rPr>
                <w:rFonts w:ascii="黑体" w:hAnsi="黑体" w:eastAsia="黑体"/>
              </w:rPr>
            </w:pPr>
            <w:r>
              <w:rPr>
                <w:rFonts w:hint="eastAsia" w:ascii="黑体" w:hAnsi="黑体" w:eastAsia="黑体"/>
              </w:rPr>
              <w:t>1.20</w:t>
            </w:r>
          </w:p>
        </w:tc>
        <w:tc>
          <w:tcPr>
            <w:tcW w:w="360" w:type="pct"/>
            <w:shd w:val="clear" w:color="auto" w:fill="auto"/>
            <w:vAlign w:val="center"/>
          </w:tcPr>
          <w:p>
            <w:pPr>
              <w:jc w:val="center"/>
              <w:rPr>
                <w:rFonts w:ascii="黑体" w:hAnsi="黑体" w:eastAsia="黑体"/>
              </w:rPr>
            </w:pPr>
            <w:r>
              <w:rPr>
                <w:rFonts w:hint="eastAsia" w:ascii="黑体" w:hAnsi="黑体" w:eastAsia="黑体"/>
              </w:rPr>
              <w:t>1.25</w:t>
            </w:r>
          </w:p>
        </w:tc>
        <w:tc>
          <w:tcPr>
            <w:tcW w:w="360" w:type="pct"/>
            <w:shd w:val="clear" w:color="auto" w:fill="auto"/>
            <w:vAlign w:val="center"/>
          </w:tcPr>
          <w:p>
            <w:pPr>
              <w:jc w:val="center"/>
              <w:rPr>
                <w:rFonts w:ascii="黑体" w:hAnsi="黑体" w:eastAsia="黑体"/>
              </w:rPr>
            </w:pPr>
            <w:r>
              <w:rPr>
                <w:rFonts w:hint="eastAsia" w:ascii="黑体" w:hAnsi="黑体" w:eastAsia="黑体"/>
              </w:rPr>
              <w:t>—</w:t>
            </w:r>
          </w:p>
        </w:tc>
        <w:tc>
          <w:tcPr>
            <w:tcW w:w="360" w:type="pct"/>
            <w:shd w:val="clear" w:color="auto" w:fill="auto"/>
            <w:vAlign w:val="center"/>
          </w:tcPr>
          <w:p>
            <w:pPr>
              <w:jc w:val="center"/>
              <w:rPr>
                <w:rFonts w:ascii="黑体" w:hAnsi="黑体" w:eastAsia="黑体"/>
              </w:rPr>
            </w:pPr>
            <w:r>
              <w:rPr>
                <w:rFonts w:hint="eastAsia" w:ascii="黑体" w:hAnsi="黑体" w:eastAsia="黑体"/>
              </w:rPr>
              <w:t>—</w:t>
            </w:r>
          </w:p>
        </w:tc>
        <w:tc>
          <w:tcPr>
            <w:tcW w:w="360" w:type="pct"/>
            <w:shd w:val="clear" w:color="auto" w:fill="auto"/>
            <w:vAlign w:val="center"/>
          </w:tcPr>
          <w:p>
            <w:pPr>
              <w:jc w:val="center"/>
              <w:rPr>
                <w:rFonts w:ascii="黑体" w:hAnsi="黑体" w:eastAsia="黑体"/>
              </w:rPr>
            </w:pPr>
            <w:r>
              <w:rPr>
                <w:rFonts w:hint="eastAsia" w:ascii="黑体" w:hAnsi="黑体" w:eastAsia="黑体"/>
              </w:rPr>
              <w:t>—</w:t>
            </w:r>
          </w:p>
        </w:tc>
        <w:tc>
          <w:tcPr>
            <w:tcW w:w="364" w:type="pct"/>
            <w:shd w:val="clear" w:color="auto" w:fill="auto"/>
            <w:vAlign w:val="center"/>
          </w:tcPr>
          <w:p>
            <w:pPr>
              <w:jc w:val="center"/>
              <w:rPr>
                <w:rFonts w:ascii="黑体" w:hAnsi="黑体" w:eastAsia="黑体"/>
              </w:rPr>
            </w:pPr>
            <w:r>
              <w:rPr>
                <w:rFonts w:hint="eastAsia" w:ascii="黑体" w:hAnsi="黑体" w:eastAsia="黑体"/>
              </w:rPr>
              <w:t>—</w:t>
            </w:r>
          </w:p>
        </w:tc>
      </w:tr>
    </w:tbl>
    <w:p>
      <w:pPr>
        <w:pStyle w:val="65"/>
        <w:spacing w:before="156" w:after="156"/>
        <w:rPr>
          <w:rFonts w:hAnsi="黑体"/>
        </w:rPr>
      </w:pPr>
      <w:r>
        <w:rPr>
          <w:rFonts w:hint="eastAsia" w:hAnsi="黑体"/>
        </w:rPr>
        <w:t>螺杆灌注桩软质岩嵌岩桩单桩极限承载力估算值应取式（2）或</w:t>
      </w:r>
      <w:r>
        <w:rPr>
          <w:rFonts w:hAnsi="黑体"/>
        </w:rPr>
        <w:t>（</w:t>
      </w:r>
      <w:r>
        <w:rPr>
          <w:rFonts w:hint="eastAsia" w:hAnsi="黑体"/>
        </w:rPr>
        <w:t>6</w:t>
      </w:r>
      <w:r>
        <w:rPr>
          <w:rFonts w:hAnsi="黑体"/>
        </w:rPr>
        <w:t>）</w:t>
      </w:r>
      <w:r>
        <w:rPr>
          <w:rFonts w:hint="eastAsia" w:hAnsi="黑体"/>
        </w:rPr>
        <w:t>与式（</w:t>
      </w:r>
      <w:r>
        <w:rPr>
          <w:rFonts w:hAnsi="黑体"/>
        </w:rPr>
        <w:t>9</w:t>
      </w:r>
      <w:r>
        <w:rPr>
          <w:rFonts w:hint="eastAsia" w:hAnsi="黑体"/>
        </w:rPr>
        <w:t>）计算值的大值。</w:t>
      </w:r>
    </w:p>
    <w:p>
      <w:pPr>
        <w:pStyle w:val="65"/>
        <w:spacing w:before="156" w:after="156"/>
        <w:rPr>
          <w:rFonts w:hAnsi="黑体"/>
        </w:rPr>
      </w:pPr>
      <w:r>
        <w:rPr>
          <w:rFonts w:hint="eastAsia" w:hAnsi="黑体"/>
        </w:rPr>
        <w:t>对于桩身周围有液化土层的低承台桩基，当承台底面上下分别有厚度不小于1.5m、1.0m的非液化土或非软弱土层时，可将液化土层极限侧阻力乘以土层液化影响折减系数计算单桩极限承载力标准值。土层液化影响折减系数</w:t>
      </w:r>
      <w:r>
        <w:rPr>
          <w:rFonts w:hint="eastAsia" w:hAnsi="黑体"/>
          <w:i/>
          <w:iCs/>
        </w:rPr>
        <w:t>y</w:t>
      </w:r>
      <w:r>
        <w:rPr>
          <w:rFonts w:hint="eastAsia" w:hAnsi="黑体"/>
          <w:i/>
          <w:iCs/>
          <w:vertAlign w:val="subscript"/>
        </w:rPr>
        <w:t xml:space="preserve"> l</w:t>
      </w:r>
      <w:r>
        <w:rPr>
          <w:rFonts w:hint="eastAsia" w:hAnsi="黑体"/>
          <w:i/>
          <w:iCs/>
        </w:rPr>
        <w:t xml:space="preserve"> </w:t>
      </w:r>
      <w:r>
        <w:rPr>
          <w:rFonts w:hint="eastAsia" w:hAnsi="黑体"/>
        </w:rPr>
        <w:t>可按表</w:t>
      </w:r>
      <w:r>
        <w:rPr>
          <w:rFonts w:hAnsi="黑体"/>
        </w:rPr>
        <w:t>8</w:t>
      </w:r>
      <w:r>
        <w:rPr>
          <w:rFonts w:hint="eastAsia" w:hAnsi="黑体"/>
        </w:rPr>
        <w:t xml:space="preserve"> 确定。</w:t>
      </w:r>
    </w:p>
    <w:p>
      <w:pPr>
        <w:pStyle w:val="112"/>
        <w:spacing w:before="156" w:after="156"/>
        <w:rPr>
          <w:rFonts w:hAnsi="黑体"/>
          <w:bCs/>
        </w:rPr>
      </w:pPr>
      <w:r>
        <w:rPr>
          <w:rFonts w:hint="eastAsia" w:hAnsi="黑体"/>
          <w:bCs/>
        </w:rPr>
        <w:t>土层液化影响折减系数</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110"/>
        <w:gridCol w:w="3401"/>
        <w:gridCol w:w="282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3110" w:type="dxa"/>
            <w:tcBorders>
              <w:top w:val="single" w:color="auto" w:sz="8" w:space="0"/>
              <w:bottom w:val="single" w:color="auto" w:sz="8" w:space="0"/>
            </w:tcBorders>
            <w:shd w:val="clear" w:color="auto" w:fill="auto"/>
            <w:vAlign w:val="center"/>
          </w:tcPr>
          <w:p>
            <w:pPr>
              <w:jc w:val="center"/>
              <w:rPr>
                <w:rFonts w:ascii="黑体" w:hAnsi="黑体" w:eastAsia="黑体"/>
              </w:rPr>
            </w:pP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pict>
                <v:shape id="_x0000_i1040" o:spt="75" type="#_x0000_t75" style="height:13.95pt;width:62.35pt;" filled="f" o:preferrelative="t" stroked="f" coordsize="21600,21600">
                  <v:path/>
                  <v:fill on="f" focussize="0,0"/>
                  <v:stroke on="f" joinstyle="miter"/>
                  <v:imagedata r:id="rId109" r:href="rId110" o:title=""/>
                  <o:lock v:ext="edit" aspectratio="t"/>
                  <w10:wrap type="none"/>
                  <w10:anchorlock/>
                </v:shape>
              </w:pict>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p>
        </w:tc>
        <w:tc>
          <w:tcPr>
            <w:tcW w:w="3401" w:type="dxa"/>
            <w:tcBorders>
              <w:top w:val="single" w:color="auto" w:sz="8" w:space="0"/>
              <w:bottom w:val="single" w:color="auto" w:sz="8" w:space="0"/>
            </w:tcBorders>
            <w:shd w:val="clear" w:color="auto" w:fill="auto"/>
          </w:tcPr>
          <w:p>
            <w:pPr>
              <w:jc w:val="center"/>
              <w:rPr>
                <w:rFonts w:ascii="黑体" w:hAnsi="黑体" w:eastAsia="黑体"/>
              </w:rPr>
            </w:pPr>
            <w:r>
              <w:rPr>
                <w:rFonts w:hint="eastAsia" w:ascii="黑体" w:hAnsi="黑体" w:eastAsia="黑体"/>
              </w:rPr>
              <w:t>自地面算起的液化土层深度</w:t>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pict>
                <v:shape id="_x0000_i1041" o:spt="75" type="#_x0000_t75" style="height:12.9pt;width:15.05pt;" filled="f" o:preferrelative="t" stroked="f" coordsize="21600,21600">
                  <v:path/>
                  <v:fill on="f" focussize="0,0"/>
                  <v:stroke on="f" joinstyle="miter"/>
                  <v:imagedata r:id="rId111" r:href="rId112" o:title=""/>
                  <o:lock v:ext="edit" aspectratio="t"/>
                  <w10:wrap type="none"/>
                  <w10:anchorlock/>
                </v:shape>
              </w:pict>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hint="eastAsia" w:ascii="黑体" w:hAnsi="黑体" w:eastAsia="黑体"/>
              </w:rPr>
              <w:t>(m)</w:t>
            </w:r>
          </w:p>
        </w:tc>
        <w:tc>
          <w:tcPr>
            <w:tcW w:w="2823" w:type="dxa"/>
            <w:tcBorders>
              <w:top w:val="single" w:color="auto" w:sz="8" w:space="0"/>
              <w:bottom w:val="single" w:color="auto" w:sz="8" w:space="0"/>
            </w:tcBorders>
            <w:shd w:val="clear" w:color="auto" w:fill="auto"/>
            <w:vAlign w:val="center"/>
          </w:tcPr>
          <w:p>
            <w:pPr>
              <w:jc w:val="center"/>
              <w:rPr>
                <w:rFonts w:ascii="黑体" w:hAnsi="黑体" w:eastAsia="黑体"/>
              </w:rPr>
            </w:pP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pict>
                <v:shape id="_x0000_i1042" o:spt="75" type="#_x0000_t75" style="height:13.95pt;width:13.95pt;" filled="f" o:preferrelative="t" stroked="f" coordsize="21600,21600">
                  <v:path/>
                  <v:fill on="f" focussize="0,0"/>
                  <v:stroke on="f" joinstyle="miter"/>
                  <v:imagedata r:id="rId113" r:href="rId114" o:title=""/>
                  <o:lock v:ext="edit" aspectratio="t"/>
                  <w10:wrap type="none"/>
                  <w10:anchorlock/>
                </v:shape>
              </w:pict>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top w:val="single" w:color="auto" w:sz="8" w:space="0"/>
            </w:tcBorders>
            <w:shd w:val="clear" w:color="auto" w:fill="auto"/>
            <w:vAlign w:val="center"/>
          </w:tcPr>
          <w:p>
            <w:pPr>
              <w:jc w:val="center"/>
              <w:rPr>
                <w:rFonts w:ascii="黑体" w:hAnsi="黑体" w:eastAsia="黑体"/>
              </w:rPr>
            </w:pP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pict>
                <v:shape id="_x0000_i1043" o:spt="75" type="#_x0000_t75" style="height:13.95pt;width:27.95pt;" filled="f" o:preferrelative="t" stroked="f" coordsize="21600,21600">
                  <v:path/>
                  <v:fill on="f" focussize="0,0"/>
                  <v:stroke on="f" joinstyle="miter"/>
                  <v:imagedata r:id="rId115" r:href="rId116" o:title=""/>
                  <o:lock v:ext="edit" aspectratio="t"/>
                  <w10:wrap type="none"/>
                  <w10:anchorlock/>
                </v:shape>
              </w:pict>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p>
        </w:tc>
        <w:tc>
          <w:tcPr>
            <w:tcW w:w="3401" w:type="dxa"/>
            <w:tcBorders>
              <w:top w:val="single" w:color="auto" w:sz="8" w:space="0"/>
            </w:tcBorders>
            <w:shd w:val="clear" w:color="auto" w:fill="auto"/>
          </w:tcPr>
          <w:p>
            <w:pPr>
              <w:jc w:val="center"/>
              <w:rPr>
                <w:rFonts w:ascii="黑体" w:hAnsi="黑体" w:eastAsia="黑体"/>
              </w:rPr>
            </w:pP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pict>
                <v:shape id="_x0000_i1044" o:spt="75" type="#_x0000_t75" style="height:12.9pt;width:38.7pt;" filled="f" o:preferrelative="t" stroked="f" coordsize="21600,21600">
                  <v:path/>
                  <v:fill on="f" focussize="0,0"/>
                  <v:stroke on="f" joinstyle="miter"/>
                  <v:imagedata r:id="rId117" r:href="rId118" o:title=""/>
                  <o:lock v:ext="edit" aspectratio="t"/>
                  <w10:wrap type="none"/>
                  <w10:anchorlock/>
                </v:shape>
              </w:pict>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p>
          <w:p>
            <w:pPr>
              <w:jc w:val="center"/>
              <w:rPr>
                <w:rFonts w:ascii="黑体" w:hAnsi="黑体" w:eastAsia="黑体"/>
              </w:rPr>
            </w:pP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pict>
                <v:shape id="_x0000_i1045" o:spt="75" type="#_x0000_t75" style="height:12.9pt;width:62.35pt;" filled="f" o:preferrelative="t" stroked="f" coordsize="21600,21600">
                  <v:path/>
                  <v:fill on="f" focussize="0,0"/>
                  <v:stroke on="f" joinstyle="miter"/>
                  <v:imagedata r:id="rId119" r:href="rId120" o:title=""/>
                  <o:lock v:ext="edit" aspectratio="t"/>
                  <w10:wrap type="none"/>
                  <w10:anchorlock/>
                </v:shape>
              </w:pict>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p>
        </w:tc>
        <w:tc>
          <w:tcPr>
            <w:tcW w:w="2823" w:type="dxa"/>
            <w:tcBorders>
              <w:top w:val="single" w:color="auto" w:sz="8" w:space="0"/>
            </w:tcBorders>
            <w:shd w:val="clear" w:color="auto" w:fill="auto"/>
          </w:tcPr>
          <w:p>
            <w:pPr>
              <w:jc w:val="center"/>
              <w:rPr>
                <w:rFonts w:ascii="黑体" w:hAnsi="黑体" w:eastAsia="黑体"/>
              </w:rPr>
            </w:pPr>
            <w:r>
              <w:rPr>
                <w:rFonts w:hint="eastAsia" w:ascii="黑体" w:hAnsi="黑体" w:eastAsia="黑体"/>
              </w:rPr>
              <w:t>0</w:t>
            </w:r>
          </w:p>
          <w:p>
            <w:pPr>
              <w:jc w:val="center"/>
              <w:rPr>
                <w:rFonts w:ascii="黑体" w:hAnsi="黑体" w:eastAsia="黑体"/>
              </w:rPr>
            </w:pPr>
            <w:r>
              <w:rPr>
                <w:rFonts w:hint="eastAsia" w:ascii="黑体" w:hAnsi="黑体" w:eastAsia="黑体"/>
              </w:rPr>
              <w:t>1/3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shd w:val="clear" w:color="auto" w:fill="auto"/>
          </w:tcPr>
          <w:p>
            <w:pPr>
              <w:jc w:val="center"/>
              <w:rPr>
                <w:rFonts w:ascii="黑体" w:hAnsi="黑体" w:eastAsia="黑体"/>
              </w:rPr>
            </w:pP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pict>
                <v:shape id="_x0000_i1046" o:spt="75" type="#_x0000_t75" style="height:13.95pt;width:44.05pt;" filled="f" o:preferrelative="t" stroked="f" coordsize="21600,21600">
                  <v:path/>
                  <v:fill on="f" focussize="0,0"/>
                  <v:stroke on="f" joinstyle="miter"/>
                  <v:imagedata r:id="rId121" r:href="rId122" o:title=""/>
                  <o:lock v:ext="edit" aspectratio="t"/>
                  <w10:wrap type="none"/>
                  <w10:anchorlock/>
                </v:shape>
              </w:pict>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p>
        </w:tc>
        <w:tc>
          <w:tcPr>
            <w:tcW w:w="3401" w:type="dxa"/>
            <w:shd w:val="clear" w:color="auto" w:fill="auto"/>
          </w:tcPr>
          <w:p>
            <w:pPr>
              <w:jc w:val="center"/>
              <w:rPr>
                <w:rFonts w:ascii="黑体" w:hAnsi="黑体" w:eastAsia="黑体"/>
              </w:rPr>
            </w:pP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pict>
                <v:shape id="_x0000_i1047" o:spt="75" type="#_x0000_t75" style="height:12.9pt;width:38.7pt;" filled="f" o:preferrelative="t" stroked="f" coordsize="21600,21600">
                  <v:path/>
                  <v:fill on="f" focussize="0,0"/>
                  <v:stroke on="f" joinstyle="miter"/>
                  <v:imagedata r:id="rId117" r:href="rId118" o:title=""/>
                  <o:lock v:ext="edit" aspectratio="t"/>
                  <w10:wrap type="none"/>
                  <w10:anchorlock/>
                </v:shape>
              </w:pict>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p>
          <w:p>
            <w:pPr>
              <w:jc w:val="center"/>
              <w:rPr>
                <w:rFonts w:ascii="黑体" w:hAnsi="黑体" w:eastAsia="黑体"/>
              </w:rPr>
            </w:pP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pict>
                <v:shape id="_x0000_i1048" o:spt="75" type="#_x0000_t75" style="height:12.9pt;width:62.35pt;" filled="f" o:preferrelative="t" stroked="f" coordsize="21600,21600">
                  <v:path/>
                  <v:fill on="f" focussize="0,0"/>
                  <v:stroke on="f" joinstyle="miter"/>
                  <v:imagedata r:id="rId119" r:href="rId120" o:title=""/>
                  <o:lock v:ext="edit" aspectratio="t"/>
                  <w10:wrap type="none"/>
                  <w10:anchorlock/>
                </v:shape>
              </w:pict>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p>
        </w:tc>
        <w:tc>
          <w:tcPr>
            <w:tcW w:w="2823" w:type="dxa"/>
            <w:shd w:val="clear" w:color="auto" w:fill="auto"/>
          </w:tcPr>
          <w:p>
            <w:pPr>
              <w:jc w:val="center"/>
              <w:rPr>
                <w:rFonts w:ascii="黑体" w:hAnsi="黑体" w:eastAsia="黑体"/>
              </w:rPr>
            </w:pPr>
            <w:r>
              <w:rPr>
                <w:rFonts w:hint="eastAsia" w:ascii="黑体" w:hAnsi="黑体" w:eastAsia="黑体"/>
              </w:rPr>
              <w:t>1/3</w:t>
            </w:r>
          </w:p>
          <w:p>
            <w:pPr>
              <w:jc w:val="center"/>
              <w:rPr>
                <w:rFonts w:ascii="黑体" w:hAnsi="黑体" w:eastAsia="黑体"/>
              </w:rPr>
            </w:pPr>
            <w:r>
              <w:rPr>
                <w:rFonts w:hint="eastAsia" w:ascii="黑体" w:hAnsi="黑体" w:eastAsia="黑体"/>
              </w:rPr>
              <w:t>2/3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110" w:type="dxa"/>
            <w:shd w:val="clear" w:color="auto" w:fill="auto"/>
            <w:vAlign w:val="center"/>
          </w:tcPr>
          <w:p>
            <w:pPr>
              <w:jc w:val="center"/>
              <w:rPr>
                <w:rFonts w:ascii="黑体" w:hAnsi="黑体" w:eastAsia="黑体"/>
              </w:rPr>
            </w:pP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fldChar w:fldCharType="begin"/>
            </w:r>
            <w:r>
              <w:instrText xml:space="preserve"> INCLUDEPICTURE "../../Downloads/" \* MERGEFORMAT </w:instrText>
            </w:r>
            <w:r>
              <w:rPr>
                <w:rFonts w:ascii="黑体" w:hAnsi="黑体" w:eastAsia="黑体"/>
                <w:position w:val="-12"/>
              </w:rPr>
              <w:fldChar w:fldCharType="separate"/>
            </w:r>
            <w:r>
              <w:rPr>
                <w:rFonts w:ascii="黑体" w:hAnsi="黑体" w:eastAsia="黑体"/>
                <w:position w:val="-12"/>
              </w:rPr>
              <w:pict>
                <v:shape id="_x0000_i1049" o:spt="75" type="#_x0000_t75" style="height:13.95pt;width:43pt;" filled="f" o:preferrelative="t" stroked="f" coordsize="21600,21600">
                  <v:path/>
                  <v:fill on="f" focussize="0,0"/>
                  <v:stroke on="f" joinstyle="miter"/>
                  <v:imagedata r:id="rId123" r:href="rId124" o:title=""/>
                  <o:lock v:ext="edit" aspectratio="t"/>
                  <w10:wrap type="none"/>
                  <w10:anchorlock/>
                </v:shape>
              </w:pict>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r>
              <w:rPr>
                <w:rFonts w:ascii="黑体" w:hAnsi="黑体" w:eastAsia="黑体"/>
                <w:position w:val="-12"/>
              </w:rPr>
              <w:fldChar w:fldCharType="end"/>
            </w:r>
          </w:p>
        </w:tc>
        <w:tc>
          <w:tcPr>
            <w:tcW w:w="3401" w:type="dxa"/>
            <w:shd w:val="clear" w:color="auto" w:fill="auto"/>
          </w:tcPr>
          <w:p>
            <w:pPr>
              <w:jc w:val="center"/>
              <w:rPr>
                <w:rFonts w:ascii="黑体" w:hAnsi="黑体" w:eastAsia="黑体"/>
              </w:rPr>
            </w:pP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pict>
                <v:shape id="_x0000_i1050" o:spt="75" type="#_x0000_t75" style="height:12.9pt;width:38.7pt;" filled="f" o:preferrelative="t" stroked="f" coordsize="21600,21600">
                  <v:path/>
                  <v:fill on="f" focussize="0,0"/>
                  <v:stroke on="f" joinstyle="miter"/>
                  <v:imagedata r:id="rId117" r:href="rId118" o:title=""/>
                  <o:lock v:ext="edit" aspectratio="t"/>
                  <w10:wrap type="none"/>
                  <w10:anchorlock/>
                </v:shape>
              </w:pict>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p>
          <w:p>
            <w:pPr>
              <w:jc w:val="center"/>
              <w:rPr>
                <w:rFonts w:ascii="黑体" w:hAnsi="黑体" w:eastAsia="黑体"/>
              </w:rPr>
            </w:pP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fldChar w:fldCharType="begin"/>
            </w:r>
            <w:r>
              <w:instrText xml:space="preserve"> INCLUDEPICTURE "../../Downloads/" \* MERGEFORMAT </w:instrText>
            </w:r>
            <w:r>
              <w:rPr>
                <w:rFonts w:ascii="黑体" w:hAnsi="黑体" w:eastAsia="黑体"/>
                <w:position w:val="-10"/>
              </w:rPr>
              <w:fldChar w:fldCharType="separate"/>
            </w:r>
            <w:r>
              <w:rPr>
                <w:rFonts w:ascii="黑体" w:hAnsi="黑体" w:eastAsia="黑体"/>
                <w:position w:val="-10"/>
              </w:rPr>
              <w:pict>
                <v:shape id="_x0000_i1051" o:spt="75" type="#_x0000_t75" style="height:12.9pt;width:62.35pt;" filled="f" o:preferrelative="t" stroked="f" coordsize="21600,21600">
                  <v:path/>
                  <v:fill on="f" focussize="0,0"/>
                  <v:stroke on="f" joinstyle="miter"/>
                  <v:imagedata r:id="rId119" r:href="rId120" o:title=""/>
                  <o:lock v:ext="edit" aspectratio="t"/>
                  <w10:wrap type="none"/>
                  <w10:anchorlock/>
                </v:shape>
              </w:pict>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r>
              <w:rPr>
                <w:rFonts w:ascii="黑体" w:hAnsi="黑体" w:eastAsia="黑体"/>
                <w:position w:val="-10"/>
              </w:rPr>
              <w:fldChar w:fldCharType="end"/>
            </w:r>
          </w:p>
        </w:tc>
        <w:tc>
          <w:tcPr>
            <w:tcW w:w="2823" w:type="dxa"/>
            <w:shd w:val="clear" w:color="auto" w:fill="auto"/>
          </w:tcPr>
          <w:p>
            <w:pPr>
              <w:jc w:val="center"/>
              <w:rPr>
                <w:rFonts w:ascii="黑体" w:hAnsi="黑体" w:eastAsia="黑体"/>
              </w:rPr>
            </w:pPr>
            <w:r>
              <w:rPr>
                <w:rFonts w:hint="eastAsia" w:ascii="黑体" w:hAnsi="黑体" w:eastAsia="黑体"/>
              </w:rPr>
              <w:t>2/3</w:t>
            </w:r>
          </w:p>
          <w:p>
            <w:pPr>
              <w:jc w:val="center"/>
              <w:rPr>
                <w:rFonts w:ascii="黑体" w:hAnsi="黑体" w:eastAsia="黑体"/>
              </w:rPr>
            </w:pPr>
            <w:r>
              <w:rPr>
                <w:rFonts w:hint="eastAsia" w:ascii="黑体" w:hAnsi="黑体" w:eastAsia="黑体"/>
              </w:rPr>
              <w:t>1.0</w:t>
            </w:r>
          </w:p>
        </w:tc>
      </w:tr>
    </w:tbl>
    <w:p>
      <w:pPr>
        <w:pStyle w:val="180"/>
        <w:widowControl/>
        <w:numPr>
          <w:ilvl w:val="0"/>
          <w:numId w:val="33"/>
        </w:numPr>
        <w:jc w:val="left"/>
        <w:rPr>
          <w:rFonts w:ascii="黑体" w:hAnsi="黑体" w:eastAsia="黑体"/>
          <w:kern w:val="2"/>
          <w:sz w:val="21"/>
          <w:szCs w:val="21"/>
        </w:rPr>
      </w:pPr>
      <w:r>
        <w:rPr>
          <w:rFonts w:hint="eastAsia" w:ascii="黑体" w:hAnsi="黑体" w:eastAsia="黑体"/>
        </w:rPr>
        <w:t xml:space="preserve">N为饱和土标贯击数实测值；Ncr为液化判别标贯击数临界值。 </w:t>
      </w:r>
    </w:p>
    <w:p>
      <w:pPr>
        <w:pStyle w:val="180"/>
        <w:numPr>
          <w:ilvl w:val="0"/>
          <w:numId w:val="33"/>
        </w:numPr>
        <w:rPr>
          <w:rFonts w:ascii="黑体" w:hAnsi="黑体" w:eastAsia="黑体"/>
        </w:rPr>
      </w:pPr>
      <w:r>
        <w:rPr>
          <w:rFonts w:hint="eastAsia" w:ascii="黑体" w:hAnsi="黑体" w:eastAsia="黑体"/>
        </w:rPr>
        <w:t>当承台底面上下非液化土层厚度小于以上规定时，土层液化影响折减系数</w:t>
      </w:r>
      <w:r>
        <w:rPr>
          <w:rFonts w:hint="eastAsia" w:ascii="黑体" w:hAnsi="黑体" w:eastAsia="黑体"/>
          <w:i/>
          <w:iCs/>
        </w:rPr>
        <w:t>y</w:t>
      </w:r>
      <w:r>
        <w:rPr>
          <w:rFonts w:hint="eastAsia" w:ascii="黑体" w:hAnsi="黑体" w:eastAsia="黑体"/>
          <w:i/>
          <w:iCs/>
          <w:vertAlign w:val="subscript"/>
        </w:rPr>
        <w:t xml:space="preserve"> l</w:t>
      </w:r>
      <w:r>
        <w:rPr>
          <w:rFonts w:hint="eastAsia" w:ascii="黑体" w:hAnsi="黑体" w:eastAsia="黑体"/>
        </w:rPr>
        <w:t>取0。</w:t>
      </w:r>
    </w:p>
    <w:p>
      <w:pPr>
        <w:pStyle w:val="180"/>
        <w:numPr>
          <w:ilvl w:val="0"/>
          <w:numId w:val="0"/>
        </w:numPr>
        <w:ind w:left="811"/>
        <w:rPr>
          <w:rFonts w:ascii="黑体" w:hAnsi="黑体" w:eastAsia="黑体"/>
        </w:rPr>
      </w:pPr>
    </w:p>
    <w:p>
      <w:pPr>
        <w:pStyle w:val="105"/>
        <w:spacing w:before="156" w:after="156"/>
        <w:rPr>
          <w:rFonts w:hAnsi="黑体"/>
        </w:rPr>
      </w:pPr>
      <w:bookmarkStart w:id="177" w:name="_Toc1058"/>
      <w:r>
        <w:rPr>
          <w:rFonts w:hint="eastAsia" w:hAnsi="黑体"/>
        </w:rPr>
        <w:t>桩身承载力</w:t>
      </w:r>
      <w:bookmarkEnd w:id="177"/>
    </w:p>
    <w:p>
      <w:pPr>
        <w:pStyle w:val="65"/>
        <w:spacing w:before="156" w:after="156"/>
        <w:rPr>
          <w:rFonts w:hAnsi="黑体"/>
        </w:rPr>
      </w:pPr>
      <w:r>
        <w:rPr>
          <w:rFonts w:hint="eastAsia" w:hAnsi="黑体"/>
        </w:rPr>
        <w:t>螺杆灌注桩桩身承载力除应验算桩顶正截面受压承载力外，尚应验算螺纹段桩身正截面受压承载力。</w:t>
      </w:r>
    </w:p>
    <w:p>
      <w:pPr>
        <w:pStyle w:val="65"/>
        <w:spacing w:before="156" w:after="156"/>
        <w:rPr>
          <w:rFonts w:hAnsi="黑体"/>
        </w:rPr>
      </w:pPr>
      <w:r>
        <w:rPr>
          <w:rFonts w:hint="eastAsia" w:hAnsi="黑体"/>
        </w:rPr>
        <w:t>螺杆灌注桩桩顶正截面受压承载力应符合下列规定：</w:t>
      </w:r>
    </w:p>
    <w:p>
      <w:pPr>
        <w:pStyle w:val="65"/>
        <w:numPr>
          <w:ilvl w:val="0"/>
          <w:numId w:val="0"/>
        </w:numPr>
        <w:spacing w:before="156" w:after="156"/>
        <w:ind w:firstLine="420" w:firstLineChars="200"/>
        <w:rPr>
          <w:rFonts w:hAnsi="黑体"/>
        </w:rPr>
      </w:pPr>
      <w:r>
        <w:rPr>
          <w:rFonts w:hint="eastAsia" w:hAnsi="黑体"/>
        </w:rPr>
        <w:t>a)</w:t>
      </w:r>
      <w:r>
        <w:rPr>
          <w:rFonts w:hAnsi="黑体"/>
        </w:rPr>
        <w:t xml:space="preserve"> </w:t>
      </w:r>
      <w:r>
        <w:rPr>
          <w:rFonts w:hint="eastAsia" w:hAnsi="黑体"/>
        </w:rPr>
        <w:t>当桩顶以下5d</w:t>
      </w:r>
      <w:r>
        <w:rPr>
          <w:rFonts w:hint="eastAsia" w:hAnsi="黑体"/>
          <w:vertAlign w:val="subscript"/>
        </w:rPr>
        <w:t>1</w:t>
      </w:r>
      <w:r>
        <w:rPr>
          <w:rFonts w:hint="eastAsia" w:hAnsi="黑体"/>
        </w:rPr>
        <w:t>范围的桩身螺旋式箍筋间距不大于100mm，且符合本标准第5.2.13条规定时</w:t>
      </w:r>
      <w:r>
        <w:rPr>
          <w:rFonts w:hint="eastAsia" w:hAnsi="黑体"/>
          <w:lang w:eastAsia="zh-CN"/>
        </w:rPr>
        <w:t>应</w:t>
      </w:r>
      <w:r>
        <w:rPr>
          <w:rFonts w:hint="eastAsia" w:hAnsi="黑体"/>
        </w:rPr>
        <w:t>按</w:t>
      </w:r>
      <w:r>
        <w:rPr>
          <w:rFonts w:hint="eastAsia" w:hAnsi="黑体"/>
          <w:lang w:eastAsia="zh-CN"/>
        </w:rPr>
        <w:t>（</w:t>
      </w:r>
      <w:r>
        <w:rPr>
          <w:rFonts w:hint="eastAsia" w:hAnsi="黑体"/>
          <w:lang w:val="en-US" w:eastAsia="zh-CN"/>
        </w:rPr>
        <w:t>11）</w:t>
      </w:r>
      <w:r>
        <w:rPr>
          <w:rFonts w:hint="eastAsia" w:hAnsi="黑体"/>
        </w:rPr>
        <w:t>式估算：</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1419225" cy="259080"/>
            <wp:effectExtent l="0" t="0" r="9525" b="7620"/>
            <wp:docPr id="225" name="图片 225" descr="C:\Users\ADMINI~1\AppData\Local\Temp\ksohtml9220\wps119.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5" name="图片 225" descr="C:\Users\ADMINI~1\AppData\Local\Temp\ksohtml9220\wps119.png"/>
                    <pic:cNvPicPr>
                      <a:picLocks noChangeAspect="true" noChangeArrowheads="true"/>
                    </pic:cNvPicPr>
                  </pic:nvPicPr>
                  <pic:blipFill>
                    <a:blip r:embed="rId125">
                      <a:extLst>
                        <a:ext uri="{28A0092B-C50C-407E-A947-70E740481C1C}">
                          <a14:useLocalDpi xmlns:a14="http://schemas.microsoft.com/office/drawing/2010/main" val="false"/>
                        </a:ext>
                      </a:extLst>
                    </a:blip>
                    <a:srcRect/>
                    <a:stretch>
                      <a:fillRect/>
                    </a:stretch>
                  </pic:blipFill>
                  <pic:spPr>
                    <a:xfrm>
                      <a:off x="0" y="0"/>
                      <a:ext cx="1419225" cy="259080"/>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ascii="黑体" w:hAnsi="黑体" w:eastAsia="黑体"/>
        </w:rPr>
        <w:fldChar w:fldCharType="begin"/>
      </w:r>
      <w:r>
        <w:rPr>
          <w:rFonts w:ascii="黑体" w:hAnsi="黑体" w:eastAsia="黑体"/>
        </w:rPr>
        <w:instrText xml:space="preserve"> AUTONUM </w:instrText>
      </w:r>
      <w:r>
        <w:rPr>
          <w:rFonts w:ascii="黑体" w:hAnsi="黑体" w:eastAsia="黑体"/>
        </w:rPr>
        <w:fldChar w:fldCharType="end"/>
      </w:r>
      <w:r>
        <w:rPr>
          <w:rFonts w:hint="eastAsia" w:ascii="黑体" w:hAnsi="黑体" w:eastAsia="黑体"/>
          <w:lang w:val="en-US" w:eastAsia="zh-CN"/>
        </w:rPr>
        <w:t>1</w:t>
      </w:r>
      <w:r>
        <w:rPr>
          <w:rFonts w:ascii="黑体" w:hAnsi="黑体" w:eastAsia="黑体"/>
        </w:rPr>
        <w:t>)</w:t>
      </w:r>
    </w:p>
    <w:p>
      <w:pPr>
        <w:pStyle w:val="56"/>
        <w:ind w:firstLine="420"/>
        <w:rPr>
          <w:rFonts w:ascii="黑体" w:hAnsi="黑体" w:eastAsia="黑体"/>
        </w:rPr>
      </w:pPr>
      <w:r>
        <w:rPr>
          <w:rFonts w:ascii="黑体" w:hAnsi="黑体" w:eastAsia="黑体"/>
        </w:rPr>
        <w:t>b</w:t>
      </w:r>
      <w:r>
        <w:rPr>
          <w:rFonts w:hint="eastAsia" w:ascii="黑体" w:hAnsi="黑体" w:eastAsia="黑体"/>
        </w:rPr>
        <w:t>)</w:t>
      </w:r>
      <w:r>
        <w:rPr>
          <w:rFonts w:ascii="黑体" w:hAnsi="黑体" w:eastAsia="黑体"/>
        </w:rPr>
        <w:t xml:space="preserve"> </w:t>
      </w:r>
      <w:r>
        <w:rPr>
          <w:rFonts w:hint="eastAsia" w:ascii="黑体" w:hAnsi="黑体" w:eastAsia="黑体"/>
        </w:rPr>
        <w:t>当桩身配筋不符合上述1款规定时</w:t>
      </w:r>
      <w:r>
        <w:rPr>
          <w:rFonts w:hint="eastAsia" w:hAnsi="黑体" w:eastAsia="黑体"/>
          <w:lang w:eastAsia="zh-CN"/>
        </w:rPr>
        <w:t>应</w:t>
      </w:r>
      <w:r>
        <w:rPr>
          <w:rFonts w:hint="eastAsia" w:hAnsi="黑体"/>
        </w:rPr>
        <w:t>按</w:t>
      </w:r>
      <w:r>
        <w:rPr>
          <w:rFonts w:hint="eastAsia" w:hAnsi="黑体"/>
          <w:lang w:eastAsia="zh-CN"/>
        </w:rPr>
        <w:t>（</w:t>
      </w:r>
      <w:r>
        <w:rPr>
          <w:rFonts w:hint="eastAsia" w:hAnsi="黑体"/>
          <w:lang w:val="en-US" w:eastAsia="zh-CN"/>
        </w:rPr>
        <w:t>12）</w:t>
      </w:r>
      <w:r>
        <w:rPr>
          <w:rFonts w:hint="eastAsia" w:hAnsi="黑体"/>
        </w:rPr>
        <w:t>式估算</w:t>
      </w:r>
      <w:r>
        <w:rPr>
          <w:rFonts w:hint="eastAsia" w:ascii="黑体" w:hAnsi="黑体" w:eastAsia="黑体"/>
        </w:rPr>
        <w:t>：</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805180" cy="245745"/>
            <wp:effectExtent l="0" t="0" r="0" b="1905"/>
            <wp:docPr id="226" name="图片 226" descr="C:\Users\ADMINI~1\AppData\Local\Temp\ksohtml9220\wps120.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6" name="图片 226" descr="C:\Users\ADMINI~1\AppData\Local\Temp\ksohtml9220\wps120.png"/>
                    <pic:cNvPicPr>
                      <a:picLocks noChangeAspect="true" noChangeArrowheads="true"/>
                    </pic:cNvPicPr>
                  </pic:nvPicPr>
                  <pic:blipFill>
                    <a:blip r:embed="rId126">
                      <a:extLst>
                        <a:ext uri="{28A0092B-C50C-407E-A947-70E740481C1C}">
                          <a14:useLocalDpi xmlns:a14="http://schemas.microsoft.com/office/drawing/2010/main" val="false"/>
                        </a:ext>
                      </a:extLst>
                    </a:blip>
                    <a:srcRect/>
                    <a:stretch>
                      <a:fillRect/>
                    </a:stretch>
                  </pic:blipFill>
                  <pic:spPr>
                    <a:xfrm>
                      <a:off x="0" y="0"/>
                      <a:ext cx="805180" cy="245745"/>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1</w:t>
      </w:r>
      <w:r>
        <w:rPr>
          <w:rFonts w:ascii="黑体" w:hAnsi="黑体" w:eastAsia="黑体"/>
        </w:rPr>
        <w:fldChar w:fldCharType="begin"/>
      </w:r>
      <w:r>
        <w:rPr>
          <w:rFonts w:ascii="黑体" w:hAnsi="黑体" w:eastAsia="黑体"/>
        </w:rPr>
        <w:instrText xml:space="preserve"> AUTONUM </w:instrText>
      </w:r>
      <w:r>
        <w:rPr>
          <w:rFonts w:ascii="黑体" w:hAnsi="黑体" w:eastAsia="黑体"/>
        </w:rPr>
        <w:fldChar w:fldCharType="end"/>
      </w:r>
      <w:r>
        <w:rPr>
          <w:rFonts w:ascii="黑体" w:hAnsi="黑体" w:eastAsia="黑体"/>
        </w:rPr>
        <w:t>)</w:t>
      </w:r>
    </w:p>
    <w:p>
      <w:pPr>
        <w:pStyle w:val="65"/>
        <w:spacing w:before="156" w:after="156"/>
        <w:rPr>
          <w:rFonts w:hAnsi="黑体"/>
        </w:rPr>
      </w:pPr>
      <w:r>
        <w:rPr>
          <w:rFonts w:hint="eastAsia" w:hAnsi="黑体"/>
        </w:rPr>
        <w:t>螺杆灌注桩螺纹段桩身正截面受压承载力应符合下列规定：</w:t>
      </w:r>
    </w:p>
    <w:p>
      <w:pPr>
        <w:pStyle w:val="65"/>
        <w:numPr>
          <w:ilvl w:val="0"/>
          <w:numId w:val="0"/>
        </w:numPr>
        <w:spacing w:before="156" w:after="156"/>
        <w:ind w:firstLine="420" w:firstLineChars="200"/>
        <w:rPr>
          <w:rFonts w:hAnsi="黑体"/>
        </w:rPr>
      </w:pPr>
      <w:r>
        <w:rPr>
          <w:rFonts w:hint="eastAsia" w:hAnsi="黑体"/>
        </w:rPr>
        <w:t>a</w:t>
      </w:r>
      <w:r>
        <w:rPr>
          <w:rFonts w:hint="eastAsia" w:hAnsi="黑体"/>
          <w:kern w:val="2"/>
          <w:szCs w:val="21"/>
        </w:rPr>
        <w:t>)</w:t>
      </w:r>
      <w:r>
        <w:rPr>
          <w:rFonts w:hAnsi="黑体"/>
          <w:kern w:val="2"/>
          <w:szCs w:val="21"/>
        </w:rPr>
        <w:t xml:space="preserve"> </w:t>
      </w:r>
      <w:r>
        <w:rPr>
          <w:rFonts w:hint="eastAsia" w:hAnsi="黑体"/>
        </w:rPr>
        <w:t>对于端承桩或长径比小于15的嵌岩桩，螺杆灌注桩螺纹段桩身正截面受压承载力应按</w:t>
      </w:r>
      <w:r>
        <w:rPr>
          <w:rFonts w:hint="eastAsia" w:hAnsi="黑体"/>
          <w:lang w:eastAsia="zh-CN"/>
        </w:rPr>
        <w:t>（</w:t>
      </w:r>
      <w:r>
        <w:rPr>
          <w:rFonts w:hint="eastAsia" w:hAnsi="黑体"/>
          <w:lang w:val="en-US" w:eastAsia="zh-CN"/>
        </w:rPr>
        <w:t>13</w:t>
      </w:r>
      <w:r>
        <w:rPr>
          <w:rFonts w:hint="eastAsia" w:hAnsi="黑体"/>
          <w:lang w:eastAsia="zh-CN"/>
        </w:rPr>
        <w:t>）</w:t>
      </w:r>
      <w:r>
        <w:rPr>
          <w:rFonts w:hint="eastAsia" w:hAnsi="黑体"/>
        </w:rPr>
        <w:t>式计算：</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491490" cy="231775"/>
            <wp:effectExtent l="0" t="0" r="3810" b="0"/>
            <wp:docPr id="227" name="图片 227" descr="C:\Users\ADMINI~1\AppData\Local\Temp\ksohtml9220\wps12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7" name="图片 227" descr="C:\Users\ADMINI~1\AppData\Local\Temp\ksohtml9220\wps121.png"/>
                    <pic:cNvPicPr>
                      <a:picLocks noChangeAspect="true" noChangeArrowheads="true"/>
                    </pic:cNvPicPr>
                  </pic:nvPicPr>
                  <pic:blipFill>
                    <a:blip r:embed="rId127">
                      <a:extLst>
                        <a:ext uri="{28A0092B-C50C-407E-A947-70E740481C1C}">
                          <a14:useLocalDpi xmlns:a14="http://schemas.microsoft.com/office/drawing/2010/main" val="false"/>
                        </a:ext>
                      </a:extLst>
                    </a:blip>
                    <a:srcRect/>
                    <a:stretch>
                      <a:fillRect/>
                    </a:stretch>
                  </pic:blipFill>
                  <pic:spPr>
                    <a:xfrm>
                      <a:off x="0" y="0"/>
                      <a:ext cx="491490" cy="231775"/>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ascii="黑体" w:hAnsi="黑体" w:eastAsia="黑体"/>
        </w:rPr>
        <w:fldChar w:fldCharType="begin"/>
      </w:r>
      <w:r>
        <w:rPr>
          <w:rFonts w:ascii="黑体" w:hAnsi="黑体" w:eastAsia="黑体"/>
        </w:rPr>
        <w:instrText xml:space="preserve"> AUTONUM </w:instrText>
      </w:r>
      <w:r>
        <w:rPr>
          <w:rFonts w:ascii="黑体" w:hAnsi="黑体" w:eastAsia="黑体"/>
        </w:rPr>
        <w:fldChar w:fldCharType="end"/>
      </w:r>
      <w:r>
        <w:rPr>
          <w:rFonts w:hint="eastAsia" w:ascii="黑体" w:hAnsi="黑体" w:eastAsia="黑体"/>
          <w:lang w:val="en-US" w:eastAsia="zh-CN"/>
        </w:rPr>
        <w:t>3</w:t>
      </w:r>
      <w:r>
        <w:rPr>
          <w:rFonts w:ascii="黑体" w:hAnsi="黑体" w:eastAsia="黑体"/>
        </w:rPr>
        <w:t>)</w:t>
      </w:r>
    </w:p>
    <w:p>
      <w:pPr>
        <w:pStyle w:val="113"/>
        <w:ind w:firstLine="420" w:firstLineChars="200"/>
        <w:rPr>
          <w:rFonts w:ascii="黑体" w:hAnsi="黑体" w:eastAsia="黑体"/>
        </w:rPr>
      </w:pPr>
      <w:r>
        <w:rPr>
          <w:rFonts w:hint="eastAsia" w:ascii="黑体" w:hAnsi="黑体" w:eastAsia="黑体"/>
        </w:rPr>
        <w:t>b)</w:t>
      </w:r>
      <w:r>
        <w:rPr>
          <w:rFonts w:ascii="黑体" w:hAnsi="黑体" w:eastAsia="黑体"/>
        </w:rPr>
        <w:t xml:space="preserve"> </w:t>
      </w:r>
      <w:r>
        <w:rPr>
          <w:rFonts w:hint="eastAsia" w:ascii="黑体" w:hAnsi="黑体" w:eastAsia="黑体"/>
        </w:rPr>
        <w:t>其他情况，螺杆灌注桩螺纹段桩身正截面受压承载力应按</w:t>
      </w:r>
      <w:r>
        <w:rPr>
          <w:rFonts w:hint="eastAsia" w:ascii="黑体" w:hAnsi="黑体" w:eastAsia="黑体"/>
          <w:lang w:eastAsia="zh-CN"/>
        </w:rPr>
        <w:t>（</w:t>
      </w:r>
      <w:r>
        <w:rPr>
          <w:rFonts w:hint="eastAsia" w:ascii="黑体" w:hAnsi="黑体" w:eastAsia="黑体"/>
          <w:lang w:val="en-US" w:eastAsia="zh-CN"/>
        </w:rPr>
        <w:t>14</w:t>
      </w:r>
      <w:r>
        <w:rPr>
          <w:rFonts w:hint="eastAsia" w:ascii="黑体" w:hAnsi="黑体" w:eastAsia="黑体"/>
          <w:lang w:eastAsia="zh-CN"/>
        </w:rPr>
        <w:t>）、</w:t>
      </w:r>
      <w:r>
        <w:rPr>
          <w:rFonts w:hint="eastAsia" w:ascii="黑体" w:hAnsi="黑体" w:eastAsia="黑体"/>
          <w:lang w:val="en-US" w:eastAsia="zh-CN"/>
        </w:rPr>
        <w:t>（15）</w:t>
      </w:r>
      <w:r>
        <w:rPr>
          <w:rFonts w:hint="eastAsia" w:ascii="黑体" w:hAnsi="黑体" w:eastAsia="黑体"/>
        </w:rPr>
        <w:t>式计算：</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777875" cy="231775"/>
            <wp:effectExtent l="0" t="0" r="3175" b="0"/>
            <wp:docPr id="228" name="图片 228" descr="C:\Users\ADMINI~1\AppData\Local\Temp\ksohtml9220\wps12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8" name="图片 228" descr="C:\Users\ADMINI~1\AppData\Local\Temp\ksohtml9220\wps122.png"/>
                    <pic:cNvPicPr>
                      <a:picLocks noChangeAspect="true" noChangeArrowheads="true"/>
                    </pic:cNvPicPr>
                  </pic:nvPicPr>
                  <pic:blipFill>
                    <a:blip r:embed="rId128">
                      <a:extLst>
                        <a:ext uri="{28A0092B-C50C-407E-A947-70E740481C1C}">
                          <a14:useLocalDpi xmlns:a14="http://schemas.microsoft.com/office/drawing/2010/main" val="false"/>
                        </a:ext>
                      </a:extLst>
                    </a:blip>
                    <a:srcRect/>
                    <a:stretch>
                      <a:fillRect/>
                    </a:stretch>
                  </pic:blipFill>
                  <pic:spPr>
                    <a:xfrm>
                      <a:off x="0" y="0"/>
                      <a:ext cx="777875" cy="231775"/>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14</w:t>
      </w:r>
      <w:r>
        <w:rPr>
          <w:rFonts w:ascii="黑体" w:hAnsi="黑体" w:eastAsia="黑体"/>
        </w:rPr>
        <w:t>)</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1160145" cy="231775"/>
            <wp:effectExtent l="0" t="0" r="1905" b="0"/>
            <wp:docPr id="229" name="图片 229" descr="C:\Users\ADMINI~1\AppData\Local\Temp\ksohtml9220\wps123.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9" name="图片 229" descr="C:\Users\ADMINI~1\AppData\Local\Temp\ksohtml9220\wps123.png"/>
                    <pic:cNvPicPr>
                      <a:picLocks noChangeAspect="true" noChangeArrowheads="true"/>
                    </pic:cNvPicPr>
                  </pic:nvPicPr>
                  <pic:blipFill>
                    <a:blip r:embed="rId129">
                      <a:extLst>
                        <a:ext uri="{28A0092B-C50C-407E-A947-70E740481C1C}">
                          <a14:useLocalDpi xmlns:a14="http://schemas.microsoft.com/office/drawing/2010/main" val="false"/>
                        </a:ext>
                      </a:extLst>
                    </a:blip>
                    <a:srcRect/>
                    <a:stretch>
                      <a:fillRect/>
                    </a:stretch>
                  </pic:blipFill>
                  <pic:spPr>
                    <a:xfrm>
                      <a:off x="0" y="0"/>
                      <a:ext cx="1160145" cy="231775"/>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15</w:t>
      </w:r>
      <w:r>
        <w:rPr>
          <w:rFonts w:ascii="黑体" w:hAnsi="黑体" w:eastAsia="黑体"/>
        </w:rPr>
        <w:t>)</w:t>
      </w:r>
    </w:p>
    <w:p>
      <w:pPr>
        <w:ind w:left="1260" w:hanging="1260" w:hangingChars="600"/>
        <w:rPr>
          <w:rFonts w:ascii="黑体" w:hAnsi="黑体" w:eastAsia="黑体"/>
        </w:rPr>
      </w:pPr>
      <w:r>
        <w:rPr>
          <w:rFonts w:hint="eastAsia" w:ascii="黑体" w:hAnsi="黑体" w:eastAsia="黑体"/>
        </w:rPr>
        <w:t>式中：</w:t>
      </w:r>
      <w:r>
        <w:rPr>
          <w:rFonts w:ascii="黑体" w:hAnsi="黑体" w:eastAsia="黑体"/>
        </w:rPr>
        <w:drawing>
          <wp:inline distT="0" distB="0" distL="0" distR="0">
            <wp:extent cx="177165" cy="177165"/>
            <wp:effectExtent l="0" t="0" r="0" b="0"/>
            <wp:docPr id="236" name="图片 236" descr="C:\Users\ADMINI~1\AppData\Local\Temp\ksohtml9220\wps12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6" name="图片 236" descr="C:\Users\ADMINI~1\AppData\Local\Temp\ksohtml9220\wps124.png"/>
                    <pic:cNvPicPr>
                      <a:picLocks noChangeAspect="true" noChangeArrowheads="true"/>
                    </pic:cNvPicPr>
                  </pic:nvPicPr>
                  <pic:blipFill>
                    <a:blip r:embed="rId130">
                      <a:extLst>
                        <a:ext uri="{28A0092B-C50C-407E-A947-70E740481C1C}">
                          <a14:useLocalDpi xmlns:a14="http://schemas.microsoft.com/office/drawing/2010/main" val="false"/>
                        </a:ext>
                      </a:extLst>
                    </a:blip>
                    <a:srcRect/>
                    <a:stretch>
                      <a:fillRect/>
                    </a:stretch>
                  </pic:blipFill>
                  <pic:spPr>
                    <a:xfrm>
                      <a:off x="0" y="0"/>
                      <a:ext cx="177165" cy="177165"/>
                    </a:xfrm>
                    <a:prstGeom prst="rect">
                      <a:avLst/>
                    </a:prstGeom>
                    <a:noFill/>
                    <a:ln>
                      <a:noFill/>
                    </a:ln>
                  </pic:spPr>
                </pic:pic>
              </a:graphicData>
            </a:graphic>
          </wp:inline>
        </w:drawing>
      </w:r>
      <w:r>
        <w:rPr>
          <w:rFonts w:hint="eastAsia" w:ascii="黑体" w:hAnsi="黑体" w:eastAsia="黑体"/>
        </w:rPr>
        <w:t>——荷载效应基本组合时，桩顶轴向压力设计值（kN）；</w:t>
      </w:r>
    </w:p>
    <w:p>
      <w:pPr>
        <w:ind w:firstLine="630" w:firstLineChars="300"/>
        <w:rPr>
          <w:rFonts w:ascii="黑体" w:hAnsi="黑体" w:eastAsia="黑体"/>
        </w:rPr>
      </w:pPr>
      <w:r>
        <w:rPr>
          <w:rFonts w:ascii="黑体" w:hAnsi="黑体" w:eastAsia="黑体"/>
        </w:rPr>
        <w:drawing>
          <wp:inline distT="0" distB="0" distL="0" distR="0">
            <wp:extent cx="191135" cy="231775"/>
            <wp:effectExtent l="0" t="0" r="0" b="0"/>
            <wp:docPr id="235" name="图片 235" descr="C:\Users\ADMINI~1\AppData\Local\Temp\ksohtml9220\wps125.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5" name="图片 235" descr="C:\Users\ADMINI~1\AppData\Local\Temp\ksohtml9220\wps125.png"/>
                    <pic:cNvPicPr>
                      <a:picLocks noChangeAspect="true" noChangeArrowheads="true"/>
                    </pic:cNvPicPr>
                  </pic:nvPicPr>
                  <pic:blipFill>
                    <a:blip r:embed="rId73">
                      <a:extLst>
                        <a:ext uri="{28A0092B-C50C-407E-A947-70E740481C1C}">
                          <a14:useLocalDpi xmlns:a14="http://schemas.microsoft.com/office/drawing/2010/main" val="false"/>
                        </a:ext>
                      </a:extLst>
                    </a:blip>
                    <a:srcRect/>
                    <a:stretch>
                      <a:fillRect/>
                    </a:stretch>
                  </pic:blipFill>
                  <pic:spPr>
                    <a:xfrm>
                      <a:off x="0" y="0"/>
                      <a:ext cx="191135" cy="231775"/>
                    </a:xfrm>
                    <a:prstGeom prst="rect">
                      <a:avLst/>
                    </a:prstGeom>
                    <a:noFill/>
                    <a:ln>
                      <a:noFill/>
                    </a:ln>
                  </pic:spPr>
                </pic:pic>
              </a:graphicData>
            </a:graphic>
          </wp:inline>
        </w:drawing>
      </w:r>
      <w:r>
        <w:rPr>
          <w:rFonts w:hint="eastAsia" w:ascii="黑体" w:hAnsi="黑体" w:eastAsia="黑体"/>
        </w:rPr>
        <w:t xml:space="preserve">——螺杆灌注桩成桩工艺系数，可取0.8~0.85； </w:t>
      </w:r>
    </w:p>
    <w:p>
      <w:pPr>
        <w:ind w:left="1260" w:leftChars="350" w:hanging="525" w:hangingChars="250"/>
        <w:rPr>
          <w:rFonts w:ascii="黑体" w:hAnsi="黑体" w:eastAsia="黑体"/>
        </w:rPr>
      </w:pPr>
      <w:r>
        <w:rPr>
          <w:rFonts w:ascii="黑体" w:hAnsi="黑体" w:eastAsia="黑体"/>
        </w:rPr>
        <w:drawing>
          <wp:inline distT="0" distB="0" distL="0" distR="0">
            <wp:extent cx="177165" cy="231775"/>
            <wp:effectExtent l="0" t="0" r="0" b="0"/>
            <wp:docPr id="234" name="图片 234" descr="C:\Users\ADMINI~1\AppData\Local\Temp\ksohtml9220\wps126.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4" name="图片 234" descr="C:\Users\ADMINI~1\AppData\Local\Temp\ksohtml9220\wps126.png"/>
                    <pic:cNvPicPr>
                      <a:picLocks noChangeAspect="true" noChangeArrowheads="true"/>
                    </pic:cNvPicPr>
                  </pic:nvPicPr>
                  <pic:blipFill>
                    <a:blip r:embed="rId131">
                      <a:extLst>
                        <a:ext uri="{28A0092B-C50C-407E-A947-70E740481C1C}">
                          <a14:useLocalDpi xmlns:a14="http://schemas.microsoft.com/office/drawing/2010/main" val="false"/>
                        </a:ext>
                      </a:extLst>
                    </a:blip>
                    <a:srcRect/>
                    <a:stretch>
                      <a:fillRect/>
                    </a:stretch>
                  </pic:blipFill>
                  <pic:spPr>
                    <a:xfrm>
                      <a:off x="0" y="0"/>
                      <a:ext cx="177165" cy="231775"/>
                    </a:xfrm>
                    <a:prstGeom prst="rect">
                      <a:avLst/>
                    </a:prstGeom>
                    <a:noFill/>
                    <a:ln>
                      <a:noFill/>
                    </a:ln>
                  </pic:spPr>
                </pic:pic>
              </a:graphicData>
            </a:graphic>
          </wp:inline>
        </w:drawing>
      </w:r>
      <w:r>
        <w:rPr>
          <w:rFonts w:hint="eastAsia" w:ascii="黑体" w:hAnsi="黑体" w:eastAsia="黑体"/>
        </w:rPr>
        <w:t>—— 混凝土轴心抗压强度设计值（kPa），按现行GB 50010的有关规定取值；</w:t>
      </w:r>
    </w:p>
    <w:p>
      <w:pPr>
        <w:pStyle w:val="233"/>
        <w:ind w:left="1268" w:leftChars="300" w:hanging="638" w:hangingChars="304"/>
        <w:rPr>
          <w:rFonts w:ascii="黑体" w:hAnsi="黑体" w:eastAsia="黑体"/>
        </w:rPr>
      </w:pPr>
      <w:r>
        <w:rPr>
          <w:rFonts w:ascii="黑体" w:hAnsi="黑体" w:eastAsia="黑体"/>
        </w:rPr>
        <w:drawing>
          <wp:inline distT="0" distB="0" distL="0" distR="0">
            <wp:extent cx="177165" cy="259080"/>
            <wp:effectExtent l="0" t="0" r="0" b="7620"/>
            <wp:docPr id="233" name="图片 233" descr="C:\Users\ADMINI~1\AppData\Local\Temp\ksohtml9220\wps127.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3" name="图片 233" descr="C:\Users\ADMINI~1\AppData\Local\Temp\ksohtml9220\wps127.png"/>
                    <pic:cNvPicPr>
                      <a:picLocks noChangeAspect="true" noChangeArrowheads="true"/>
                    </pic:cNvPicPr>
                  </pic:nvPicPr>
                  <pic:blipFill>
                    <a:blip r:embed="rId132">
                      <a:extLst>
                        <a:ext uri="{28A0092B-C50C-407E-A947-70E740481C1C}">
                          <a14:useLocalDpi xmlns:a14="http://schemas.microsoft.com/office/drawing/2010/main" val="false"/>
                        </a:ext>
                      </a:extLst>
                    </a:blip>
                    <a:srcRect/>
                    <a:stretch>
                      <a:fillRect/>
                    </a:stretch>
                  </pic:blipFill>
                  <pic:spPr>
                    <a:xfrm>
                      <a:off x="0" y="0"/>
                      <a:ext cx="177165" cy="259080"/>
                    </a:xfrm>
                    <a:prstGeom prst="rect">
                      <a:avLst/>
                    </a:prstGeom>
                    <a:noFill/>
                    <a:ln>
                      <a:noFill/>
                    </a:ln>
                  </pic:spPr>
                </pic:pic>
              </a:graphicData>
            </a:graphic>
          </wp:inline>
        </w:drawing>
      </w:r>
      <w:r>
        <w:rPr>
          <w:rFonts w:hint="eastAsia" w:ascii="黑体" w:hAnsi="黑体" w:eastAsia="黑体"/>
        </w:rPr>
        <w:t>——纵向主筋抗压强度设计值（kPa）；</w:t>
      </w:r>
    </w:p>
    <w:p>
      <w:pPr>
        <w:pStyle w:val="233"/>
        <w:ind w:left="1541" w:leftChars="200" w:hanging="1121" w:hangingChars="534"/>
        <w:rPr>
          <w:rFonts w:ascii="黑体" w:hAnsi="黑体" w:eastAsia="黑体"/>
        </w:rPr>
      </w:pPr>
      <w:r>
        <w:rPr>
          <w:rFonts w:hint="eastAsia" w:ascii="黑体" w:hAnsi="黑体" w:eastAsia="黑体"/>
        </w:rPr>
        <w:t xml:space="preserve">  </w:t>
      </w:r>
      <w:r>
        <w:rPr>
          <w:rFonts w:ascii="黑体" w:hAnsi="黑体" w:eastAsia="黑体"/>
        </w:rPr>
        <w:drawing>
          <wp:inline distT="0" distB="0" distL="0" distR="0">
            <wp:extent cx="204470" cy="245745"/>
            <wp:effectExtent l="0" t="0" r="5080" b="1905"/>
            <wp:docPr id="232" name="图片 232" descr="C:\Users\ADMINI~1\AppData\Local\Temp\ksohtml9220\wps128.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2" name="图片 232" descr="C:\Users\ADMINI~1\AppData\Local\Temp\ksohtml9220\wps128.png"/>
                    <pic:cNvPicPr>
                      <a:picLocks noChangeAspect="true" noChangeArrowheads="true"/>
                    </pic:cNvPicPr>
                  </pic:nvPicPr>
                  <pic:blipFill>
                    <a:blip r:embed="rId133">
                      <a:extLst>
                        <a:ext uri="{28A0092B-C50C-407E-A947-70E740481C1C}">
                          <a14:useLocalDpi xmlns:a14="http://schemas.microsoft.com/office/drawing/2010/main" val="false"/>
                        </a:ext>
                      </a:extLst>
                    </a:blip>
                    <a:srcRect/>
                    <a:stretch>
                      <a:fillRect/>
                    </a:stretch>
                  </pic:blipFill>
                  <pic:spPr>
                    <a:xfrm>
                      <a:off x="0" y="0"/>
                      <a:ext cx="204470" cy="245745"/>
                    </a:xfrm>
                    <a:prstGeom prst="rect">
                      <a:avLst/>
                    </a:prstGeom>
                    <a:noFill/>
                    <a:ln>
                      <a:noFill/>
                    </a:ln>
                  </pic:spPr>
                </pic:pic>
              </a:graphicData>
            </a:graphic>
          </wp:inline>
        </w:drawing>
      </w:r>
      <w:r>
        <w:rPr>
          <w:rFonts w:hint="eastAsia" w:ascii="黑体" w:hAnsi="黑体" w:eastAsia="黑体"/>
        </w:rPr>
        <w:t>——纵向主筋截面面积（m</w:t>
      </w:r>
      <w:r>
        <w:rPr>
          <w:rFonts w:hint="eastAsia" w:ascii="黑体" w:hAnsi="黑体" w:eastAsia="黑体"/>
          <w:vertAlign w:val="superscript"/>
        </w:rPr>
        <w:t>2</w:t>
      </w:r>
      <w:r>
        <w:rPr>
          <w:rFonts w:hint="eastAsia" w:ascii="黑体" w:hAnsi="黑体" w:eastAsia="黑体"/>
        </w:rPr>
        <w:t>）；</w:t>
      </w:r>
    </w:p>
    <w:p>
      <w:pPr>
        <w:pStyle w:val="233"/>
        <w:ind w:left="1268" w:leftChars="300" w:hanging="638" w:hangingChars="304"/>
        <w:rPr>
          <w:rFonts w:ascii="黑体" w:hAnsi="黑体" w:eastAsia="黑体"/>
        </w:rPr>
      </w:pPr>
      <w:r>
        <w:rPr>
          <w:rFonts w:ascii="黑体" w:hAnsi="黑体" w:eastAsia="黑体"/>
        </w:rPr>
        <w:drawing>
          <wp:inline distT="0" distB="0" distL="0" distR="0">
            <wp:extent cx="204470" cy="231775"/>
            <wp:effectExtent l="0" t="0" r="5080" b="0"/>
            <wp:docPr id="231" name="图片 231" descr="C:\Users\ADMINI~1\AppData\Local\Temp\ksohtml9220\wps129.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1" name="图片 231" descr="C:\Users\ADMINI~1\AppData\Local\Temp\ksohtml9220\wps129.png"/>
                    <pic:cNvPicPr>
                      <a:picLocks noChangeAspect="true" noChangeArrowheads="true"/>
                    </pic:cNvPicPr>
                  </pic:nvPicPr>
                  <pic:blipFill>
                    <a:blip r:embed="rId32">
                      <a:extLst>
                        <a:ext uri="{28A0092B-C50C-407E-A947-70E740481C1C}">
                          <a14:useLocalDpi xmlns:a14="http://schemas.microsoft.com/office/drawing/2010/main" val="false"/>
                        </a:ext>
                      </a:extLst>
                    </a:blip>
                    <a:srcRect/>
                    <a:stretch>
                      <a:fillRect/>
                    </a:stretch>
                  </pic:blipFill>
                  <pic:spPr>
                    <a:xfrm>
                      <a:off x="0" y="0"/>
                      <a:ext cx="204470" cy="231775"/>
                    </a:xfrm>
                    <a:prstGeom prst="rect">
                      <a:avLst/>
                    </a:prstGeom>
                    <a:noFill/>
                    <a:ln>
                      <a:noFill/>
                    </a:ln>
                  </pic:spPr>
                </pic:pic>
              </a:graphicData>
            </a:graphic>
          </wp:inline>
        </w:drawing>
      </w:r>
      <w:r>
        <w:rPr>
          <w:rFonts w:hint="eastAsia" w:ascii="黑体" w:hAnsi="黑体" w:eastAsia="黑体"/>
        </w:rPr>
        <w:t>——荷载效应基本组合时，作用于螺纹段顶截面的轴向压力设计值（kN）；</w:t>
      </w:r>
    </w:p>
    <w:p>
      <w:pPr>
        <w:pStyle w:val="233"/>
        <w:autoSpaceDE w:val="0"/>
        <w:ind w:firstLine="525" w:firstLineChars="250"/>
        <w:jc w:val="both"/>
        <w:rPr>
          <w:rFonts w:ascii="黑体" w:hAnsi="黑体" w:eastAsia="黑体"/>
        </w:rPr>
      </w:pPr>
      <w:r>
        <w:rPr>
          <w:rFonts w:hint="eastAsia" w:ascii="黑体" w:hAnsi="黑体" w:eastAsia="黑体"/>
        </w:rPr>
        <w:t xml:space="preserve"> </w:t>
      </w:r>
      <w:r>
        <w:rPr>
          <w:rFonts w:ascii="黑体" w:hAnsi="黑体" w:eastAsia="黑体"/>
        </w:rPr>
        <w:drawing>
          <wp:inline distT="0" distB="0" distL="0" distR="0">
            <wp:extent cx="191135" cy="231775"/>
            <wp:effectExtent l="0" t="0" r="0" b="0"/>
            <wp:docPr id="230" name="图片 230" descr="C:\Users\ADMINI~1\AppData\Local\Temp\ksohtml9220\wps130.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0" name="图片 230" descr="C:\Users\ADMINI~1\AppData\Local\Temp\ksohtml9220\wps130.png"/>
                    <pic:cNvPicPr>
                      <a:picLocks noChangeAspect="true" noChangeArrowheads="true"/>
                    </pic:cNvPicPr>
                  </pic:nvPicPr>
                  <pic:blipFill>
                    <a:blip r:embed="rId134">
                      <a:extLst>
                        <a:ext uri="{28A0092B-C50C-407E-A947-70E740481C1C}">
                          <a14:useLocalDpi xmlns:a14="http://schemas.microsoft.com/office/drawing/2010/main" val="false"/>
                        </a:ext>
                      </a:extLst>
                    </a:blip>
                    <a:srcRect/>
                    <a:stretch>
                      <a:fillRect/>
                    </a:stretch>
                  </pic:blipFill>
                  <pic:spPr>
                    <a:xfrm>
                      <a:off x="0" y="0"/>
                      <a:ext cx="191135" cy="231775"/>
                    </a:xfrm>
                    <a:prstGeom prst="rect">
                      <a:avLst/>
                    </a:prstGeom>
                    <a:noFill/>
                    <a:ln>
                      <a:noFill/>
                    </a:ln>
                  </pic:spPr>
                </pic:pic>
              </a:graphicData>
            </a:graphic>
          </wp:inline>
        </w:drawing>
      </w:r>
      <w:r>
        <w:rPr>
          <w:rFonts w:hint="eastAsia" w:ascii="黑体" w:hAnsi="黑体" w:eastAsia="黑体"/>
        </w:rPr>
        <w:t>——螺杆灌注桩桩芯橫截面积（m</w:t>
      </w:r>
      <w:r>
        <w:rPr>
          <w:rFonts w:hint="eastAsia" w:ascii="黑体" w:hAnsi="黑体" w:eastAsia="黑体"/>
          <w:vertAlign w:val="superscript"/>
        </w:rPr>
        <w:t>2</w:t>
      </w:r>
      <w:r>
        <w:rPr>
          <w:rFonts w:hint="eastAsia" w:ascii="黑体" w:hAnsi="黑体" w:eastAsia="黑体"/>
        </w:rPr>
        <w:t>）。</w:t>
      </w:r>
    </w:p>
    <w:p>
      <w:pPr>
        <w:pStyle w:val="105"/>
        <w:spacing w:before="156" w:after="156"/>
        <w:rPr>
          <w:rFonts w:hAnsi="黑体"/>
        </w:rPr>
      </w:pPr>
      <w:bookmarkStart w:id="178" w:name="_Toc6957"/>
      <w:r>
        <w:rPr>
          <w:rFonts w:hint="eastAsia" w:hAnsi="黑体"/>
        </w:rPr>
        <w:t>单桩竖向抗拔承载力</w:t>
      </w:r>
      <w:bookmarkEnd w:id="178"/>
    </w:p>
    <w:p>
      <w:pPr>
        <w:pStyle w:val="65"/>
        <w:spacing w:before="156" w:after="156"/>
        <w:rPr>
          <w:rFonts w:hAnsi="黑体"/>
        </w:rPr>
      </w:pPr>
      <w:r>
        <w:rPr>
          <w:rFonts w:hint="eastAsia" w:hAnsi="黑体"/>
        </w:rPr>
        <w:t>螺杆灌注桩的抗拔极限承载力的确定应符合下列规定：</w:t>
      </w:r>
    </w:p>
    <w:p>
      <w:pPr>
        <w:ind w:left="945" w:leftChars="200" w:hanging="525" w:hangingChars="250"/>
        <w:rPr>
          <w:rFonts w:ascii="黑体" w:hAnsi="黑体" w:eastAsia="黑体"/>
          <w:kern w:val="0"/>
          <w:szCs w:val="20"/>
        </w:rPr>
      </w:pPr>
      <w:r>
        <w:rPr>
          <w:rFonts w:hint="eastAsia" w:ascii="黑体" w:hAnsi="黑体" w:eastAsia="黑体"/>
        </w:rPr>
        <w:t>a)</w:t>
      </w:r>
      <w:r>
        <w:rPr>
          <w:rFonts w:ascii="黑体" w:hAnsi="黑体" w:eastAsia="黑体"/>
        </w:rPr>
        <w:t xml:space="preserve"> </w:t>
      </w:r>
      <w:r>
        <w:rPr>
          <w:rFonts w:hint="eastAsia" w:ascii="黑体" w:hAnsi="黑体" w:eastAsia="黑体"/>
          <w:kern w:val="0"/>
          <w:szCs w:val="20"/>
        </w:rPr>
        <w:t>单桩的抗拔极限承载力应通过现场单桩上拔静载荷试验确定。单桩上拔静载荷试验及抗拔极限承载力标准值取值可按现行JGJ106进行。</w:t>
      </w:r>
    </w:p>
    <w:p>
      <w:pPr>
        <w:ind w:firstLine="420" w:firstLineChars="200"/>
        <w:rPr>
          <w:rFonts w:ascii="黑体" w:hAnsi="黑体" w:eastAsia="黑体"/>
        </w:rPr>
      </w:pPr>
      <w:r>
        <w:rPr>
          <w:rFonts w:ascii="黑体" w:hAnsi="黑体" w:eastAsia="黑体"/>
        </w:rPr>
        <w:t xml:space="preserve">b) </w:t>
      </w:r>
      <w:r>
        <w:rPr>
          <w:rFonts w:hint="eastAsia" w:ascii="黑体" w:hAnsi="黑体" w:eastAsia="黑体"/>
        </w:rPr>
        <w:t>初步设计时单桩抗拔极限承载力标准值可按</w:t>
      </w:r>
      <w:r>
        <w:rPr>
          <w:rFonts w:hint="eastAsia" w:ascii="黑体" w:hAnsi="黑体" w:eastAsia="黑体"/>
          <w:lang w:eastAsia="zh-CN"/>
        </w:rPr>
        <w:t>（</w:t>
      </w:r>
      <w:r>
        <w:rPr>
          <w:rFonts w:hint="eastAsia" w:ascii="黑体" w:hAnsi="黑体" w:eastAsia="黑体"/>
          <w:lang w:val="en-US" w:eastAsia="zh-CN"/>
        </w:rPr>
        <w:t>16</w:t>
      </w:r>
      <w:r>
        <w:rPr>
          <w:rFonts w:hint="eastAsia" w:ascii="黑体" w:hAnsi="黑体" w:eastAsia="黑体"/>
          <w:lang w:eastAsia="zh-CN"/>
        </w:rPr>
        <w:t>）</w:t>
      </w:r>
      <w:r>
        <w:rPr>
          <w:rFonts w:hint="eastAsia" w:ascii="黑体" w:hAnsi="黑体" w:eastAsia="黑体"/>
          <w:lang w:val="en-US" w:eastAsia="zh-CN"/>
        </w:rPr>
        <w:t>-（19）</w:t>
      </w:r>
      <w:r>
        <w:rPr>
          <w:rFonts w:hint="eastAsia" w:ascii="黑体" w:hAnsi="黑体" w:eastAsia="黑体"/>
        </w:rPr>
        <w:t>式估算：</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2211070" cy="245745"/>
            <wp:effectExtent l="0" t="0" r="0" b="1905"/>
            <wp:docPr id="237" name="图片 237" descr="C:\Users\ADMINI~1\AppData\Local\Temp\ksohtml9220\wps13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7" name="图片 237" descr="C:\Users\ADMINI~1\AppData\Local\Temp\ksohtml9220\wps131.png"/>
                    <pic:cNvPicPr>
                      <a:picLocks noChangeAspect="true" noChangeArrowheads="true"/>
                    </pic:cNvPicPr>
                  </pic:nvPicPr>
                  <pic:blipFill>
                    <a:blip r:embed="rId135">
                      <a:extLst>
                        <a:ext uri="{28A0092B-C50C-407E-A947-70E740481C1C}">
                          <a14:useLocalDpi xmlns:a14="http://schemas.microsoft.com/office/drawing/2010/main" val="false"/>
                        </a:ext>
                      </a:extLst>
                    </a:blip>
                    <a:srcRect/>
                    <a:stretch>
                      <a:fillRect/>
                    </a:stretch>
                  </pic:blipFill>
                  <pic:spPr>
                    <a:xfrm>
                      <a:off x="0" y="0"/>
                      <a:ext cx="2211070" cy="245745"/>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16</w:t>
      </w:r>
      <w:r>
        <w:rPr>
          <w:rFonts w:ascii="黑体" w:hAnsi="黑体" w:eastAsia="黑体"/>
        </w:rPr>
        <w:t>)</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1187450" cy="259080"/>
            <wp:effectExtent l="0" t="0" r="0" b="7620"/>
            <wp:docPr id="238" name="图片 238" descr="C:\Users\ADMINI~1\AppData\Local\Temp\ksohtml9220\wps13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8" name="图片 238" descr="C:\Users\ADMINI~1\AppData\Local\Temp\ksohtml9220\wps132.png"/>
                    <pic:cNvPicPr>
                      <a:picLocks noChangeAspect="true" noChangeArrowheads="true"/>
                    </pic:cNvPicPr>
                  </pic:nvPicPr>
                  <pic:blipFill>
                    <a:blip r:embed="rId136">
                      <a:extLst>
                        <a:ext uri="{28A0092B-C50C-407E-A947-70E740481C1C}">
                          <a14:useLocalDpi xmlns:a14="http://schemas.microsoft.com/office/drawing/2010/main" val="false"/>
                        </a:ext>
                      </a:extLst>
                    </a:blip>
                    <a:srcRect/>
                    <a:stretch>
                      <a:fillRect/>
                    </a:stretch>
                  </pic:blipFill>
                  <pic:spPr>
                    <a:xfrm>
                      <a:off x="0" y="0"/>
                      <a:ext cx="1187450" cy="259080"/>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ascii="黑体" w:hAnsi="黑体" w:eastAsia="黑体"/>
        </w:rPr>
        <w:fldChar w:fldCharType="begin"/>
      </w:r>
      <w:r>
        <w:rPr>
          <w:rFonts w:ascii="黑体" w:hAnsi="黑体" w:eastAsia="黑体"/>
        </w:rPr>
        <w:instrText xml:space="preserve"> AUTONUM </w:instrText>
      </w:r>
      <w:r>
        <w:rPr>
          <w:rFonts w:ascii="黑体" w:hAnsi="黑体" w:eastAsia="黑体"/>
        </w:rPr>
        <w:fldChar w:fldCharType="end"/>
      </w:r>
      <w:r>
        <w:rPr>
          <w:rFonts w:hint="eastAsia" w:ascii="黑体" w:hAnsi="黑体" w:eastAsia="黑体"/>
          <w:lang w:val="en-US" w:eastAsia="zh-CN"/>
        </w:rPr>
        <w:t>7</w:t>
      </w:r>
      <w:r>
        <w:rPr>
          <w:rFonts w:ascii="黑体" w:hAnsi="黑体" w:eastAsia="黑体"/>
        </w:rPr>
        <w:t>)</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1214755" cy="259080"/>
            <wp:effectExtent l="0" t="0" r="4445" b="7620"/>
            <wp:docPr id="239" name="图片 239" descr="C:\Users\ADMINI~1\AppData\Local\Temp\ksohtml9220\wps133.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9" name="图片 239" descr="C:\Users\ADMINI~1\AppData\Local\Temp\ksohtml9220\wps133.png"/>
                    <pic:cNvPicPr>
                      <a:picLocks noChangeAspect="true" noChangeArrowheads="true"/>
                    </pic:cNvPicPr>
                  </pic:nvPicPr>
                  <pic:blipFill>
                    <a:blip r:embed="rId137">
                      <a:extLst>
                        <a:ext uri="{28A0092B-C50C-407E-A947-70E740481C1C}">
                          <a14:useLocalDpi xmlns:a14="http://schemas.microsoft.com/office/drawing/2010/main" val="false"/>
                        </a:ext>
                      </a:extLst>
                    </a:blip>
                    <a:srcRect/>
                    <a:stretch>
                      <a:fillRect/>
                    </a:stretch>
                  </pic:blipFill>
                  <pic:spPr>
                    <a:xfrm>
                      <a:off x="0" y="0"/>
                      <a:ext cx="1214755" cy="259080"/>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18</w:t>
      </w:r>
      <w:r>
        <w:rPr>
          <w:rFonts w:ascii="黑体" w:hAnsi="黑体" w:eastAsia="黑体"/>
        </w:rPr>
        <w:t>)</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1173480" cy="259080"/>
            <wp:effectExtent l="0" t="0" r="7620" b="7620"/>
            <wp:docPr id="240" name="图片 240" descr="C:\Users\ADMINI~1\AppData\Local\Temp\ksohtml9220\wps13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0" name="图片 240" descr="C:\Users\ADMINI~1\AppData\Local\Temp\ksohtml9220\wps134.png"/>
                    <pic:cNvPicPr>
                      <a:picLocks noChangeAspect="true" noChangeArrowheads="true"/>
                    </pic:cNvPicPr>
                  </pic:nvPicPr>
                  <pic:blipFill>
                    <a:blip r:embed="rId138">
                      <a:extLst>
                        <a:ext uri="{28A0092B-C50C-407E-A947-70E740481C1C}">
                          <a14:useLocalDpi xmlns:a14="http://schemas.microsoft.com/office/drawing/2010/main" val="false"/>
                        </a:ext>
                      </a:extLst>
                    </a:blip>
                    <a:srcRect/>
                    <a:stretch>
                      <a:fillRect/>
                    </a:stretch>
                  </pic:blipFill>
                  <pic:spPr>
                    <a:xfrm>
                      <a:off x="0" y="0"/>
                      <a:ext cx="1173480" cy="259080"/>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19</w:t>
      </w:r>
      <w:r>
        <w:rPr>
          <w:rFonts w:ascii="黑体" w:hAnsi="黑体" w:eastAsia="黑体"/>
        </w:rPr>
        <w:t>)</w:t>
      </w:r>
    </w:p>
    <w:p>
      <w:pPr>
        <w:autoSpaceDE w:val="0"/>
        <w:ind w:firstLine="420" w:firstLineChars="200"/>
        <w:rPr>
          <w:rFonts w:ascii="黑体" w:hAnsi="黑体" w:eastAsia="黑体"/>
        </w:rPr>
      </w:pPr>
      <w:r>
        <w:rPr>
          <w:rFonts w:hint="eastAsia" w:ascii="黑体" w:hAnsi="黑体" w:eastAsia="黑体"/>
        </w:rPr>
        <w:t xml:space="preserve">式中： </w:t>
      </w:r>
      <w:r>
        <w:rPr>
          <w:rFonts w:ascii="黑体" w:hAnsi="黑体" w:eastAsia="黑体"/>
        </w:rPr>
        <w:drawing>
          <wp:inline distT="0" distB="0" distL="0" distR="0">
            <wp:extent cx="204470" cy="231775"/>
            <wp:effectExtent l="0" t="0" r="5080" b="0"/>
            <wp:docPr id="245" name="图片 245" descr="C:\Users\ADMINI~1\AppData\Local\Temp\ksohtml9220\wps135.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5" name="图片 245" descr="C:\Users\ADMINI~1\AppData\Local\Temp\ksohtml9220\wps135.png"/>
                    <pic:cNvPicPr>
                      <a:picLocks noChangeAspect="true" noChangeArrowheads="true"/>
                    </pic:cNvPicPr>
                  </pic:nvPicPr>
                  <pic:blipFill>
                    <a:blip r:embed="rId139">
                      <a:extLst>
                        <a:ext uri="{28A0092B-C50C-407E-A947-70E740481C1C}">
                          <a14:useLocalDpi xmlns:a14="http://schemas.microsoft.com/office/drawing/2010/main" val="false"/>
                        </a:ext>
                      </a:extLst>
                    </a:blip>
                    <a:srcRect/>
                    <a:stretch>
                      <a:fillRect/>
                    </a:stretch>
                  </pic:blipFill>
                  <pic:spPr>
                    <a:xfrm>
                      <a:off x="0" y="0"/>
                      <a:ext cx="204470" cy="231775"/>
                    </a:xfrm>
                    <a:prstGeom prst="rect">
                      <a:avLst/>
                    </a:prstGeom>
                    <a:noFill/>
                    <a:ln>
                      <a:noFill/>
                    </a:ln>
                  </pic:spPr>
                </pic:pic>
              </a:graphicData>
            </a:graphic>
          </wp:inline>
        </w:drawing>
      </w:r>
      <w:r>
        <w:rPr>
          <w:rFonts w:hint="eastAsia" w:ascii="黑体" w:hAnsi="黑体" w:eastAsia="黑体"/>
        </w:rPr>
        <w:t>——螺杆灌注桩单桩抗拔极限承载力标准值；</w:t>
      </w:r>
    </w:p>
    <w:p>
      <w:pPr>
        <w:autoSpaceDE w:val="0"/>
        <w:ind w:left="840" w:leftChars="400" w:firstLine="210" w:firstLineChars="100"/>
        <w:rPr>
          <w:rFonts w:ascii="黑体" w:hAnsi="黑体" w:eastAsia="黑体"/>
        </w:rPr>
      </w:pPr>
      <w:r>
        <w:rPr>
          <w:rFonts w:ascii="黑体" w:hAnsi="黑体" w:eastAsia="黑体"/>
        </w:rPr>
        <w:drawing>
          <wp:inline distT="0" distB="0" distL="0" distR="0">
            <wp:extent cx="245745" cy="231775"/>
            <wp:effectExtent l="0" t="0" r="1905" b="0"/>
            <wp:docPr id="244" name="图片 244" descr="C:\Users\ADMINI~1\AppData\Local\Temp\ksohtml9220\wps136.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4" name="图片 244" descr="C:\Users\ADMINI~1\AppData\Local\Temp\ksohtml9220\wps136.png"/>
                    <pic:cNvPicPr>
                      <a:picLocks noChangeAspect="true" noChangeArrowheads="true"/>
                    </pic:cNvPicPr>
                  </pic:nvPicPr>
                  <pic:blipFill>
                    <a:blip r:embed="rId52">
                      <a:extLst>
                        <a:ext uri="{28A0092B-C50C-407E-A947-70E740481C1C}">
                          <a14:useLocalDpi xmlns:a14="http://schemas.microsoft.com/office/drawing/2010/main" val="false"/>
                        </a:ext>
                      </a:extLst>
                    </a:blip>
                    <a:srcRect/>
                    <a:stretch>
                      <a:fillRect/>
                    </a:stretch>
                  </pic:blipFill>
                  <pic:spPr>
                    <a:xfrm>
                      <a:off x="0" y="0"/>
                      <a:ext cx="245745" cy="231775"/>
                    </a:xfrm>
                    <a:prstGeom prst="rect">
                      <a:avLst/>
                    </a:prstGeom>
                    <a:noFill/>
                    <a:ln>
                      <a:noFill/>
                    </a:ln>
                  </pic:spPr>
                </pic:pic>
              </a:graphicData>
            </a:graphic>
          </wp:inline>
        </w:drawing>
      </w:r>
      <w:r>
        <w:rPr>
          <w:rFonts w:hint="eastAsia" w:ascii="黑体" w:hAnsi="黑体" w:eastAsia="黑体"/>
        </w:rPr>
        <w:t>——螺杆灌注桩直杆段抗拔极限承载力标准值；</w:t>
      </w:r>
    </w:p>
    <w:p>
      <w:pPr>
        <w:autoSpaceDE w:val="0"/>
        <w:ind w:left="840" w:leftChars="400" w:firstLine="105" w:firstLineChars="50"/>
        <w:rPr>
          <w:rFonts w:ascii="黑体" w:hAnsi="黑体" w:eastAsia="黑体"/>
        </w:rPr>
      </w:pPr>
      <w:r>
        <w:rPr>
          <w:rFonts w:hint="eastAsia" w:ascii="黑体" w:hAnsi="黑体" w:eastAsia="黑体"/>
        </w:rPr>
        <w:t xml:space="preserve"> </w:t>
      </w:r>
      <w:r>
        <w:rPr>
          <w:rFonts w:ascii="黑体" w:hAnsi="黑体" w:eastAsia="黑体"/>
        </w:rPr>
        <w:drawing>
          <wp:inline distT="0" distB="0" distL="0" distR="0">
            <wp:extent cx="259080" cy="231775"/>
            <wp:effectExtent l="0" t="0" r="7620" b="0"/>
            <wp:docPr id="243" name="图片 243" descr="C:\Users\ADMINI~1\AppData\Local\Temp\ksohtml9220\wps137.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3" name="图片 243" descr="C:\Users\ADMINI~1\AppData\Local\Temp\ksohtml9220\wps137.png"/>
                    <pic:cNvPicPr>
                      <a:picLocks noChangeAspect="true" noChangeArrowheads="true"/>
                    </pic:cNvPicPr>
                  </pic:nvPicPr>
                  <pic:blipFill>
                    <a:blip r:embed="rId53">
                      <a:extLst>
                        <a:ext uri="{28A0092B-C50C-407E-A947-70E740481C1C}">
                          <a14:useLocalDpi xmlns:a14="http://schemas.microsoft.com/office/drawing/2010/main" val="false"/>
                        </a:ext>
                      </a:extLst>
                    </a:blip>
                    <a:srcRect/>
                    <a:stretch>
                      <a:fillRect/>
                    </a:stretch>
                  </pic:blipFill>
                  <pic:spPr>
                    <a:xfrm>
                      <a:off x="0" y="0"/>
                      <a:ext cx="259080" cy="231775"/>
                    </a:xfrm>
                    <a:prstGeom prst="rect">
                      <a:avLst/>
                    </a:prstGeom>
                    <a:noFill/>
                    <a:ln>
                      <a:noFill/>
                    </a:ln>
                  </pic:spPr>
                </pic:pic>
              </a:graphicData>
            </a:graphic>
          </wp:inline>
        </w:drawing>
      </w:r>
      <w:r>
        <w:rPr>
          <w:rFonts w:hint="eastAsia" w:ascii="黑体" w:hAnsi="黑体" w:eastAsia="黑体"/>
        </w:rPr>
        <w:t>——螺杆灌注桩螺纹段抗拔极限承载力标准值；</w:t>
      </w:r>
    </w:p>
    <w:p>
      <w:pPr>
        <w:autoSpaceDE w:val="0"/>
        <w:ind w:left="420" w:leftChars="100" w:hanging="210" w:hangingChars="100"/>
        <w:rPr>
          <w:rFonts w:ascii="黑体" w:hAnsi="黑体" w:eastAsia="黑体"/>
        </w:rPr>
      </w:pPr>
      <w:r>
        <w:rPr>
          <w:rFonts w:hint="eastAsia" w:ascii="黑体" w:hAnsi="黑体" w:eastAsia="黑体"/>
        </w:rPr>
        <w:t xml:space="preserve">    </w:t>
      </w:r>
      <w:r>
        <w:rPr>
          <w:rFonts w:ascii="黑体" w:hAnsi="黑体" w:eastAsia="黑体"/>
        </w:rPr>
        <w:t xml:space="preserve">   </w:t>
      </w:r>
      <w:r>
        <w:rPr>
          <w:rFonts w:hint="eastAsia" w:ascii="黑体" w:hAnsi="黑体" w:eastAsia="黑体"/>
        </w:rPr>
        <w:t xml:space="preserve"> </w:t>
      </w:r>
      <w:r>
        <w:rPr>
          <w:rFonts w:ascii="黑体" w:hAnsi="黑体" w:eastAsia="黑体"/>
        </w:rPr>
        <w:drawing>
          <wp:inline distT="0" distB="0" distL="0" distR="0">
            <wp:extent cx="259080" cy="231775"/>
            <wp:effectExtent l="0" t="0" r="7620" b="0"/>
            <wp:docPr id="242" name="图片 242" descr="C:\Users\ADMINI~1\AppData\Local\Temp\ksohtml9220\wps138.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2" name="图片 242" descr="C:\Users\ADMINI~1\AppData\Local\Temp\ksohtml9220\wps138.png"/>
                    <pic:cNvPicPr>
                      <a:picLocks noChangeAspect="true" noChangeArrowheads="true"/>
                    </pic:cNvPicPr>
                  </pic:nvPicPr>
                  <pic:blipFill>
                    <a:blip r:embed="rId54">
                      <a:extLst>
                        <a:ext uri="{28A0092B-C50C-407E-A947-70E740481C1C}">
                          <a14:useLocalDpi xmlns:a14="http://schemas.microsoft.com/office/drawing/2010/main" val="false"/>
                        </a:ext>
                      </a:extLst>
                    </a:blip>
                    <a:srcRect/>
                    <a:stretch>
                      <a:fillRect/>
                    </a:stretch>
                  </pic:blipFill>
                  <pic:spPr>
                    <a:xfrm>
                      <a:off x="0" y="0"/>
                      <a:ext cx="259080" cy="231775"/>
                    </a:xfrm>
                    <a:prstGeom prst="rect">
                      <a:avLst/>
                    </a:prstGeom>
                    <a:noFill/>
                    <a:ln>
                      <a:noFill/>
                    </a:ln>
                  </pic:spPr>
                </pic:pic>
              </a:graphicData>
            </a:graphic>
          </wp:inline>
        </w:drawing>
      </w:r>
      <w:r>
        <w:rPr>
          <w:rFonts w:hint="eastAsia" w:ascii="黑体" w:hAnsi="黑体" w:eastAsia="黑体"/>
        </w:rPr>
        <w:t>——螺杆灌注桩扩大体段单桩抗拔极限承载力标准值；</w:t>
      </w:r>
    </w:p>
    <w:p>
      <w:pPr>
        <w:autoSpaceDE w:val="0"/>
        <w:rPr>
          <w:rFonts w:ascii="黑体" w:hAnsi="黑体" w:eastAsia="黑体"/>
        </w:rPr>
      </w:pPr>
      <w:r>
        <w:rPr>
          <w:rFonts w:hint="eastAsia" w:ascii="黑体" w:hAnsi="黑体" w:eastAsia="黑体"/>
        </w:rPr>
        <w:t xml:space="preserve">      </w:t>
      </w:r>
      <w:r>
        <w:rPr>
          <w:rFonts w:ascii="黑体" w:hAnsi="黑体" w:eastAsia="黑体"/>
        </w:rPr>
        <w:t xml:space="preserve">     </w:t>
      </w:r>
      <w:r>
        <w:rPr>
          <w:rFonts w:ascii="黑体" w:hAnsi="黑体" w:eastAsia="黑体"/>
        </w:rPr>
        <w:drawing>
          <wp:inline distT="0" distB="0" distL="0" distR="0">
            <wp:extent cx="136525" cy="177165"/>
            <wp:effectExtent l="0" t="0" r="0" b="0"/>
            <wp:docPr id="241" name="图片 241" descr="C:\Users\ADMINI~1\AppData\Local\Temp\ksohtml9220\wps139.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1" name="图片 241" descr="C:\Users\ADMINI~1\AppData\Local\Temp\ksohtml9220\wps139.png"/>
                    <pic:cNvPicPr>
                      <a:picLocks noChangeAspect="true" noChangeArrowheads="true"/>
                    </pic:cNvPicPr>
                  </pic:nvPicPr>
                  <pic:blipFill>
                    <a:blip r:embed="rId69">
                      <a:extLst>
                        <a:ext uri="{28A0092B-C50C-407E-A947-70E740481C1C}">
                          <a14:useLocalDpi xmlns:a14="http://schemas.microsoft.com/office/drawing/2010/main" val="false"/>
                        </a:ext>
                      </a:extLst>
                    </a:blip>
                    <a:srcRect/>
                    <a:stretch>
                      <a:fillRect/>
                    </a:stretch>
                  </pic:blipFill>
                  <pic:spPr>
                    <a:xfrm>
                      <a:off x="0" y="0"/>
                      <a:ext cx="136525" cy="177165"/>
                    </a:xfrm>
                    <a:prstGeom prst="rect">
                      <a:avLst/>
                    </a:prstGeom>
                    <a:noFill/>
                    <a:ln>
                      <a:noFill/>
                    </a:ln>
                  </pic:spPr>
                </pic:pic>
              </a:graphicData>
            </a:graphic>
          </wp:inline>
        </w:drawing>
      </w:r>
      <w:r>
        <w:rPr>
          <w:rFonts w:hint="eastAsia" w:ascii="黑体" w:hAnsi="黑体" w:eastAsia="黑体"/>
        </w:rPr>
        <w:t>——抗拔系数，无经验时可按表</w:t>
      </w:r>
      <w:r>
        <w:rPr>
          <w:rFonts w:ascii="黑体" w:hAnsi="黑体" w:eastAsia="黑体"/>
        </w:rPr>
        <w:t>9</w:t>
      </w:r>
      <w:r>
        <w:rPr>
          <w:rFonts w:hint="eastAsia" w:ascii="黑体" w:hAnsi="黑体" w:eastAsia="黑体"/>
        </w:rPr>
        <w:t>取值。</w:t>
      </w:r>
    </w:p>
    <w:p>
      <w:pPr>
        <w:pStyle w:val="112"/>
        <w:spacing w:before="156" w:after="156"/>
        <w:rPr>
          <w:rFonts w:hAnsi="黑体"/>
        </w:rPr>
      </w:pPr>
      <w:r>
        <w:rPr>
          <w:rFonts w:hint="eastAsia" w:hAnsi="黑体"/>
        </w:rPr>
        <w:t>抗拔系数</w:t>
      </w:r>
      <w:r>
        <w:rPr>
          <w:rFonts w:hAnsi="黑体"/>
        </w:rPr>
        <w:drawing>
          <wp:inline distT="0" distB="0" distL="0" distR="0">
            <wp:extent cx="136525" cy="177165"/>
            <wp:effectExtent l="0" t="0" r="0" b="0"/>
            <wp:docPr id="246" name="图片 246" descr="C:\Users\ADMINI~1\AppData\Local\Temp\ksohtml9220\wps140.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6" name="图片 246" descr="C:\Users\ADMINI~1\AppData\Local\Temp\ksohtml9220\wps140.png"/>
                    <pic:cNvPicPr>
                      <a:picLocks noChangeAspect="true" noChangeArrowheads="true"/>
                    </pic:cNvPicPr>
                  </pic:nvPicPr>
                  <pic:blipFill>
                    <a:blip r:embed="rId69">
                      <a:extLst>
                        <a:ext uri="{28A0092B-C50C-407E-A947-70E740481C1C}">
                          <a14:useLocalDpi xmlns:a14="http://schemas.microsoft.com/office/drawing/2010/main" val="false"/>
                        </a:ext>
                      </a:extLst>
                    </a:blip>
                    <a:srcRect/>
                    <a:stretch>
                      <a:fillRect/>
                    </a:stretch>
                  </pic:blipFill>
                  <pic:spPr>
                    <a:xfrm>
                      <a:off x="0" y="0"/>
                      <a:ext cx="136525" cy="177165"/>
                    </a:xfrm>
                    <a:prstGeom prst="rect">
                      <a:avLst/>
                    </a:prstGeom>
                    <a:noFill/>
                    <a:ln>
                      <a:noFill/>
                    </a:ln>
                  </pic:spPr>
                </pic:pic>
              </a:graphicData>
            </a:graphic>
          </wp:inline>
        </w:drawing>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667"/>
        <w:gridCol w:w="466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4667" w:type="dxa"/>
            <w:tcBorders>
              <w:top w:val="single" w:color="auto" w:sz="8" w:space="0"/>
              <w:bottom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土层分类</w:t>
            </w:r>
          </w:p>
        </w:tc>
        <w:tc>
          <w:tcPr>
            <w:tcW w:w="4667" w:type="dxa"/>
            <w:tcBorders>
              <w:top w:val="single" w:color="auto" w:sz="8" w:space="0"/>
              <w:bottom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抗拔系数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tcBorders>
              <w:top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砂土</w:t>
            </w:r>
          </w:p>
        </w:tc>
        <w:tc>
          <w:tcPr>
            <w:tcW w:w="4667" w:type="dxa"/>
            <w:tcBorders>
              <w:top w:val="single" w:color="auto" w:sz="8" w:space="0"/>
            </w:tcBorders>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0.50~0.70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黏性土、粉土</w:t>
            </w:r>
          </w:p>
        </w:tc>
        <w:tc>
          <w:tcPr>
            <w:tcW w:w="4667" w:type="dxa"/>
            <w:shd w:val="clear" w:color="auto" w:fill="auto"/>
            <w:vAlign w:val="center"/>
          </w:tcPr>
          <w:p>
            <w:pPr>
              <w:autoSpaceDE w:val="0"/>
              <w:spacing w:line="288" w:lineRule="auto"/>
              <w:jc w:val="center"/>
              <w:rPr>
                <w:rFonts w:ascii="黑体" w:hAnsi="黑体" w:eastAsia="黑体"/>
              </w:rPr>
            </w:pPr>
            <w:r>
              <w:rPr>
                <w:rFonts w:hint="eastAsia" w:ascii="黑体" w:hAnsi="黑体" w:eastAsia="黑体"/>
              </w:rPr>
              <w:t>0.70~0.80</w:t>
            </w:r>
          </w:p>
        </w:tc>
      </w:tr>
    </w:tbl>
    <w:p>
      <w:pPr>
        <w:pStyle w:val="179"/>
        <w:rPr>
          <w:rFonts w:ascii="黑体" w:hAnsi="黑体" w:eastAsia="黑体"/>
          <w:kern w:val="2"/>
          <w:sz w:val="21"/>
          <w:szCs w:val="21"/>
        </w:rPr>
      </w:pPr>
      <w:r>
        <w:rPr>
          <w:rFonts w:hint="eastAsia" w:ascii="黑体" w:hAnsi="黑体" w:eastAsia="黑体"/>
        </w:rPr>
        <w:t>桩长L与桩径d1之比小于20时，</w:t>
      </w:r>
      <w:r>
        <w:rPr>
          <w:rFonts w:ascii="黑体" w:hAnsi="黑体" w:eastAsia="黑体"/>
        </w:rPr>
        <w:drawing>
          <wp:inline distT="0" distB="0" distL="0" distR="0">
            <wp:extent cx="136525" cy="177165"/>
            <wp:effectExtent l="0" t="0" r="0" b="0"/>
            <wp:docPr id="247" name="图片 247" descr="C:\Users\ADMINI~1\AppData\Local\Temp\ksohtml9220\wps14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7" name="图片 247" descr="C:\Users\ADMINI~1\AppData\Local\Temp\ksohtml9220\wps141.png"/>
                    <pic:cNvPicPr>
                      <a:picLocks noChangeAspect="true" noChangeArrowheads="true"/>
                    </pic:cNvPicPr>
                  </pic:nvPicPr>
                  <pic:blipFill>
                    <a:blip r:embed="rId69">
                      <a:extLst>
                        <a:ext uri="{28A0092B-C50C-407E-A947-70E740481C1C}">
                          <a14:useLocalDpi xmlns:a14="http://schemas.microsoft.com/office/drawing/2010/main" val="false"/>
                        </a:ext>
                      </a:extLst>
                    </a:blip>
                    <a:srcRect/>
                    <a:stretch>
                      <a:fillRect/>
                    </a:stretch>
                  </pic:blipFill>
                  <pic:spPr>
                    <a:xfrm>
                      <a:off x="0" y="0"/>
                      <a:ext cx="136525" cy="177165"/>
                    </a:xfrm>
                    <a:prstGeom prst="rect">
                      <a:avLst/>
                    </a:prstGeom>
                    <a:noFill/>
                    <a:ln>
                      <a:noFill/>
                    </a:ln>
                  </pic:spPr>
                </pic:pic>
              </a:graphicData>
            </a:graphic>
          </wp:inline>
        </w:drawing>
      </w:r>
      <w:r>
        <w:rPr>
          <w:rFonts w:hint="eastAsia" w:ascii="黑体" w:hAnsi="黑体" w:eastAsia="黑体"/>
        </w:rPr>
        <w:t>取小值。</w:t>
      </w:r>
    </w:p>
    <w:p>
      <w:pPr>
        <w:pStyle w:val="105"/>
        <w:spacing w:before="156" w:after="156"/>
        <w:rPr>
          <w:rFonts w:hAnsi="黑体"/>
        </w:rPr>
      </w:pPr>
      <w:bookmarkStart w:id="179" w:name="_Toc30550"/>
      <w:r>
        <w:rPr>
          <w:rFonts w:hint="eastAsia" w:hAnsi="黑体"/>
        </w:rPr>
        <w:t>单桩水平承载力</w:t>
      </w:r>
      <w:bookmarkEnd w:id="179"/>
    </w:p>
    <w:p>
      <w:pPr>
        <w:pStyle w:val="65"/>
        <w:spacing w:before="156" w:after="156"/>
        <w:rPr>
          <w:rFonts w:hAnsi="黑体"/>
        </w:rPr>
      </w:pPr>
      <w:r>
        <w:rPr>
          <w:rFonts w:hint="eastAsia" w:hAnsi="黑体"/>
        </w:rPr>
        <w:t>螺杆桩群桩水平承载力特征值的确定按现行JGJ94执行。</w:t>
      </w:r>
    </w:p>
    <w:p>
      <w:pPr>
        <w:pStyle w:val="104"/>
        <w:spacing w:before="312" w:after="312"/>
        <w:rPr>
          <w:rFonts w:hAnsi="黑体"/>
        </w:rPr>
      </w:pPr>
      <w:bookmarkStart w:id="180" w:name="_Toc9968"/>
      <w:r>
        <w:rPr>
          <w:rFonts w:hint="eastAsia" w:hAnsi="黑体"/>
          <w:bCs/>
        </w:rPr>
        <w:t>复合地基设计</w:t>
      </w:r>
      <w:bookmarkEnd w:id="180"/>
    </w:p>
    <w:p>
      <w:pPr>
        <w:pStyle w:val="105"/>
        <w:spacing w:before="156" w:after="156"/>
        <w:rPr>
          <w:rFonts w:hAnsi="黑体"/>
        </w:rPr>
      </w:pPr>
      <w:bookmarkStart w:id="181" w:name="_Toc5139"/>
      <w:r>
        <w:rPr>
          <w:rFonts w:hint="eastAsia" w:hAnsi="黑体"/>
        </w:rPr>
        <w:t>作为复合地基增强体的螺杆灌注桩，桩径宜采用400mm~ 600mm。螺杆灌注桩的最小中心距不宜小于3.5</w:t>
      </w:r>
      <w:r>
        <w:rPr>
          <w:rFonts w:hint="eastAsia" w:hAnsi="黑体"/>
          <w:i/>
          <w:iCs/>
        </w:rPr>
        <w:t>d</w:t>
      </w:r>
      <w:r>
        <w:rPr>
          <w:rFonts w:hint="eastAsia" w:hAnsi="黑体"/>
          <w:i/>
          <w:iCs/>
          <w:vertAlign w:val="subscript"/>
        </w:rPr>
        <w:t>1</w:t>
      </w:r>
      <w:r>
        <w:rPr>
          <w:rFonts w:hint="eastAsia" w:hAnsi="黑体"/>
        </w:rPr>
        <w:t>，在软土地区，宜适当加大增大桩间距，一般不小于4.0</w:t>
      </w:r>
      <w:r>
        <w:rPr>
          <w:rFonts w:hint="eastAsia" w:hAnsi="黑体"/>
          <w:i/>
          <w:iCs/>
        </w:rPr>
        <w:t>d</w:t>
      </w:r>
      <w:r>
        <w:rPr>
          <w:rFonts w:hint="eastAsia" w:hAnsi="黑体"/>
          <w:i/>
          <w:iCs/>
          <w:vertAlign w:val="subscript"/>
        </w:rPr>
        <w:t>1</w:t>
      </w:r>
      <w:r>
        <w:rPr>
          <w:rFonts w:hint="eastAsia" w:hAnsi="黑体"/>
        </w:rPr>
        <w:t>。</w:t>
      </w:r>
      <w:bookmarkEnd w:id="181"/>
    </w:p>
    <w:p>
      <w:pPr>
        <w:pStyle w:val="105"/>
        <w:spacing w:before="156" w:after="156"/>
        <w:rPr>
          <w:rFonts w:hAnsi="黑体"/>
        </w:rPr>
      </w:pPr>
      <w:bookmarkStart w:id="182" w:name="_Toc16450"/>
      <w:r>
        <w:rPr>
          <w:rFonts w:hint="eastAsia" w:hAnsi="黑体"/>
        </w:rPr>
        <w:t>螺杆灌注桩可只在基础范围内布置，并应根据建筑物荷载分布、基础形式和地基土性状按下列规定布桩：</w:t>
      </w:r>
      <w:bookmarkEnd w:id="182"/>
    </w:p>
    <w:p>
      <w:pPr>
        <w:pStyle w:val="65"/>
        <w:spacing w:before="156" w:after="156"/>
        <w:rPr>
          <w:rFonts w:hAnsi="黑体"/>
        </w:rPr>
      </w:pPr>
      <w:r>
        <w:rPr>
          <w:rFonts w:hint="eastAsia" w:hAnsi="黑体"/>
        </w:rPr>
        <w:t>框架核心筒结构内筒部位可采用减小桩距、增大桩长或桩径布桩；</w:t>
      </w:r>
    </w:p>
    <w:p>
      <w:pPr>
        <w:pStyle w:val="65"/>
        <w:spacing w:before="156" w:after="156"/>
        <w:rPr>
          <w:rFonts w:hAnsi="黑体"/>
        </w:rPr>
      </w:pPr>
      <w:r>
        <w:rPr>
          <w:rFonts w:hint="eastAsia" w:hAnsi="黑体"/>
        </w:rPr>
        <w:t>对相邻柱荷载水平相差较大的独立基础，应按变形控制确定桩长和桩距；</w:t>
      </w:r>
    </w:p>
    <w:p>
      <w:pPr>
        <w:pStyle w:val="65"/>
        <w:spacing w:before="156" w:after="156"/>
        <w:rPr>
          <w:rFonts w:hAnsi="黑体"/>
        </w:rPr>
      </w:pPr>
      <w:r>
        <w:rPr>
          <w:rFonts w:hint="eastAsia" w:hAnsi="黑体"/>
        </w:rPr>
        <w:t>筏板厚度与跨距之比小于1/6的平板式筏基、梁的高跨比大于1/6且板的厚跨比（筏板厚度与梁的中心距之比）小于1/6的梁板式筏基，应在柱（平板式筏基）和梁（梁板式筏基）边缘每边外扩2.5倍板厚的面积范围内布桩；</w:t>
      </w:r>
    </w:p>
    <w:p>
      <w:pPr>
        <w:pStyle w:val="65"/>
        <w:spacing w:before="156" w:after="156"/>
        <w:rPr>
          <w:rFonts w:hAnsi="黑体"/>
        </w:rPr>
      </w:pPr>
      <w:r>
        <w:rPr>
          <w:rFonts w:hint="eastAsia" w:hAnsi="黑体"/>
        </w:rPr>
        <w:t>对荷载水平不高的墙下条形基础可采用墙下单排布桩。</w:t>
      </w:r>
    </w:p>
    <w:p>
      <w:pPr>
        <w:pStyle w:val="105"/>
        <w:spacing w:before="156" w:after="156"/>
        <w:rPr>
          <w:rFonts w:hAnsi="黑体"/>
        </w:rPr>
      </w:pPr>
      <w:bookmarkStart w:id="183" w:name="_Toc27298"/>
      <w:r>
        <w:rPr>
          <w:rFonts w:hint="eastAsia" w:hAnsi="黑体"/>
        </w:rPr>
        <w:t>桩的中心与基础边缘的距离不宜小于1d</w:t>
      </w:r>
      <w:r>
        <w:rPr>
          <w:rFonts w:hint="eastAsia" w:hAnsi="黑体"/>
          <w:vertAlign w:val="subscript"/>
        </w:rPr>
        <w:t>1</w:t>
      </w:r>
      <w:r>
        <w:rPr>
          <w:rFonts w:hint="eastAsia" w:hAnsi="黑体"/>
        </w:rPr>
        <w:t>；桩的边缘与基础边缘的距离，条形基础不宜小于75mm，其他形式的基础不宜小于150mm。</w:t>
      </w:r>
      <w:bookmarkEnd w:id="183"/>
    </w:p>
    <w:p>
      <w:pPr>
        <w:pStyle w:val="105"/>
        <w:spacing w:before="156" w:after="156"/>
        <w:rPr>
          <w:rFonts w:hAnsi="黑体"/>
        </w:rPr>
      </w:pPr>
      <w:bookmarkStart w:id="184" w:name="_Toc428"/>
      <w:r>
        <w:rPr>
          <w:rFonts w:hint="eastAsia" w:hAnsi="黑体"/>
        </w:rPr>
        <w:t>螺杆灌注桩单桩承载力特征值、复合地基承载力特征值应通过静载荷试验结合工程经验综合确定。</w:t>
      </w:r>
      <w:bookmarkEnd w:id="184"/>
    </w:p>
    <w:p>
      <w:pPr>
        <w:pStyle w:val="105"/>
        <w:spacing w:before="156" w:after="156"/>
        <w:rPr>
          <w:rFonts w:hAnsi="黑体"/>
        </w:rPr>
      </w:pPr>
      <w:bookmarkStart w:id="185" w:name="_Toc20794"/>
      <w:r>
        <w:rPr>
          <w:rFonts w:hint="eastAsia" w:hAnsi="黑体"/>
        </w:rPr>
        <w:t>螺杆灌注桩桩顶和基础之间应设置褥垫层。褥垫层材料宜用中砂、粗砂、级配砂石或碎石等，最大粒径不宜大于30mm。褥垫层厚度宜取150mm ~300mm。</w:t>
      </w:r>
      <w:bookmarkEnd w:id="185"/>
    </w:p>
    <w:p>
      <w:pPr>
        <w:pStyle w:val="105"/>
        <w:spacing w:before="156" w:after="156"/>
        <w:rPr>
          <w:rFonts w:hAnsi="黑体"/>
        </w:rPr>
      </w:pPr>
      <w:bookmarkStart w:id="186" w:name="_Toc24318"/>
      <w:r>
        <w:rPr>
          <w:rFonts w:hint="eastAsia" w:hAnsi="黑体"/>
        </w:rPr>
        <w:t>螺杆灌注桩复合地基承载力特征值初步设计时，可按</w:t>
      </w:r>
      <w:r>
        <w:rPr>
          <w:rFonts w:hint="eastAsia" w:hAnsi="黑体"/>
          <w:lang w:eastAsia="zh-CN"/>
        </w:rPr>
        <w:t>（</w:t>
      </w:r>
      <w:r>
        <w:rPr>
          <w:rFonts w:hint="eastAsia" w:hAnsi="黑体"/>
          <w:lang w:val="en-US" w:eastAsia="zh-CN"/>
        </w:rPr>
        <w:t>20</w:t>
      </w:r>
      <w:r>
        <w:rPr>
          <w:rFonts w:hint="eastAsia" w:hAnsi="黑体"/>
          <w:lang w:eastAsia="zh-CN"/>
        </w:rPr>
        <w:t>）</w:t>
      </w:r>
      <w:r>
        <w:rPr>
          <w:rFonts w:hint="eastAsia" w:hAnsi="黑体"/>
        </w:rPr>
        <w:t>式估算：</w:t>
      </w:r>
      <w:bookmarkEnd w:id="186"/>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1619885" cy="286385"/>
            <wp:effectExtent l="0" t="0" r="0" b="0"/>
            <wp:docPr id="248" name="图片 248" descr="C:\Users\ADMINI~1\AppData\Local\Temp\ksohtml9220\wps14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8" name="图片 248" descr="C:\Users\ADMINI~1\AppData\Local\Temp\ksohtml9220\wps142.png"/>
                    <pic:cNvPicPr>
                      <a:picLocks noChangeAspect="true" noChangeArrowheads="true"/>
                    </pic:cNvPicPr>
                  </pic:nvPicPr>
                  <pic:blipFill>
                    <a:blip r:embed="rId140">
                      <a:extLst>
                        <a:ext uri="{28A0092B-C50C-407E-A947-70E740481C1C}">
                          <a14:useLocalDpi xmlns:a14="http://schemas.microsoft.com/office/drawing/2010/main" val="false"/>
                        </a:ext>
                      </a:extLst>
                    </a:blip>
                    <a:srcRect/>
                    <a:stretch>
                      <a:fillRect/>
                    </a:stretch>
                  </pic:blipFill>
                  <pic:spPr>
                    <a:xfrm>
                      <a:off x="0" y="0"/>
                      <a:ext cx="1667850" cy="295062"/>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20</w:t>
      </w:r>
      <w:r>
        <w:rPr>
          <w:rFonts w:ascii="黑体" w:hAnsi="黑体" w:eastAsia="黑体"/>
        </w:rPr>
        <w:t>)</w:t>
      </w:r>
    </w:p>
    <w:p>
      <w:pPr>
        <w:pStyle w:val="230"/>
        <w:ind w:left="0" w:leftChars="0" w:firstLine="0" w:firstLineChars="0"/>
        <w:rPr>
          <w:rFonts w:ascii="黑体" w:hAnsi="黑体" w:eastAsia="黑体"/>
        </w:rPr>
      </w:pPr>
      <w:r>
        <w:rPr>
          <w:rFonts w:hint="eastAsia" w:ascii="黑体" w:hAnsi="黑体" w:eastAsia="黑体"/>
        </w:rPr>
        <w:t>式中：</w:t>
      </w:r>
      <w:r>
        <w:rPr>
          <w:rFonts w:hint="eastAsia" w:ascii="黑体" w:hAnsi="黑体" w:eastAsia="黑体"/>
          <w:i/>
          <w:iCs/>
        </w:rPr>
        <w:t>f</w:t>
      </w:r>
      <w:r>
        <w:rPr>
          <w:rFonts w:hint="eastAsia" w:ascii="黑体" w:hAnsi="黑体" w:eastAsia="黑体"/>
          <w:vertAlign w:val="subscript"/>
        </w:rPr>
        <w:t xml:space="preserve">spk </w:t>
      </w:r>
      <w:r>
        <w:rPr>
          <w:rFonts w:hint="eastAsia" w:ascii="黑体" w:hAnsi="黑体" w:eastAsia="黑体"/>
        </w:rPr>
        <w:t>——复合地基承载力特征值（kPa）；</w:t>
      </w:r>
    </w:p>
    <w:p>
      <w:pPr>
        <w:pStyle w:val="230"/>
        <w:ind w:left="0" w:leftChars="0" w:firstLine="630" w:firstLineChars="300"/>
        <w:rPr>
          <w:rFonts w:ascii="黑体" w:hAnsi="黑体" w:eastAsia="黑体"/>
        </w:rPr>
      </w:pPr>
      <w:r>
        <w:rPr>
          <w:rFonts w:hint="eastAsia" w:ascii="黑体" w:hAnsi="黑体" w:eastAsia="黑体"/>
          <w:i/>
          <w:iCs/>
        </w:rPr>
        <w:t>A</w:t>
      </w:r>
      <w:r>
        <w:rPr>
          <w:rFonts w:hint="eastAsia" w:ascii="黑体" w:hAnsi="黑体" w:eastAsia="黑体"/>
          <w:vertAlign w:val="subscript"/>
        </w:rPr>
        <w:t xml:space="preserve">p </w:t>
      </w:r>
      <w:r>
        <w:rPr>
          <w:rFonts w:hint="eastAsia" w:ascii="黑体" w:hAnsi="黑体" w:eastAsia="黑体"/>
        </w:rPr>
        <w:t>——螺杆灌注桩直杆段横截面积(m</w:t>
      </w:r>
      <w:r>
        <w:rPr>
          <w:rFonts w:hint="eastAsia" w:ascii="黑体" w:hAnsi="黑体" w:eastAsia="黑体"/>
          <w:vertAlign w:val="superscript"/>
        </w:rPr>
        <w:t>2</w:t>
      </w:r>
      <w:r>
        <w:rPr>
          <w:rFonts w:hint="eastAsia" w:ascii="黑体" w:hAnsi="黑体" w:eastAsia="黑体"/>
        </w:rPr>
        <w:t>)；</w:t>
      </w:r>
    </w:p>
    <w:p>
      <w:pPr>
        <w:pStyle w:val="230"/>
        <w:ind w:left="1279" w:hanging="648" w:hangingChars="309"/>
        <w:rPr>
          <w:rFonts w:ascii="黑体" w:hAnsi="黑体" w:eastAsia="黑体"/>
        </w:rPr>
      </w:pPr>
      <w:r>
        <w:rPr>
          <w:rFonts w:hint="eastAsia" w:ascii="黑体" w:hAnsi="黑体" w:eastAsia="黑体"/>
          <w:i/>
          <w:iCs/>
        </w:rPr>
        <w:t>R</w:t>
      </w:r>
      <w:r>
        <w:rPr>
          <w:rFonts w:hint="eastAsia" w:ascii="黑体" w:hAnsi="黑体" w:eastAsia="黑体"/>
          <w:vertAlign w:val="subscript"/>
        </w:rPr>
        <w:t xml:space="preserve">a </w:t>
      </w:r>
      <w:r>
        <w:rPr>
          <w:rFonts w:hint="eastAsia" w:ascii="黑体" w:hAnsi="黑体" w:eastAsia="黑体"/>
        </w:rPr>
        <w:t>——螺杆灌注桩单桩竖向承载力特征值（kN），按本标准式（1）计算；</w:t>
      </w:r>
    </w:p>
    <w:p>
      <w:pPr>
        <w:widowControl/>
        <w:ind w:left="1365" w:leftChars="300" w:hanging="735" w:hangingChars="350"/>
        <w:jc w:val="left"/>
        <w:rPr>
          <w:rFonts w:ascii="黑体" w:hAnsi="黑体" w:eastAsia="黑体"/>
        </w:rPr>
      </w:pPr>
      <w:r>
        <w:rPr>
          <w:rFonts w:hint="eastAsia" w:ascii="黑体" w:hAnsi="黑体" w:eastAsia="黑体"/>
          <w:i/>
          <w:iCs/>
        </w:rPr>
        <w:t>f</w:t>
      </w:r>
      <w:r>
        <w:rPr>
          <w:rFonts w:hint="eastAsia" w:ascii="黑体" w:hAnsi="黑体" w:eastAsia="黑体"/>
          <w:vertAlign w:val="subscript"/>
        </w:rPr>
        <w:t xml:space="preserve">sk </w:t>
      </w:r>
      <w:r>
        <w:rPr>
          <w:rFonts w:hint="eastAsia" w:ascii="黑体" w:hAnsi="黑体" w:eastAsia="黑体"/>
        </w:rPr>
        <w:t>——处理后桩间土承载力特征值（kPa）</w:t>
      </w:r>
      <w:r>
        <w:rPr>
          <w:rFonts w:hint="eastAsia" w:ascii="黑体" w:hAnsi="黑体" w:eastAsia="黑体"/>
          <w:kern w:val="0"/>
        </w:rPr>
        <w:t>，可按地区经验 确定，如无经验时，对于一般黏性土地基，可取天然 地基承载力特征值，松散粉土、砂土可取天然地基承载力特征值（1.1～1.4）倍；</w:t>
      </w:r>
    </w:p>
    <w:p>
      <w:pPr>
        <w:pStyle w:val="230"/>
        <w:rPr>
          <w:rFonts w:ascii="黑体" w:hAnsi="黑体" w:eastAsia="黑体"/>
        </w:rPr>
      </w:pPr>
      <w:r>
        <w:rPr>
          <w:rFonts w:ascii="黑体" w:hAnsi="黑体" w:eastAsia="黑体"/>
        </w:rPr>
        <w:drawing>
          <wp:inline distT="0" distB="0" distL="0" distR="0">
            <wp:extent cx="149860" cy="231775"/>
            <wp:effectExtent l="0" t="0" r="2540" b="0"/>
            <wp:docPr id="249" name="图片 249" descr="C:\Users\ADMINI~1\AppData\Local\Temp\ksohtml9220\wps14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9" name="图片 249" descr="C:\Users\ADMINI~1\AppData\Local\Temp\ksohtml9220\wps144.png"/>
                    <pic:cNvPicPr>
                      <a:picLocks noChangeAspect="true" noChangeArrowheads="true"/>
                    </pic:cNvPicPr>
                  </pic:nvPicPr>
                  <pic:blipFill>
                    <a:blip r:embed="rId74">
                      <a:extLst>
                        <a:ext uri="{28A0092B-C50C-407E-A947-70E740481C1C}">
                          <a14:useLocalDpi xmlns:a14="http://schemas.microsoft.com/office/drawing/2010/main" val="false"/>
                        </a:ext>
                      </a:extLst>
                    </a:blip>
                    <a:srcRect/>
                    <a:stretch>
                      <a:fillRect/>
                    </a:stretch>
                  </pic:blipFill>
                  <pic:spPr>
                    <a:xfrm>
                      <a:off x="0" y="0"/>
                      <a:ext cx="149860" cy="231775"/>
                    </a:xfrm>
                    <a:prstGeom prst="rect">
                      <a:avLst/>
                    </a:prstGeom>
                    <a:noFill/>
                    <a:ln>
                      <a:noFill/>
                    </a:ln>
                  </pic:spPr>
                </pic:pic>
              </a:graphicData>
            </a:graphic>
          </wp:inline>
        </w:drawing>
      </w:r>
      <w:r>
        <w:rPr>
          <w:rFonts w:hint="eastAsia" w:ascii="黑体" w:hAnsi="黑体" w:eastAsia="黑体"/>
        </w:rPr>
        <w:t>——单桩承载力发挥系数，可按地区经验取值，无地区经验时可取1.0；</w:t>
      </w:r>
    </w:p>
    <w:p>
      <w:pPr>
        <w:pStyle w:val="230"/>
        <w:rPr>
          <w:rFonts w:ascii="黑体" w:hAnsi="黑体" w:eastAsia="黑体"/>
        </w:rPr>
      </w:pPr>
      <w:r>
        <w:rPr>
          <w:rFonts w:hint="eastAsia" w:ascii="黑体" w:hAnsi="黑体" w:eastAsia="黑体"/>
        </w:rPr>
        <w:t>m ——面积置换率，m=d12/de2；d1为螺杆灌注桩直杆段直径（m），de为一根桩分担的处理地基面积的等效圆直径（m）；等边三角形布桩de=1.05s，正方形布桩de=1.13s，矩形布桩</w:t>
      </w:r>
      <w:r>
        <w:rPr>
          <w:rFonts w:ascii="黑体" w:hAnsi="黑体" w:eastAsia="黑体"/>
        </w:rPr>
        <w:drawing>
          <wp:inline distT="0" distB="0" distL="0" distR="0">
            <wp:extent cx="927100" cy="149860"/>
            <wp:effectExtent l="0" t="0" r="6350" b="2540"/>
            <wp:docPr id="252" name="图片 252" descr="C:\Users\ADMINI~1\AppData\Local\Temp\ksohtml9220\wps160.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2" name="图片 252" descr="C:\Users\ADMINI~1\AppData\Local\Temp\ksohtml9220\wps160.png"/>
                    <pic:cNvPicPr>
                      <a:picLocks noChangeAspect="true" noChangeArrowheads="true"/>
                    </pic:cNvPicPr>
                  </pic:nvPicPr>
                  <pic:blipFill>
                    <a:blip r:embed="rId141">
                      <a:extLst>
                        <a:ext uri="{28A0092B-C50C-407E-A947-70E740481C1C}">
                          <a14:useLocalDpi xmlns:a14="http://schemas.microsoft.com/office/drawing/2010/main" val="false"/>
                        </a:ext>
                      </a:extLst>
                    </a:blip>
                    <a:srcRect/>
                    <a:stretch>
                      <a:fillRect/>
                    </a:stretch>
                  </pic:blipFill>
                  <pic:spPr>
                    <a:xfrm>
                      <a:off x="0" y="0"/>
                      <a:ext cx="934119" cy="150924"/>
                    </a:xfrm>
                    <a:prstGeom prst="rect">
                      <a:avLst/>
                    </a:prstGeom>
                    <a:noFill/>
                    <a:ln>
                      <a:noFill/>
                    </a:ln>
                  </pic:spPr>
                </pic:pic>
              </a:graphicData>
            </a:graphic>
          </wp:inline>
        </w:drawing>
      </w:r>
      <w:r>
        <w:rPr>
          <w:rFonts w:hint="eastAsia" w:ascii="黑体" w:hAnsi="黑体" w:eastAsia="黑体"/>
        </w:rPr>
        <w:t>，s、s1、s2分别为桩间距、纵向桩间距和横向桩间距；</w:t>
      </w:r>
    </w:p>
    <w:p>
      <w:pPr>
        <w:pStyle w:val="230"/>
        <w:ind w:left="1057" w:leftChars="265" w:hanging="501" w:hangingChars="239"/>
        <w:rPr>
          <w:rFonts w:ascii="黑体" w:hAnsi="黑体" w:eastAsia="黑体"/>
        </w:rPr>
      </w:pPr>
      <w:r>
        <w:rPr>
          <w:rFonts w:hint="eastAsia" w:ascii="黑体" w:hAnsi="黑体" w:eastAsia="黑体"/>
          <w:i/>
          <w:iCs/>
        </w:rPr>
        <w:t>β</w:t>
      </w:r>
      <w:r>
        <w:rPr>
          <w:rFonts w:hint="eastAsia" w:ascii="黑体" w:hAnsi="黑体" w:eastAsia="黑体"/>
        </w:rPr>
        <w:t>——桩间土承载力发挥系数，可按地区经验取值，无地区经验时可取0.9~1.0。</w:t>
      </w:r>
    </w:p>
    <w:p>
      <w:pPr>
        <w:pStyle w:val="105"/>
        <w:spacing w:before="156" w:after="156"/>
        <w:rPr>
          <w:rFonts w:hAnsi="黑体"/>
        </w:rPr>
      </w:pPr>
      <w:bookmarkStart w:id="187" w:name="_Toc20764"/>
      <w:r>
        <w:rPr>
          <w:rFonts w:hint="eastAsia" w:hAnsi="黑体"/>
        </w:rPr>
        <w:t>螺杆灌注桩桩身混凝土强度等级不应小于C25，且应符合下列规定：</w:t>
      </w:r>
      <w:bookmarkEnd w:id="187"/>
    </w:p>
    <w:p>
      <w:pPr>
        <w:pStyle w:val="105"/>
        <w:numPr>
          <w:ilvl w:val="0"/>
          <w:numId w:val="0"/>
        </w:numPr>
        <w:spacing w:before="156" w:after="156"/>
        <w:ind w:firstLine="210" w:firstLineChars="100"/>
        <w:rPr>
          <w:rFonts w:hAnsi="黑体"/>
        </w:rPr>
      </w:pPr>
      <w:bookmarkStart w:id="188" w:name="_Toc13936"/>
      <w:r>
        <w:rPr>
          <w:rFonts w:hAnsi="黑体"/>
        </w:rPr>
        <w:t>a)</w:t>
      </w:r>
      <w:r>
        <w:rPr>
          <w:rFonts w:hint="eastAsia" w:hAnsi="黑体"/>
        </w:rPr>
        <w:t xml:space="preserve"> 作为复合地基增强体的螺杆灌注桩桩身强度应满足式(</w:t>
      </w:r>
      <w:r>
        <w:rPr>
          <w:rFonts w:hAnsi="黑体"/>
        </w:rPr>
        <w:t>21</w:t>
      </w:r>
      <w:r>
        <w:rPr>
          <w:rFonts w:hint="eastAsia" w:hAnsi="黑体"/>
        </w:rPr>
        <w:t>)、(</w:t>
      </w:r>
      <w:r>
        <w:rPr>
          <w:rFonts w:hAnsi="黑体"/>
        </w:rPr>
        <w:t>22</w:t>
      </w:r>
      <w:r>
        <w:rPr>
          <w:rFonts w:hint="eastAsia" w:hAnsi="黑体"/>
        </w:rPr>
        <w:t>)的要求。</w:t>
      </w:r>
      <w:bookmarkEnd w:id="188"/>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764540" cy="450215"/>
            <wp:effectExtent l="0" t="0" r="0" b="6985"/>
            <wp:docPr id="253" name="图片 253" descr="C:\Users\ADMINI~1\AppData\Local\Temp\ksohtml9220\wps16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3" name="图片 253" descr="C:\Users\ADMINI~1\AppData\Local\Temp\ksohtml9220\wps161.png"/>
                    <pic:cNvPicPr>
                      <a:picLocks noChangeAspect="true" noChangeArrowheads="true"/>
                    </pic:cNvPicPr>
                  </pic:nvPicPr>
                  <pic:blipFill>
                    <a:blip r:embed="rId142">
                      <a:extLst>
                        <a:ext uri="{28A0092B-C50C-407E-A947-70E740481C1C}">
                          <a14:useLocalDpi xmlns:a14="http://schemas.microsoft.com/office/drawing/2010/main" val="false"/>
                        </a:ext>
                      </a:extLst>
                    </a:blip>
                    <a:srcRect/>
                    <a:stretch>
                      <a:fillRect/>
                    </a:stretch>
                  </pic:blipFill>
                  <pic:spPr>
                    <a:xfrm>
                      <a:off x="0" y="0"/>
                      <a:ext cx="764540" cy="450215"/>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21</w:t>
      </w:r>
      <w:r>
        <w:rPr>
          <w:rFonts w:ascii="黑体" w:hAnsi="黑体" w:eastAsia="黑体"/>
        </w:rPr>
        <w:t>)</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764540" cy="464185"/>
            <wp:effectExtent l="0" t="0" r="0" b="0"/>
            <wp:docPr id="254" name="图片 254" descr="C:\Users\ADMINI~1\AppData\Local\Temp\ksohtml9220\wps16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4" name="图片 254" descr="C:\Users\ADMINI~1\AppData\Local\Temp\ksohtml9220\wps162.png"/>
                    <pic:cNvPicPr>
                      <a:picLocks noChangeAspect="true" noChangeArrowheads="true"/>
                    </pic:cNvPicPr>
                  </pic:nvPicPr>
                  <pic:blipFill>
                    <a:blip r:embed="rId143">
                      <a:extLst>
                        <a:ext uri="{28A0092B-C50C-407E-A947-70E740481C1C}">
                          <a14:useLocalDpi xmlns:a14="http://schemas.microsoft.com/office/drawing/2010/main" val="false"/>
                        </a:ext>
                      </a:extLst>
                    </a:blip>
                    <a:srcRect/>
                    <a:stretch>
                      <a:fillRect/>
                    </a:stretch>
                  </pic:blipFill>
                  <pic:spPr>
                    <a:xfrm>
                      <a:off x="0" y="0"/>
                      <a:ext cx="764540" cy="464185"/>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22</w:t>
      </w:r>
      <w:r>
        <w:rPr>
          <w:rFonts w:ascii="黑体" w:hAnsi="黑体" w:eastAsia="黑体"/>
        </w:rPr>
        <w:t>)</w:t>
      </w:r>
    </w:p>
    <w:p>
      <w:pPr>
        <w:pStyle w:val="112"/>
        <w:numPr>
          <w:ilvl w:val="0"/>
          <w:numId w:val="0"/>
        </w:numPr>
        <w:spacing w:before="156" w:after="156"/>
        <w:ind w:firstLine="210" w:firstLineChars="100"/>
        <w:jc w:val="both"/>
        <w:rPr>
          <w:rFonts w:hAnsi="黑体"/>
        </w:rPr>
      </w:pPr>
      <w:r>
        <w:rPr>
          <w:rFonts w:hAnsi="黑体"/>
        </w:rPr>
        <w:t>b)</w:t>
      </w:r>
      <w:r>
        <w:rPr>
          <w:rFonts w:hint="eastAsia" w:hAnsi="黑体"/>
        </w:rPr>
        <w:t xml:space="preserve"> 当复合地基承载力进行深度修正时，螺杆灌注桩桩身强度应满足式(</w:t>
      </w:r>
      <w:r>
        <w:rPr>
          <w:rFonts w:hAnsi="黑体"/>
        </w:rPr>
        <w:t>23</w:t>
      </w:r>
      <w:r>
        <w:rPr>
          <w:rFonts w:hint="eastAsia" w:hAnsi="黑体"/>
        </w:rPr>
        <w:t>)、(</w:t>
      </w:r>
      <w:r>
        <w:rPr>
          <w:rFonts w:hAnsi="黑体"/>
        </w:rPr>
        <w:t>24</w:t>
      </w:r>
      <w:r>
        <w:rPr>
          <w:rFonts w:hint="eastAsia" w:hAnsi="黑体"/>
        </w:rPr>
        <w:t>)的要求。</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1815465" cy="354330"/>
            <wp:effectExtent l="0" t="0" r="0" b="7620"/>
            <wp:docPr id="255" name="图片 255" descr="C:\Users\ADMINI~1\AppData\Local\Temp\ksohtml9220\wps163.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5" name="图片 255" descr="C:\Users\ADMINI~1\AppData\Local\Temp\ksohtml9220\wps163.png"/>
                    <pic:cNvPicPr>
                      <a:picLocks noChangeAspect="true" noChangeArrowheads="true"/>
                    </pic:cNvPicPr>
                  </pic:nvPicPr>
                  <pic:blipFill>
                    <a:blip r:embed="rId144">
                      <a:extLst>
                        <a:ext uri="{28A0092B-C50C-407E-A947-70E740481C1C}">
                          <a14:useLocalDpi xmlns:a14="http://schemas.microsoft.com/office/drawing/2010/main" val="false"/>
                        </a:ext>
                      </a:extLst>
                    </a:blip>
                    <a:srcRect/>
                    <a:stretch>
                      <a:fillRect/>
                    </a:stretch>
                  </pic:blipFill>
                  <pic:spPr>
                    <a:xfrm>
                      <a:off x="0" y="0"/>
                      <a:ext cx="1833300" cy="358328"/>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23</w:t>
      </w:r>
      <w:r>
        <w:rPr>
          <w:rFonts w:ascii="黑体" w:hAnsi="黑体" w:eastAsia="黑体"/>
        </w:rPr>
        <w:t>)</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1866900" cy="259080"/>
            <wp:effectExtent l="0" t="0" r="0" b="7620"/>
            <wp:docPr id="81" name="图片 81" descr="C:\Users\ADMINI~1\AppData\Local\Temp\ksohtml9220\wps16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1" name="图片 81" descr="C:\Users\ADMINI~1\AppData\Local\Temp\ksohtml9220\wps164.png"/>
                    <pic:cNvPicPr>
                      <a:picLocks noChangeAspect="true" noChangeArrowheads="true"/>
                    </pic:cNvPicPr>
                  </pic:nvPicPr>
                  <pic:blipFill>
                    <a:blip r:embed="rId145">
                      <a:extLst>
                        <a:ext uri="{28A0092B-C50C-407E-A947-70E740481C1C}">
                          <a14:useLocalDpi xmlns:a14="http://schemas.microsoft.com/office/drawing/2010/main" val="false"/>
                        </a:ext>
                      </a:extLst>
                    </a:blip>
                    <a:srcRect/>
                    <a:stretch>
                      <a:fillRect/>
                    </a:stretch>
                  </pic:blipFill>
                  <pic:spPr>
                    <a:xfrm>
                      <a:off x="0" y="0"/>
                      <a:ext cx="1888331" cy="262272"/>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24</w:t>
      </w:r>
      <w:r>
        <w:rPr>
          <w:rFonts w:ascii="黑体" w:hAnsi="黑体" w:eastAsia="黑体"/>
        </w:rPr>
        <w:t>)</w:t>
      </w:r>
    </w:p>
    <w:p>
      <w:pPr>
        <w:pStyle w:val="56"/>
        <w:ind w:firstLine="199" w:firstLineChars="95"/>
        <w:rPr>
          <w:rFonts w:ascii="黑体" w:hAnsi="黑体" w:eastAsia="黑体"/>
        </w:rPr>
      </w:pPr>
      <w:r>
        <w:rPr>
          <w:rFonts w:ascii="黑体" w:hAnsi="黑体" w:eastAsia="黑体"/>
        </w:rPr>
        <w:t>c)</w:t>
      </w:r>
      <w:r>
        <w:rPr>
          <w:rFonts w:hint="eastAsia" w:ascii="黑体" w:hAnsi="黑体" w:eastAsia="黑体"/>
        </w:rPr>
        <w:t xml:space="preserve"> 作用于直杆段的轴向压力应按</w:t>
      </w:r>
      <w:r>
        <w:rPr>
          <w:rFonts w:hint="eastAsia" w:ascii="黑体" w:hAnsi="黑体" w:eastAsia="黑体"/>
          <w:lang w:eastAsia="zh-CN"/>
        </w:rPr>
        <w:t>（</w:t>
      </w:r>
      <w:r>
        <w:rPr>
          <w:rFonts w:hint="eastAsia" w:ascii="黑体" w:hAnsi="黑体" w:eastAsia="黑体"/>
          <w:lang w:val="en-US" w:eastAsia="zh-CN"/>
        </w:rPr>
        <w:t>25</w:t>
      </w:r>
      <w:r>
        <w:rPr>
          <w:rFonts w:hint="eastAsia" w:ascii="黑体" w:hAnsi="黑体" w:eastAsia="黑体"/>
          <w:lang w:eastAsia="zh-CN"/>
        </w:rPr>
        <w:t>）</w:t>
      </w:r>
      <w:r>
        <w:rPr>
          <w:rFonts w:hint="eastAsia" w:ascii="黑体" w:hAnsi="黑体" w:eastAsia="黑体"/>
        </w:rPr>
        <w:t>式计算：</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518795" cy="231775"/>
            <wp:effectExtent l="0" t="0" r="0" b="0"/>
            <wp:docPr id="85" name="图片 85" descr="C:\Users\ADMINI~1\AppData\Local\Temp\ksohtml9220\wps165.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5" name="图片 85" descr="C:\Users\ADMINI~1\AppData\Local\Temp\ksohtml9220\wps165.png"/>
                    <pic:cNvPicPr>
                      <a:picLocks noChangeAspect="true" noChangeArrowheads="true"/>
                    </pic:cNvPicPr>
                  </pic:nvPicPr>
                  <pic:blipFill>
                    <a:blip r:embed="rId146">
                      <a:extLst>
                        <a:ext uri="{28A0092B-C50C-407E-A947-70E740481C1C}">
                          <a14:useLocalDpi xmlns:a14="http://schemas.microsoft.com/office/drawing/2010/main" val="false"/>
                        </a:ext>
                      </a:extLst>
                    </a:blip>
                    <a:srcRect/>
                    <a:stretch>
                      <a:fillRect/>
                    </a:stretch>
                  </pic:blipFill>
                  <pic:spPr>
                    <a:xfrm>
                      <a:off x="0" y="0"/>
                      <a:ext cx="518795" cy="231775"/>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25</w:t>
      </w:r>
      <w:r>
        <w:rPr>
          <w:rFonts w:ascii="黑体" w:hAnsi="黑体" w:eastAsia="黑体"/>
        </w:rPr>
        <w:t>)</w:t>
      </w:r>
    </w:p>
    <w:p>
      <w:pPr>
        <w:pStyle w:val="112"/>
        <w:numPr>
          <w:ilvl w:val="0"/>
          <w:numId w:val="0"/>
        </w:numPr>
        <w:spacing w:before="156" w:after="156"/>
        <w:ind w:firstLine="210" w:firstLineChars="100"/>
        <w:jc w:val="both"/>
        <w:rPr>
          <w:rFonts w:hAnsi="黑体"/>
        </w:rPr>
      </w:pPr>
      <w:r>
        <w:rPr>
          <w:rFonts w:hAnsi="黑体"/>
        </w:rPr>
        <w:t>d)</w:t>
      </w:r>
      <w:r>
        <w:rPr>
          <w:rFonts w:hint="eastAsia" w:hAnsi="黑体"/>
        </w:rPr>
        <w:t xml:space="preserve"> 对于端承桩或长径比小于15的嵌岩桩，作用于螺纹段顶截面的轴向压力应按</w:t>
      </w:r>
      <w:r>
        <w:rPr>
          <w:rFonts w:hint="eastAsia" w:hAnsi="黑体"/>
          <w:lang w:eastAsia="zh-CN"/>
        </w:rPr>
        <w:t>（</w:t>
      </w:r>
      <w:r>
        <w:rPr>
          <w:rFonts w:hint="eastAsia" w:hAnsi="黑体"/>
          <w:lang w:val="en-US" w:eastAsia="zh-CN"/>
        </w:rPr>
        <w:t>26</w:t>
      </w:r>
      <w:r>
        <w:rPr>
          <w:rFonts w:hint="eastAsia" w:hAnsi="黑体"/>
          <w:lang w:eastAsia="zh-CN"/>
        </w:rPr>
        <w:t>）</w:t>
      </w:r>
      <w:r>
        <w:rPr>
          <w:rFonts w:hint="eastAsia" w:hAnsi="黑体"/>
        </w:rPr>
        <w:t>式计算：</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518795" cy="245745"/>
            <wp:effectExtent l="0" t="0" r="0" b="1905"/>
            <wp:docPr id="86" name="图片 86" descr="C:\Users\ADMINI~1\AppData\Local\Temp\ksohtml9220\wps166.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6" name="图片 86" descr="C:\Users\ADMINI~1\AppData\Local\Temp\ksohtml9220\wps166.png"/>
                    <pic:cNvPicPr>
                      <a:picLocks noChangeAspect="true" noChangeArrowheads="true"/>
                    </pic:cNvPicPr>
                  </pic:nvPicPr>
                  <pic:blipFill>
                    <a:blip r:embed="rId147">
                      <a:extLst>
                        <a:ext uri="{28A0092B-C50C-407E-A947-70E740481C1C}">
                          <a14:useLocalDpi xmlns:a14="http://schemas.microsoft.com/office/drawing/2010/main" val="false"/>
                        </a:ext>
                      </a:extLst>
                    </a:blip>
                    <a:srcRect/>
                    <a:stretch>
                      <a:fillRect/>
                    </a:stretch>
                  </pic:blipFill>
                  <pic:spPr>
                    <a:xfrm>
                      <a:off x="0" y="0"/>
                      <a:ext cx="518795" cy="245745"/>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26</w:t>
      </w:r>
      <w:r>
        <w:rPr>
          <w:rFonts w:ascii="黑体" w:hAnsi="黑体" w:eastAsia="黑体"/>
        </w:rPr>
        <w:t>)</w:t>
      </w:r>
    </w:p>
    <w:p>
      <w:pPr>
        <w:pStyle w:val="94"/>
        <w:numPr>
          <w:ilvl w:val="0"/>
          <w:numId w:val="0"/>
        </w:numPr>
        <w:spacing w:before="156" w:after="156"/>
        <w:ind w:firstLine="105" w:firstLineChars="50"/>
        <w:rPr>
          <w:rFonts w:hAnsi="黑体"/>
        </w:rPr>
      </w:pPr>
      <w:r>
        <w:rPr>
          <w:rFonts w:hAnsi="黑体"/>
        </w:rPr>
        <w:t>e)</w:t>
      </w:r>
      <w:r>
        <w:rPr>
          <w:rFonts w:hint="eastAsia" w:hAnsi="黑体"/>
        </w:rPr>
        <w:t xml:space="preserve">  其他情况，作用于螺纹段顶截面的轴向压力应按</w:t>
      </w:r>
      <w:r>
        <w:rPr>
          <w:rFonts w:hint="eastAsia" w:hAnsi="黑体"/>
          <w:lang w:eastAsia="zh-CN"/>
        </w:rPr>
        <w:t>（</w:t>
      </w:r>
      <w:r>
        <w:rPr>
          <w:rFonts w:hint="eastAsia" w:hAnsi="黑体"/>
          <w:lang w:val="en-US" w:eastAsia="zh-CN"/>
        </w:rPr>
        <w:t>27</w:t>
      </w:r>
      <w:r>
        <w:rPr>
          <w:rFonts w:hint="eastAsia" w:hAnsi="黑体"/>
          <w:lang w:eastAsia="zh-CN"/>
        </w:rPr>
        <w:t>）</w:t>
      </w:r>
      <w:r>
        <w:rPr>
          <w:rFonts w:hint="eastAsia" w:hAnsi="黑体"/>
        </w:rPr>
        <w:t>式计算：</w:t>
      </w:r>
    </w:p>
    <w:p>
      <w:pPr>
        <w:pStyle w:val="113"/>
        <w:rPr>
          <w:rFonts w:ascii="黑体" w:hAnsi="黑体" w:eastAsia="黑体"/>
        </w:rPr>
      </w:pPr>
      <w:r>
        <w:rPr>
          <w:rFonts w:ascii="黑体" w:hAnsi="黑体" w:eastAsia="黑体"/>
        </w:rPr>
        <w:tab/>
      </w:r>
      <w:r>
        <w:rPr>
          <w:rFonts w:ascii="黑体" w:hAnsi="黑体" w:eastAsia="黑体"/>
        </w:rPr>
        <w:drawing>
          <wp:inline distT="0" distB="0" distL="0" distR="0">
            <wp:extent cx="1023620" cy="245745"/>
            <wp:effectExtent l="0" t="0" r="5080" b="1905"/>
            <wp:docPr id="87" name="图片 87" descr="C:\Users\ADMINI~1\AppData\Local\Temp\ksohtml9220\wps167.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7" name="图片 87" descr="C:\Users\ADMINI~1\AppData\Local\Temp\ksohtml9220\wps167.png"/>
                    <pic:cNvPicPr>
                      <a:picLocks noChangeAspect="true" noChangeArrowheads="true"/>
                    </pic:cNvPicPr>
                  </pic:nvPicPr>
                  <pic:blipFill>
                    <a:blip r:embed="rId148">
                      <a:extLst>
                        <a:ext uri="{28A0092B-C50C-407E-A947-70E740481C1C}">
                          <a14:useLocalDpi xmlns:a14="http://schemas.microsoft.com/office/drawing/2010/main" val="false"/>
                        </a:ext>
                      </a:extLst>
                    </a:blip>
                    <a:srcRect/>
                    <a:stretch>
                      <a:fillRect/>
                    </a:stretch>
                  </pic:blipFill>
                  <pic:spPr>
                    <a:xfrm>
                      <a:off x="0" y="0"/>
                      <a:ext cx="1023620" cy="245745"/>
                    </a:xfrm>
                    <a:prstGeom prst="rect">
                      <a:avLst/>
                    </a:prstGeom>
                    <a:noFill/>
                    <a:ln>
                      <a:noFill/>
                    </a:ln>
                  </pic:spPr>
                </pic:pic>
              </a:graphicData>
            </a:graphic>
          </wp:inline>
        </w:drawing>
      </w:r>
      <m:oMath>
        <m:r>
          <m:rPr>
            <m:sty m:val="p"/>
          </m:rPr>
          <w:rPr>
            <w:rFonts w:ascii="Cambria Math" w:hAnsi="Cambria Math" w:eastAsia="黑体"/>
          </w:rPr>
          <m:t xml:space="preserve"> </m:t>
        </m:r>
      </m:oMath>
      <w:r>
        <w:rPr>
          <w:rFonts w:ascii="黑体" w:hAnsi="黑体" w:eastAsia="黑体"/>
        </w:rPr>
        <w:tab/>
      </w:r>
      <w:r>
        <w:rPr>
          <w:rFonts w:ascii="黑体" w:hAnsi="黑体" w:eastAsia="黑体"/>
        </w:rPr>
        <w:t>(</w:t>
      </w:r>
      <w:r>
        <w:rPr>
          <w:rFonts w:hint="eastAsia" w:ascii="黑体" w:hAnsi="黑体" w:eastAsia="黑体"/>
          <w:lang w:val="en-US" w:eastAsia="zh-CN"/>
        </w:rPr>
        <w:t>27</w:t>
      </w:r>
      <w:r>
        <w:rPr>
          <w:rFonts w:ascii="黑体" w:hAnsi="黑体" w:eastAsia="黑体"/>
        </w:rPr>
        <w:t>)</w:t>
      </w:r>
    </w:p>
    <w:p>
      <w:pPr>
        <w:pStyle w:val="234"/>
        <w:adjustRightInd w:val="0"/>
        <w:snapToGrid w:val="0"/>
        <w:ind w:left="1239" w:hanging="1239" w:hangingChars="590"/>
        <w:rPr>
          <w:rFonts w:ascii="黑体" w:hAnsi="黑体" w:eastAsia="黑体"/>
        </w:rPr>
      </w:pPr>
      <w:r>
        <w:rPr>
          <w:rFonts w:hint="eastAsia" w:ascii="黑体" w:hAnsi="黑体" w:eastAsia="黑体"/>
        </w:rPr>
        <w:t>式中：</w:t>
      </w:r>
      <w:r>
        <w:rPr>
          <w:rFonts w:hint="eastAsia" w:ascii="黑体" w:hAnsi="黑体" w:eastAsia="黑体"/>
          <w:i/>
          <w:iCs/>
        </w:rPr>
        <w:t>f</w:t>
      </w:r>
      <w:r>
        <w:rPr>
          <w:rFonts w:hint="eastAsia" w:ascii="黑体" w:hAnsi="黑体" w:eastAsia="黑体"/>
          <w:vertAlign w:val="subscript"/>
        </w:rPr>
        <w:t>cu</w:t>
      </w:r>
      <w:r>
        <w:rPr>
          <w:rFonts w:hint="eastAsia" w:ascii="黑体" w:hAnsi="黑体" w:eastAsia="黑体"/>
        </w:rPr>
        <w:t>——桩体试块（边长150mm立方体）标准养护28d的立方体抗压强度平均值（kPa）；</w:t>
      </w:r>
    </w:p>
    <w:p>
      <w:pPr>
        <w:pStyle w:val="233"/>
        <w:ind w:left="4441" w:leftChars="238" w:hanging="3941" w:hangingChars="1877"/>
        <w:rPr>
          <w:rFonts w:ascii="黑体" w:hAnsi="黑体" w:eastAsia="黑体"/>
        </w:rPr>
      </w:pPr>
      <w:r>
        <w:rPr>
          <w:rFonts w:hint="eastAsia" w:ascii="黑体" w:hAnsi="黑体" w:eastAsia="黑体"/>
        </w:rPr>
        <w:t xml:space="preserve"> </w:t>
      </w:r>
      <w:r>
        <w:rPr>
          <w:rFonts w:ascii="黑体" w:hAnsi="黑体" w:eastAsia="黑体"/>
        </w:rPr>
        <w:drawing>
          <wp:inline distT="0" distB="0" distL="0" distR="0">
            <wp:extent cx="191135" cy="231775"/>
            <wp:effectExtent l="0" t="0" r="0" b="0"/>
            <wp:docPr id="211" name="图片 211" descr="C:\Users\ADMINI~1\AppData\Local\Temp\ksohtml9220\wps168.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1" name="图片 211" descr="C:\Users\ADMINI~1\AppData\Local\Temp\ksohtml9220\wps168.png"/>
                    <pic:cNvPicPr>
                      <a:picLocks noChangeAspect="true" noChangeArrowheads="true"/>
                    </pic:cNvPicPr>
                  </pic:nvPicPr>
                  <pic:blipFill>
                    <a:blip r:embed="rId149">
                      <a:extLst>
                        <a:ext uri="{28A0092B-C50C-407E-A947-70E740481C1C}">
                          <a14:useLocalDpi xmlns:a14="http://schemas.microsoft.com/office/drawing/2010/main" val="false"/>
                        </a:ext>
                      </a:extLst>
                    </a:blip>
                    <a:srcRect/>
                    <a:stretch>
                      <a:fillRect/>
                    </a:stretch>
                  </pic:blipFill>
                  <pic:spPr>
                    <a:xfrm>
                      <a:off x="0" y="0"/>
                      <a:ext cx="191135" cy="231775"/>
                    </a:xfrm>
                    <a:prstGeom prst="rect">
                      <a:avLst/>
                    </a:prstGeom>
                    <a:noFill/>
                    <a:ln>
                      <a:noFill/>
                    </a:ln>
                  </pic:spPr>
                </pic:pic>
              </a:graphicData>
            </a:graphic>
          </wp:inline>
        </w:drawing>
      </w:r>
      <w:r>
        <w:rPr>
          <w:rFonts w:hint="eastAsia" w:ascii="黑体" w:hAnsi="黑体" w:eastAsia="黑体"/>
        </w:rPr>
        <w:t>——作用于直杆段的轴向压力计算值（kN）；</w:t>
      </w:r>
    </w:p>
    <w:p>
      <w:pPr>
        <w:pStyle w:val="233"/>
        <w:ind w:left="4441" w:leftChars="238" w:hanging="3941" w:hangingChars="1877"/>
        <w:rPr>
          <w:rFonts w:ascii="黑体" w:hAnsi="黑体" w:eastAsia="黑体"/>
          <w:vertAlign w:val="subscript"/>
        </w:rPr>
      </w:pPr>
      <w:r>
        <w:rPr>
          <w:rFonts w:hint="eastAsia" w:ascii="黑体" w:hAnsi="黑体" w:eastAsia="黑体"/>
        </w:rPr>
        <w:t xml:space="preserve"> </w:t>
      </w:r>
      <w:r>
        <w:rPr>
          <w:rFonts w:ascii="黑体" w:hAnsi="黑体" w:eastAsia="黑体"/>
        </w:rPr>
        <w:drawing>
          <wp:inline distT="0" distB="0" distL="0" distR="0">
            <wp:extent cx="191135" cy="231775"/>
            <wp:effectExtent l="0" t="0" r="0" b="0"/>
            <wp:docPr id="210" name="图片 210" descr="C:\Users\ADMINI~1\AppData\Local\Temp\ksohtml9220\wps169.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0" name="图片 210" descr="C:\Users\ADMINI~1\AppData\Local\Temp\ksohtml9220\wps169.png"/>
                    <pic:cNvPicPr>
                      <a:picLocks noChangeAspect="true" noChangeArrowheads="true"/>
                    </pic:cNvPicPr>
                  </pic:nvPicPr>
                  <pic:blipFill>
                    <a:blip r:embed="rId150">
                      <a:extLst>
                        <a:ext uri="{28A0092B-C50C-407E-A947-70E740481C1C}">
                          <a14:useLocalDpi xmlns:a14="http://schemas.microsoft.com/office/drawing/2010/main" val="false"/>
                        </a:ext>
                      </a:extLst>
                    </a:blip>
                    <a:srcRect/>
                    <a:stretch>
                      <a:fillRect/>
                    </a:stretch>
                  </pic:blipFill>
                  <pic:spPr>
                    <a:xfrm>
                      <a:off x="0" y="0"/>
                      <a:ext cx="191135" cy="231775"/>
                    </a:xfrm>
                    <a:prstGeom prst="rect">
                      <a:avLst/>
                    </a:prstGeom>
                    <a:noFill/>
                    <a:ln>
                      <a:noFill/>
                    </a:ln>
                  </pic:spPr>
                </pic:pic>
              </a:graphicData>
            </a:graphic>
          </wp:inline>
        </w:drawing>
      </w:r>
      <w:r>
        <w:rPr>
          <w:rFonts w:hint="eastAsia" w:ascii="黑体" w:hAnsi="黑体" w:eastAsia="黑体"/>
        </w:rPr>
        <w:t>——作用于螺纹段顶截面的轴向压力计算值（kN）；</w:t>
      </w:r>
    </w:p>
    <w:p>
      <w:pPr>
        <w:pStyle w:val="234"/>
        <w:adjustRightInd w:val="0"/>
        <w:snapToGrid w:val="0"/>
        <w:ind w:left="1562" w:leftChars="244" w:hanging="1050" w:hangingChars="500"/>
        <w:outlineLvl w:val="1"/>
        <w:rPr>
          <w:rFonts w:ascii="黑体" w:hAnsi="黑体" w:eastAsia="黑体"/>
        </w:rPr>
      </w:pPr>
      <w:r>
        <w:rPr>
          <w:rFonts w:hint="eastAsia" w:ascii="黑体" w:hAnsi="黑体" w:eastAsia="黑体"/>
          <w:vertAlign w:val="subscript"/>
        </w:rPr>
        <w:t xml:space="preserve"> </w:t>
      </w:r>
      <w:bookmarkStart w:id="189" w:name="_Toc28651"/>
      <w:bookmarkEnd w:id="189"/>
      <w:r>
        <w:rPr>
          <w:rFonts w:hint="eastAsia" w:ascii="黑体" w:hAnsi="黑体" w:eastAsia="黑体"/>
          <w:i/>
          <w:iCs/>
        </w:rPr>
        <w:t>γ</w:t>
      </w:r>
      <w:r>
        <w:rPr>
          <w:rFonts w:hint="eastAsia" w:ascii="黑体" w:hAnsi="黑体" w:eastAsia="黑体"/>
          <w:vertAlign w:val="subscript"/>
        </w:rPr>
        <w:t>m</w:t>
      </w:r>
      <w:r>
        <w:rPr>
          <w:rFonts w:hint="eastAsia" w:ascii="黑体" w:hAnsi="黑体" w:eastAsia="黑体"/>
        </w:rPr>
        <w:t>——基础底面以上土的加权平均重度(kN/m</w:t>
      </w:r>
      <w:r>
        <w:rPr>
          <w:rFonts w:hint="eastAsia" w:ascii="黑体" w:hAnsi="黑体" w:eastAsia="黑体"/>
          <w:vertAlign w:val="superscript"/>
        </w:rPr>
        <w:t>3</w:t>
      </w:r>
      <w:r>
        <w:rPr>
          <w:rFonts w:hint="eastAsia" w:ascii="黑体" w:hAnsi="黑体" w:eastAsia="黑体"/>
        </w:rPr>
        <w:t>)，地下水位以下取有效重度；</w:t>
      </w:r>
    </w:p>
    <w:p>
      <w:pPr>
        <w:pStyle w:val="234"/>
        <w:adjustRightInd w:val="0"/>
        <w:snapToGrid w:val="0"/>
        <w:ind w:left="1291" w:leftChars="315" w:hanging="630" w:hangingChars="300"/>
        <w:rPr>
          <w:rFonts w:ascii="黑体" w:hAnsi="黑体" w:eastAsia="黑体"/>
        </w:rPr>
      </w:pPr>
      <w:r>
        <w:rPr>
          <w:rFonts w:hint="eastAsia" w:ascii="黑体" w:hAnsi="黑体" w:eastAsia="黑体"/>
          <w:i/>
          <w:iCs/>
        </w:rPr>
        <w:t xml:space="preserve">d </w:t>
      </w:r>
      <w:r>
        <w:rPr>
          <w:rFonts w:hint="eastAsia" w:ascii="黑体" w:hAnsi="黑体" w:eastAsia="黑体"/>
        </w:rPr>
        <w:t>——基础埋置深度（m）；</w:t>
      </w:r>
    </w:p>
    <w:p>
      <w:pPr>
        <w:ind w:firstLine="630" w:firstLineChars="300"/>
        <w:rPr>
          <w:rFonts w:ascii="黑体" w:hAnsi="黑体" w:eastAsia="黑体"/>
        </w:rPr>
      </w:pPr>
      <w:r>
        <w:rPr>
          <w:rFonts w:hint="eastAsia" w:ascii="黑体" w:hAnsi="黑体" w:eastAsia="黑体"/>
          <w:i/>
          <w:iCs/>
        </w:rPr>
        <w:t>f</w:t>
      </w:r>
      <w:r>
        <w:rPr>
          <w:rFonts w:hint="eastAsia" w:ascii="黑体" w:hAnsi="黑体" w:eastAsia="黑体"/>
          <w:vertAlign w:val="subscript"/>
        </w:rPr>
        <w:t>spa</w:t>
      </w:r>
      <w:r>
        <w:rPr>
          <w:rFonts w:hint="eastAsia" w:ascii="黑体" w:hAnsi="黑体" w:eastAsia="黑体"/>
        </w:rPr>
        <w:t>——深度修正后的复合地基承载力特征值（kPa）。</w:t>
      </w:r>
    </w:p>
    <w:p>
      <w:pPr>
        <w:pStyle w:val="105"/>
        <w:spacing w:before="156" w:after="156"/>
      </w:pPr>
      <w:bookmarkStart w:id="190" w:name="_Toc27030"/>
      <w:r>
        <w:rPr>
          <w:rFonts w:hint="eastAsia"/>
        </w:rPr>
        <w:t>螺杆灌注桩复合地基变形计算应按现行GB 50007的有关规定执行。</w:t>
      </w:r>
      <w:bookmarkEnd w:id="190"/>
    </w:p>
    <w:p>
      <w:pPr>
        <w:pStyle w:val="104"/>
        <w:spacing w:before="312" w:after="312"/>
      </w:pPr>
      <w:bookmarkStart w:id="191" w:name="_Toc9267"/>
      <w:r>
        <w:rPr>
          <w:rFonts w:hint="eastAsia"/>
        </w:rPr>
        <w:t>螺杆</w:t>
      </w:r>
      <w:r>
        <w:t>灌注桩</w:t>
      </w:r>
      <w:r>
        <w:rPr>
          <w:rFonts w:hint="eastAsia"/>
        </w:rPr>
        <w:t>施工</w:t>
      </w:r>
      <w:bookmarkEnd w:id="191"/>
    </w:p>
    <w:p>
      <w:pPr>
        <w:pStyle w:val="105"/>
        <w:spacing w:before="156" w:after="156"/>
      </w:pPr>
      <w:bookmarkStart w:id="192" w:name="_Toc16352"/>
      <w:r>
        <w:rPr>
          <w:rFonts w:hint="eastAsia"/>
        </w:rPr>
        <w:t>基本规定</w:t>
      </w:r>
      <w:bookmarkEnd w:id="192"/>
    </w:p>
    <w:p>
      <w:pPr>
        <w:pStyle w:val="65"/>
        <w:spacing w:before="156" w:after="156"/>
      </w:pPr>
      <w:r>
        <w:rPr>
          <w:rFonts w:hint="eastAsia"/>
        </w:rPr>
        <w:t>螺杆灌注桩的施工质量管理应符合现行国家施工技术标准规范的要求，且应建立健全质量保证体系、施工质量控制和检验制度。</w:t>
      </w:r>
    </w:p>
    <w:p>
      <w:pPr>
        <w:pStyle w:val="65"/>
        <w:spacing w:before="156" w:after="156"/>
      </w:pPr>
      <w:r>
        <w:rPr>
          <w:rFonts w:hint="eastAsia"/>
        </w:rPr>
        <w:t>螺杆灌注桩施工应采用螺杆桩机，螺杆桩机应满足下列要求：</w:t>
      </w:r>
    </w:p>
    <w:p>
      <w:pPr>
        <w:autoSpaceDE w:val="0"/>
        <w:ind w:firstLine="420" w:firstLineChars="200"/>
        <w:rPr>
          <w:rFonts w:ascii="黑体" w:hAnsi="黑体" w:eastAsia="黑体"/>
        </w:rPr>
      </w:pPr>
      <w:r>
        <w:rPr>
          <w:rFonts w:ascii="黑体" w:hAnsi="黑体" w:eastAsia="黑体"/>
        </w:rPr>
        <w:t>a)</w:t>
      </w:r>
      <w:r>
        <w:rPr>
          <w:rFonts w:hint="eastAsia" w:ascii="黑体" w:hAnsi="黑体" w:eastAsia="黑体"/>
        </w:rPr>
        <w:t xml:space="preserve">  配备直流动力装置和加压装置；</w:t>
      </w:r>
    </w:p>
    <w:p>
      <w:pPr>
        <w:autoSpaceDE w:val="0"/>
        <w:ind w:firstLine="420" w:firstLineChars="200"/>
        <w:rPr>
          <w:rFonts w:ascii="黑体" w:hAnsi="黑体" w:eastAsia="黑体"/>
        </w:rPr>
      </w:pPr>
      <w:r>
        <w:rPr>
          <w:rFonts w:ascii="黑体" w:hAnsi="黑体" w:eastAsia="黑体"/>
        </w:rPr>
        <w:t>b)</w:t>
      </w:r>
      <w:r>
        <w:rPr>
          <w:rFonts w:hint="eastAsia" w:ascii="黑体" w:hAnsi="黑体" w:eastAsia="黑体"/>
        </w:rPr>
        <w:t xml:space="preserve"> 具有能实现同步控制技术的自动控制系统；</w:t>
      </w:r>
    </w:p>
    <w:p>
      <w:pPr>
        <w:autoSpaceDE w:val="0"/>
        <w:ind w:firstLine="420" w:firstLineChars="200"/>
        <w:rPr>
          <w:rFonts w:ascii="黑体" w:hAnsi="黑体" w:eastAsia="黑体"/>
        </w:rPr>
      </w:pPr>
      <w:r>
        <w:rPr>
          <w:rFonts w:ascii="黑体" w:hAnsi="黑体" w:eastAsia="黑体"/>
        </w:rPr>
        <w:t>c)</w:t>
      </w:r>
      <w:r>
        <w:rPr>
          <w:rFonts w:hint="eastAsia" w:ascii="黑体" w:hAnsi="黑体" w:eastAsia="黑体"/>
        </w:rPr>
        <w:t xml:space="preserve">  采用组合式齿状螺纹钻具；</w:t>
      </w:r>
    </w:p>
    <w:p>
      <w:pPr>
        <w:autoSpaceDE w:val="0"/>
        <w:ind w:firstLine="420" w:firstLineChars="200"/>
        <w:rPr>
          <w:rFonts w:ascii="黑体" w:hAnsi="黑体" w:eastAsia="黑体"/>
        </w:rPr>
      </w:pPr>
      <w:r>
        <w:rPr>
          <w:rFonts w:ascii="黑体" w:hAnsi="黑体" w:eastAsia="黑体"/>
        </w:rPr>
        <w:t>d)</w:t>
      </w:r>
      <w:r>
        <w:rPr>
          <w:rFonts w:hint="eastAsia" w:ascii="黑体" w:hAnsi="黑体" w:eastAsia="黑体"/>
        </w:rPr>
        <w:t xml:space="preserve">  动力装置额定直流输出扭矩不小于250kN·m。</w:t>
      </w:r>
    </w:p>
    <w:p>
      <w:pPr>
        <w:pStyle w:val="65"/>
        <w:spacing w:before="156" w:after="156"/>
      </w:pPr>
      <w:r>
        <w:rPr>
          <w:rFonts w:hint="eastAsia"/>
        </w:rPr>
        <w:t>施工前应结合静载验进行成桩工艺试验，确定钻进速度、钻杆提升速度、泵送速度、加压力、混凝土充盈系数等工艺参数。试桩数量不宜少于3根。</w:t>
      </w:r>
    </w:p>
    <w:p>
      <w:pPr>
        <w:pStyle w:val="65"/>
        <w:spacing w:before="156" w:after="156"/>
      </w:pPr>
      <w:r>
        <w:rPr>
          <w:rFonts w:hint="eastAsia"/>
        </w:rPr>
        <w:t>螺杆灌注桩施工桩顶标高宜高出设计桩顶标高0.5m～1.0m。</w:t>
      </w:r>
    </w:p>
    <w:p>
      <w:pPr>
        <w:pStyle w:val="65"/>
        <w:spacing w:before="156" w:after="156"/>
      </w:pPr>
      <w:r>
        <w:rPr>
          <w:rFonts w:hint="eastAsia"/>
        </w:rPr>
        <w:t>螺杆灌注桩的混凝土充盈系数应符合设计要求且不应小于1.0。</w:t>
      </w:r>
    </w:p>
    <w:p>
      <w:pPr>
        <w:pStyle w:val="65"/>
        <w:spacing w:before="156" w:after="156"/>
      </w:pPr>
      <w:r>
        <w:rPr>
          <w:rFonts w:hint="eastAsia"/>
        </w:rPr>
        <w:t>螺杆灌注桩施工的允许偏差应满足表1</w:t>
      </w:r>
      <w:r>
        <w:t>0</w:t>
      </w:r>
      <w:r>
        <w:rPr>
          <w:rFonts w:hint="eastAsia"/>
        </w:rPr>
        <w:t>、表</w:t>
      </w:r>
      <w:r>
        <w:t>11</w:t>
      </w:r>
      <w:r>
        <w:rPr>
          <w:rFonts w:hint="eastAsia"/>
        </w:rPr>
        <w:t>的规定。</w:t>
      </w:r>
    </w:p>
    <w:p>
      <w:pPr>
        <w:pStyle w:val="112"/>
        <w:spacing w:before="156" w:after="156"/>
        <w:rPr>
          <w:bCs/>
        </w:rPr>
      </w:pPr>
      <w:r>
        <w:rPr>
          <w:rFonts w:hint="eastAsia"/>
          <w:bCs/>
        </w:rPr>
        <w:t>螺杆灌注桩桩基础施工允许偏差</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334"/>
        <w:gridCol w:w="2333"/>
        <w:gridCol w:w="2333"/>
        <w:gridCol w:w="23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334" w:type="dxa"/>
            <w:vMerge w:val="restart"/>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桩径允许偏差（mm）</w:t>
            </w:r>
          </w:p>
        </w:tc>
        <w:tc>
          <w:tcPr>
            <w:tcW w:w="2333" w:type="dxa"/>
            <w:vMerge w:val="restart"/>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垂直度允许偏差（%）</w:t>
            </w:r>
          </w:p>
        </w:tc>
        <w:tc>
          <w:tcPr>
            <w:tcW w:w="4667" w:type="dxa"/>
            <w:gridSpan w:val="2"/>
            <w:tcBorders>
              <w:top w:val="single" w:color="auto" w:sz="8" w:space="0"/>
              <w:bottom w:val="single" w:color="auto" w:sz="8" w:space="0"/>
            </w:tcBorders>
            <w:shd w:val="clear" w:color="auto" w:fill="auto"/>
            <w:vAlign w:val="center"/>
          </w:tcPr>
          <w:p>
            <w:pPr>
              <w:pStyle w:val="178"/>
              <w:rPr>
                <w:rFonts w:ascii="黑体" w:hAnsi="黑体" w:eastAsia="黑体"/>
                <w:sz w:val="21"/>
                <w:szCs w:val="21"/>
              </w:rPr>
            </w:pPr>
            <w:r>
              <w:rPr>
                <w:rFonts w:hint="eastAsia" w:ascii="黑体" w:hAnsi="黑体" w:eastAsia="黑体"/>
                <w:sz w:val="21"/>
                <w:szCs w:val="21"/>
              </w:rPr>
              <w:t>桩位允许偏差（mm）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pPr>
              <w:pStyle w:val="178"/>
            </w:pPr>
          </w:p>
        </w:tc>
        <w:tc>
          <w:tcPr>
            <w:tcW w:w="2333" w:type="dxa"/>
            <w:vMerge w:val="continue"/>
            <w:shd w:val="clear" w:color="auto" w:fill="auto"/>
            <w:vAlign w:val="center"/>
          </w:tcPr>
          <w:p>
            <w:pPr>
              <w:pStyle w:val="178"/>
            </w:pPr>
          </w:p>
        </w:tc>
        <w:tc>
          <w:tcPr>
            <w:tcW w:w="2333" w:type="dxa"/>
            <w:tcBorders>
              <w:top w:val="single" w:color="auto" w:sz="8" w:space="0"/>
            </w:tcBorders>
            <w:shd w:val="clear" w:color="auto" w:fill="auto"/>
            <w:vAlign w:val="center"/>
          </w:tcPr>
          <w:p>
            <w:pPr>
              <w:spacing w:line="300" w:lineRule="exact"/>
              <w:jc w:val="center"/>
              <w:rPr>
                <w:rFonts w:ascii="黑体" w:hAnsi="黑体" w:eastAsia="黑体"/>
              </w:rPr>
            </w:pPr>
            <w:r>
              <w:rPr>
                <w:rFonts w:hint="eastAsia" w:ascii="黑体" w:hAnsi="黑体" w:eastAsia="黑体"/>
              </w:rPr>
              <w:t>1～3根桩、条形桩基沿垂直轴线方向和群桩基础中的边桩</w:t>
            </w:r>
          </w:p>
        </w:tc>
        <w:tc>
          <w:tcPr>
            <w:tcW w:w="2334" w:type="dxa"/>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条形桩基沿轴线方向和群桩基础的中间桩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shd w:val="clear" w:color="auto" w:fill="auto"/>
            <w:vAlign w:val="center"/>
          </w:tcPr>
          <w:p>
            <w:pPr>
              <w:jc w:val="center"/>
              <w:rPr>
                <w:rFonts w:ascii="黑体" w:hAnsi="黑体" w:eastAsia="黑体"/>
              </w:rPr>
            </w:pPr>
            <w:r>
              <w:rPr>
                <w:rFonts w:hint="eastAsia" w:ascii="黑体" w:hAnsi="黑体" w:eastAsia="黑体"/>
              </w:rPr>
              <w:t>不小于设计值</w:t>
            </w:r>
          </w:p>
        </w:tc>
        <w:tc>
          <w:tcPr>
            <w:tcW w:w="2333" w:type="dxa"/>
            <w:shd w:val="clear" w:color="auto" w:fill="auto"/>
            <w:vAlign w:val="center"/>
          </w:tcPr>
          <w:p>
            <w:pPr>
              <w:jc w:val="center"/>
              <w:rPr>
                <w:rFonts w:ascii="黑体" w:hAnsi="黑体" w:eastAsia="黑体"/>
              </w:rPr>
            </w:pPr>
            <w:r>
              <w:rPr>
                <w:rFonts w:hint="eastAsia" w:ascii="黑体" w:hAnsi="黑体" w:eastAsia="黑体"/>
              </w:rPr>
              <w:t>1</w:t>
            </w:r>
          </w:p>
        </w:tc>
        <w:tc>
          <w:tcPr>
            <w:tcW w:w="2333" w:type="dxa"/>
            <w:shd w:val="clear" w:color="auto" w:fill="auto"/>
            <w:vAlign w:val="center"/>
          </w:tcPr>
          <w:p>
            <w:pPr>
              <w:jc w:val="center"/>
              <w:rPr>
                <w:rFonts w:ascii="黑体" w:hAnsi="黑体" w:eastAsia="黑体"/>
              </w:rPr>
            </w:pPr>
            <w:r>
              <w:rPr>
                <w:rFonts w:hint="eastAsia" w:ascii="黑体" w:hAnsi="黑体" w:eastAsia="黑体"/>
              </w:rPr>
              <w:t>d</w:t>
            </w:r>
            <w:r>
              <w:rPr>
                <w:rFonts w:hint="eastAsia" w:ascii="黑体" w:hAnsi="黑体" w:eastAsia="黑体"/>
                <w:vertAlign w:val="subscript"/>
              </w:rPr>
              <w:t>1</w:t>
            </w:r>
            <w:r>
              <w:rPr>
                <w:rFonts w:hint="eastAsia" w:ascii="黑体" w:hAnsi="黑体" w:eastAsia="黑体"/>
              </w:rPr>
              <w:t>/6且不大于100</w:t>
            </w:r>
          </w:p>
        </w:tc>
        <w:tc>
          <w:tcPr>
            <w:tcW w:w="2334" w:type="dxa"/>
            <w:shd w:val="clear" w:color="auto" w:fill="auto"/>
            <w:vAlign w:val="center"/>
          </w:tcPr>
          <w:p>
            <w:pPr>
              <w:jc w:val="center"/>
              <w:rPr>
                <w:rFonts w:ascii="黑体" w:hAnsi="黑体" w:eastAsia="黑体"/>
              </w:rPr>
            </w:pPr>
            <w:r>
              <w:rPr>
                <w:rFonts w:hint="eastAsia" w:ascii="黑体" w:hAnsi="黑体" w:eastAsia="黑体"/>
              </w:rPr>
              <w:t>d</w:t>
            </w:r>
            <w:r>
              <w:rPr>
                <w:rFonts w:hint="eastAsia" w:ascii="黑体" w:hAnsi="黑体" w:eastAsia="黑体"/>
                <w:vertAlign w:val="subscript"/>
              </w:rPr>
              <w:t>1</w:t>
            </w:r>
            <w:r>
              <w:rPr>
                <w:rFonts w:hint="eastAsia" w:ascii="黑体" w:hAnsi="黑体" w:eastAsia="黑体"/>
              </w:rPr>
              <w:t>/6且不大于150</w:t>
            </w:r>
          </w:p>
        </w:tc>
      </w:tr>
    </w:tbl>
    <w:p>
      <w:pPr>
        <w:pStyle w:val="56"/>
        <w:ind w:firstLine="0" w:firstLineChars="0"/>
      </w:pPr>
    </w:p>
    <w:p>
      <w:pPr>
        <w:pStyle w:val="112"/>
        <w:spacing w:before="156" w:after="156"/>
        <w:rPr>
          <w:bCs/>
        </w:rPr>
      </w:pPr>
      <w:r>
        <w:rPr>
          <w:rFonts w:hint="eastAsia"/>
          <w:bCs/>
        </w:rPr>
        <w:t>螺杆灌注桩复合地基施工允许偏差</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334"/>
        <w:gridCol w:w="2333"/>
        <w:gridCol w:w="2333"/>
        <w:gridCol w:w="23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334" w:type="dxa"/>
            <w:vMerge w:val="restart"/>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桩径允许偏差（mm）</w:t>
            </w:r>
          </w:p>
        </w:tc>
        <w:tc>
          <w:tcPr>
            <w:tcW w:w="2333" w:type="dxa"/>
            <w:vMerge w:val="restart"/>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垂直度允许偏差（%）</w:t>
            </w:r>
          </w:p>
        </w:tc>
        <w:tc>
          <w:tcPr>
            <w:tcW w:w="4667" w:type="dxa"/>
            <w:gridSpan w:val="2"/>
            <w:tcBorders>
              <w:top w:val="single" w:color="auto" w:sz="8" w:space="0"/>
              <w:bottom w:val="single" w:color="auto" w:sz="8" w:space="0"/>
            </w:tcBorders>
            <w:shd w:val="clear" w:color="auto" w:fill="auto"/>
            <w:vAlign w:val="center"/>
          </w:tcPr>
          <w:p>
            <w:pPr>
              <w:pStyle w:val="178"/>
              <w:rPr>
                <w:rFonts w:ascii="黑体" w:hAnsi="黑体" w:eastAsia="黑体"/>
                <w:sz w:val="21"/>
                <w:szCs w:val="21"/>
              </w:rPr>
            </w:pPr>
            <w:r>
              <w:rPr>
                <w:rFonts w:hint="eastAsia" w:ascii="黑体" w:hAnsi="黑体" w:eastAsia="黑体"/>
                <w:sz w:val="21"/>
                <w:szCs w:val="21"/>
              </w:rPr>
              <w:t>桩位允许偏差（mm）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pPr>
              <w:pStyle w:val="178"/>
              <w:rPr>
                <w:rFonts w:ascii="黑体" w:hAnsi="黑体" w:eastAsia="黑体"/>
                <w:sz w:val="21"/>
                <w:szCs w:val="21"/>
              </w:rPr>
            </w:pPr>
          </w:p>
        </w:tc>
        <w:tc>
          <w:tcPr>
            <w:tcW w:w="2333" w:type="dxa"/>
            <w:vMerge w:val="continue"/>
            <w:shd w:val="clear" w:color="auto" w:fill="auto"/>
            <w:vAlign w:val="center"/>
          </w:tcPr>
          <w:p>
            <w:pPr>
              <w:pStyle w:val="178"/>
              <w:rPr>
                <w:rFonts w:ascii="黑体" w:hAnsi="黑体" w:eastAsia="黑体"/>
                <w:sz w:val="21"/>
                <w:szCs w:val="21"/>
              </w:rPr>
            </w:pPr>
          </w:p>
        </w:tc>
        <w:tc>
          <w:tcPr>
            <w:tcW w:w="2333" w:type="dxa"/>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条基布桩</w:t>
            </w:r>
          </w:p>
        </w:tc>
        <w:tc>
          <w:tcPr>
            <w:tcW w:w="2334" w:type="dxa"/>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满堂布桩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shd w:val="clear" w:color="auto" w:fill="auto"/>
            <w:vAlign w:val="center"/>
          </w:tcPr>
          <w:p>
            <w:pPr>
              <w:jc w:val="center"/>
              <w:rPr>
                <w:rFonts w:ascii="黑体" w:hAnsi="黑体" w:eastAsia="黑体"/>
              </w:rPr>
            </w:pPr>
            <w:r>
              <w:rPr>
                <w:rFonts w:hint="eastAsia" w:ascii="黑体" w:hAnsi="黑体" w:eastAsia="黑体"/>
              </w:rPr>
              <w:t>0，+50</w:t>
            </w:r>
          </w:p>
        </w:tc>
        <w:tc>
          <w:tcPr>
            <w:tcW w:w="2333" w:type="dxa"/>
            <w:shd w:val="clear" w:color="auto" w:fill="auto"/>
            <w:vAlign w:val="center"/>
          </w:tcPr>
          <w:p>
            <w:pPr>
              <w:jc w:val="center"/>
              <w:rPr>
                <w:rFonts w:ascii="黑体" w:hAnsi="黑体" w:eastAsia="黑体"/>
              </w:rPr>
            </w:pPr>
            <w:r>
              <w:rPr>
                <w:rFonts w:hint="eastAsia" w:ascii="黑体" w:hAnsi="黑体" w:eastAsia="黑体"/>
              </w:rPr>
              <w:t>1</w:t>
            </w:r>
          </w:p>
        </w:tc>
        <w:tc>
          <w:tcPr>
            <w:tcW w:w="2333" w:type="dxa"/>
            <w:shd w:val="clear" w:color="auto" w:fill="auto"/>
            <w:vAlign w:val="center"/>
          </w:tcPr>
          <w:p>
            <w:pPr>
              <w:jc w:val="center"/>
              <w:rPr>
                <w:rFonts w:ascii="黑体" w:hAnsi="黑体" w:eastAsia="黑体"/>
              </w:rPr>
            </w:pPr>
            <w:r>
              <w:rPr>
                <w:rFonts w:hint="eastAsia" w:ascii="黑体" w:hAnsi="黑体" w:eastAsia="黑体"/>
              </w:rPr>
              <w:t>≤0.4d</w:t>
            </w:r>
            <w:r>
              <w:rPr>
                <w:rFonts w:hint="eastAsia" w:ascii="黑体" w:hAnsi="黑体" w:eastAsia="黑体"/>
                <w:vertAlign w:val="subscript"/>
              </w:rPr>
              <w:t>1</w:t>
            </w:r>
          </w:p>
        </w:tc>
        <w:tc>
          <w:tcPr>
            <w:tcW w:w="2334" w:type="dxa"/>
            <w:shd w:val="clear" w:color="auto" w:fill="auto"/>
            <w:vAlign w:val="center"/>
          </w:tcPr>
          <w:p>
            <w:pPr>
              <w:jc w:val="center"/>
              <w:rPr>
                <w:rFonts w:ascii="黑体" w:hAnsi="黑体" w:eastAsia="黑体"/>
              </w:rPr>
            </w:pPr>
            <w:r>
              <w:rPr>
                <w:rFonts w:hint="eastAsia" w:ascii="黑体" w:hAnsi="黑体" w:eastAsia="黑体"/>
              </w:rPr>
              <w:t>≤0.25d</w:t>
            </w:r>
            <w:r>
              <w:rPr>
                <w:rFonts w:hint="eastAsia" w:ascii="黑体" w:hAnsi="黑体" w:eastAsia="黑体"/>
                <w:vertAlign w:val="subscript"/>
              </w:rPr>
              <w:t>1</w:t>
            </w:r>
          </w:p>
        </w:tc>
      </w:tr>
    </w:tbl>
    <w:p>
      <w:pPr>
        <w:pStyle w:val="56"/>
        <w:ind w:firstLine="0" w:firstLineChars="0"/>
      </w:pPr>
    </w:p>
    <w:p>
      <w:pPr>
        <w:pStyle w:val="105"/>
        <w:spacing w:before="156" w:after="156"/>
      </w:pPr>
      <w:bookmarkStart w:id="193" w:name="_Toc29499"/>
      <w:r>
        <w:rPr>
          <w:rFonts w:hint="eastAsia"/>
        </w:rPr>
        <w:t>施工</w:t>
      </w:r>
      <w:r>
        <w:t>准备</w:t>
      </w:r>
      <w:bookmarkEnd w:id="193"/>
    </w:p>
    <w:p>
      <w:pPr>
        <w:pStyle w:val="65"/>
        <w:spacing w:before="156" w:after="156"/>
      </w:pPr>
      <w:r>
        <w:rPr>
          <w:rFonts w:hint="eastAsia"/>
        </w:rPr>
        <w:t>螺杆灌注桩施工前应具备下列资料：</w:t>
      </w:r>
    </w:p>
    <w:p>
      <w:pPr>
        <w:autoSpaceDE w:val="0"/>
        <w:ind w:firstLine="210" w:firstLineChars="100"/>
        <w:rPr>
          <w:rFonts w:ascii="黑体" w:hAnsi="黑体" w:eastAsia="黑体"/>
        </w:rPr>
      </w:pPr>
      <w:r>
        <w:rPr>
          <w:rFonts w:ascii="黑体" w:hAnsi="黑体" w:eastAsia="黑体"/>
        </w:rPr>
        <w:t>a)</w:t>
      </w:r>
      <w:r>
        <w:rPr>
          <w:rFonts w:hint="eastAsia" w:ascii="黑体" w:hAnsi="黑体" w:eastAsia="黑体"/>
        </w:rPr>
        <w:t xml:space="preserve">  施工场地岩土工程详细勘察报告；</w:t>
      </w:r>
    </w:p>
    <w:p>
      <w:pPr>
        <w:autoSpaceDE w:val="0"/>
        <w:ind w:firstLine="210" w:firstLineChars="100"/>
        <w:rPr>
          <w:rFonts w:ascii="黑体" w:hAnsi="黑体" w:eastAsia="黑体"/>
        </w:rPr>
      </w:pPr>
      <w:r>
        <w:rPr>
          <w:rFonts w:ascii="黑体" w:hAnsi="黑体" w:eastAsia="黑体"/>
        </w:rPr>
        <w:t>b)</w:t>
      </w:r>
      <w:r>
        <w:rPr>
          <w:rFonts w:hint="eastAsia" w:ascii="黑体" w:hAnsi="黑体" w:eastAsia="黑体"/>
        </w:rPr>
        <w:t xml:space="preserve">  场地平面布置图；</w:t>
      </w:r>
    </w:p>
    <w:p>
      <w:pPr>
        <w:autoSpaceDE w:val="0"/>
        <w:ind w:firstLine="210" w:firstLineChars="100"/>
        <w:rPr>
          <w:rFonts w:ascii="黑体" w:hAnsi="黑体" w:eastAsia="黑体"/>
        </w:rPr>
      </w:pPr>
      <w:r>
        <w:rPr>
          <w:rFonts w:ascii="黑体" w:hAnsi="黑体" w:eastAsia="黑体"/>
        </w:rPr>
        <w:t>c)</w:t>
      </w:r>
      <w:r>
        <w:rPr>
          <w:rFonts w:hint="eastAsia" w:ascii="黑体" w:hAnsi="黑体" w:eastAsia="黑体"/>
        </w:rPr>
        <w:t xml:space="preserve">  螺杆灌注桩施工图；</w:t>
      </w:r>
    </w:p>
    <w:p>
      <w:pPr>
        <w:autoSpaceDE w:val="0"/>
        <w:ind w:firstLine="210" w:firstLineChars="100"/>
        <w:rPr>
          <w:rFonts w:ascii="黑体" w:hAnsi="黑体" w:eastAsia="黑体"/>
        </w:rPr>
      </w:pPr>
      <w:r>
        <w:rPr>
          <w:rFonts w:ascii="黑体" w:hAnsi="黑体" w:eastAsia="黑体"/>
        </w:rPr>
        <w:t>d)</w:t>
      </w:r>
      <w:r>
        <w:rPr>
          <w:rFonts w:hint="eastAsia" w:ascii="黑体" w:hAnsi="黑体" w:eastAsia="黑体"/>
        </w:rPr>
        <w:t xml:space="preserve">  建筑场地和邻近区域内的建筑物、地下管线、地下构筑物等的相关资料；</w:t>
      </w:r>
    </w:p>
    <w:p>
      <w:pPr>
        <w:ind w:firstLine="210" w:firstLineChars="100"/>
        <w:rPr>
          <w:rFonts w:ascii="黑体" w:hAnsi="黑体" w:eastAsia="黑体"/>
        </w:rPr>
      </w:pPr>
      <w:r>
        <w:rPr>
          <w:rFonts w:ascii="黑体" w:hAnsi="黑体" w:eastAsia="黑体"/>
        </w:rPr>
        <w:t>e)</w:t>
      </w:r>
      <w:r>
        <w:rPr>
          <w:rFonts w:hint="eastAsia" w:ascii="黑体" w:hAnsi="黑体" w:eastAsia="黑体"/>
        </w:rPr>
        <w:t xml:space="preserve">  桩基工程施工组织设计或施工方案；</w:t>
      </w:r>
    </w:p>
    <w:p>
      <w:pPr>
        <w:pStyle w:val="65"/>
        <w:spacing w:before="156" w:after="156"/>
      </w:pPr>
      <w:r>
        <w:rPr>
          <w:rFonts w:hint="eastAsia"/>
        </w:rPr>
        <w:t>施工前应清除地上和地下障碍物并平整场地，按平面布置图的要求做好施工现场的施工道路、供水供电、施工设施布置、材料堆放等有关布设。</w:t>
      </w:r>
    </w:p>
    <w:p>
      <w:pPr>
        <w:pStyle w:val="65"/>
        <w:spacing w:before="156" w:after="156"/>
      </w:pPr>
      <w:r>
        <w:rPr>
          <w:rFonts w:hint="eastAsia"/>
        </w:rPr>
        <w:t>施工前应进行图纸会审，编制专项施工方案，做好技术交底和原材料质量检验工作。</w:t>
      </w:r>
    </w:p>
    <w:p>
      <w:pPr>
        <w:pStyle w:val="65"/>
        <w:spacing w:before="156" w:after="156"/>
      </w:pPr>
      <w:r>
        <w:rPr>
          <w:rFonts w:hint="eastAsia"/>
        </w:rPr>
        <w:t>桩位放线定位前应测量定位点和水准基点，并采取妥善措施加以保护。根据设计桩位图在施工现场布置桩位，桩位确定后应填写放线记录，桩位点应设有不易破坏的标记，并复核桩位位置以减少偏差、避免漏桩，经有关部门验线合格后方可施工。</w:t>
      </w:r>
    </w:p>
    <w:p>
      <w:pPr>
        <w:pStyle w:val="65"/>
        <w:spacing w:before="156" w:after="156"/>
      </w:pPr>
      <w:r>
        <w:rPr>
          <w:rFonts w:hint="eastAsia"/>
        </w:rPr>
        <w:t>螺杆灌注桩施工现场应符合下列规定：</w:t>
      </w:r>
    </w:p>
    <w:p>
      <w:pPr>
        <w:autoSpaceDE w:val="0"/>
        <w:ind w:firstLine="420" w:firstLineChars="200"/>
        <w:rPr>
          <w:rFonts w:ascii="黑体" w:hAnsi="黑体" w:eastAsia="黑体"/>
        </w:rPr>
      </w:pPr>
      <w:r>
        <w:rPr>
          <w:rFonts w:ascii="黑体" w:hAnsi="黑体" w:eastAsia="黑体"/>
        </w:rPr>
        <w:t>a)</w:t>
      </w:r>
      <w:r>
        <w:rPr>
          <w:rFonts w:hint="eastAsia" w:ascii="黑体" w:hAnsi="黑体" w:eastAsia="黑体"/>
        </w:rPr>
        <w:t xml:space="preserve">  施工场地应平整，施工工作面应满足桩机工作要求，天然地基承载力特征值不宜小于120kPa；</w:t>
      </w:r>
    </w:p>
    <w:p>
      <w:pPr>
        <w:autoSpaceDE w:val="0"/>
        <w:ind w:firstLine="420" w:firstLineChars="200"/>
        <w:rPr>
          <w:rFonts w:ascii="黑体" w:hAnsi="黑体" w:eastAsia="黑体"/>
        </w:rPr>
      </w:pPr>
      <w:r>
        <w:rPr>
          <w:rFonts w:ascii="黑体" w:hAnsi="黑体" w:eastAsia="黑体"/>
        </w:rPr>
        <w:t>b)</w:t>
      </w:r>
      <w:r>
        <w:rPr>
          <w:rFonts w:hint="eastAsia" w:ascii="黑体" w:hAnsi="黑体" w:eastAsia="黑体"/>
        </w:rPr>
        <w:t xml:space="preserve">  施工场地内应有完善的排水设施；</w:t>
      </w:r>
    </w:p>
    <w:p>
      <w:pPr>
        <w:autoSpaceDE w:val="0"/>
        <w:ind w:firstLine="420" w:firstLineChars="200"/>
        <w:rPr>
          <w:rFonts w:ascii="黑体" w:hAnsi="黑体" w:eastAsia="黑体"/>
        </w:rPr>
      </w:pPr>
      <w:r>
        <w:rPr>
          <w:rFonts w:ascii="黑体" w:hAnsi="黑体" w:eastAsia="黑体"/>
        </w:rPr>
        <w:t>c)</w:t>
      </w:r>
      <w:r>
        <w:rPr>
          <w:rFonts w:hint="eastAsia" w:ascii="黑体" w:hAnsi="黑体" w:eastAsia="黑体"/>
        </w:rPr>
        <w:t xml:space="preserve">  水、电等应满足施工要求。</w:t>
      </w:r>
    </w:p>
    <w:p>
      <w:pPr>
        <w:pStyle w:val="65"/>
        <w:spacing w:before="156" w:after="156"/>
      </w:pPr>
      <w:r>
        <w:rPr>
          <w:rFonts w:hint="eastAsia"/>
        </w:rPr>
        <w:t>螺杆灌注桩成桩工艺试验应符合下列规定：</w:t>
      </w:r>
    </w:p>
    <w:p>
      <w:pPr>
        <w:autoSpaceDE w:val="0"/>
        <w:ind w:firstLine="420" w:firstLineChars="200"/>
        <w:outlineLvl w:val="0"/>
        <w:rPr>
          <w:rFonts w:ascii="黑体" w:hAnsi="黑体" w:eastAsia="黑体"/>
        </w:rPr>
      </w:pPr>
      <w:r>
        <w:rPr>
          <w:rFonts w:ascii="黑体" w:hAnsi="黑体" w:eastAsia="黑体"/>
        </w:rPr>
        <w:t>a)</w:t>
      </w:r>
      <w:r>
        <w:rPr>
          <w:rFonts w:hint="eastAsia" w:ascii="黑体" w:hAnsi="黑体" w:eastAsia="黑体"/>
        </w:rPr>
        <w:t xml:space="preserve">  试验点位的岩土条件应具有代表性；</w:t>
      </w:r>
    </w:p>
    <w:p>
      <w:pPr>
        <w:autoSpaceDE w:val="0"/>
        <w:ind w:firstLine="420" w:firstLineChars="200"/>
        <w:rPr>
          <w:rFonts w:ascii="黑体" w:hAnsi="黑体" w:eastAsia="黑体"/>
        </w:rPr>
      </w:pPr>
      <w:r>
        <w:rPr>
          <w:rFonts w:ascii="黑体" w:hAnsi="黑体" w:eastAsia="黑体"/>
        </w:rPr>
        <w:t>b)</w:t>
      </w:r>
      <w:r>
        <w:rPr>
          <w:rFonts w:hint="eastAsia" w:ascii="黑体" w:hAnsi="黑体" w:eastAsia="黑体"/>
        </w:rPr>
        <w:t xml:space="preserve">  应记录成孔深度、成孔直径、成孔时间、加压力及分层钻进扭矩等参数；</w:t>
      </w:r>
    </w:p>
    <w:p>
      <w:pPr>
        <w:autoSpaceDE w:val="0"/>
        <w:ind w:firstLine="420" w:firstLineChars="200"/>
        <w:rPr>
          <w:rFonts w:ascii="黑体" w:hAnsi="黑体" w:eastAsia="黑体"/>
        </w:rPr>
      </w:pPr>
      <w:r>
        <w:rPr>
          <w:rFonts w:ascii="黑体" w:hAnsi="黑体" w:eastAsia="黑体"/>
        </w:rPr>
        <w:t>c)</w:t>
      </w:r>
      <w:r>
        <w:rPr>
          <w:rFonts w:hint="eastAsia" w:ascii="黑体" w:hAnsi="黑体" w:eastAsia="黑体"/>
        </w:rPr>
        <w:t xml:space="preserve">  应确定混凝土缓凝时间、充盈系数等指标；</w:t>
      </w:r>
    </w:p>
    <w:p>
      <w:pPr>
        <w:autoSpaceDE w:val="0"/>
        <w:ind w:firstLine="420" w:firstLineChars="200"/>
        <w:rPr>
          <w:rFonts w:ascii="黑体" w:hAnsi="黑体" w:eastAsia="黑体"/>
        </w:rPr>
      </w:pPr>
      <w:r>
        <w:rPr>
          <w:rFonts w:ascii="黑体" w:hAnsi="黑体" w:eastAsia="黑体"/>
        </w:rPr>
        <w:t>d)</w:t>
      </w:r>
      <w:r>
        <w:rPr>
          <w:rFonts w:hint="eastAsia" w:ascii="黑体" w:hAnsi="黑体" w:eastAsia="黑体"/>
        </w:rPr>
        <w:t xml:space="preserve">  应对桩顶和地面土体的竖向和水平位移进行监测；</w:t>
      </w:r>
    </w:p>
    <w:p>
      <w:pPr>
        <w:autoSpaceDE w:val="0"/>
        <w:ind w:firstLine="420" w:firstLineChars="200"/>
        <w:rPr>
          <w:rFonts w:ascii="黑体" w:hAnsi="黑体" w:eastAsia="黑体"/>
        </w:rPr>
      </w:pPr>
      <w:r>
        <w:rPr>
          <w:rFonts w:ascii="黑体" w:hAnsi="黑体" w:eastAsia="黑体"/>
        </w:rPr>
        <w:t>e)</w:t>
      </w:r>
      <w:r>
        <w:rPr>
          <w:rFonts w:hint="eastAsia" w:ascii="黑体" w:hAnsi="黑体" w:eastAsia="黑体"/>
        </w:rPr>
        <w:t xml:space="preserve">  遇有挤土敏感土层、易窜孔土层时应确定合理施工间距；</w:t>
      </w:r>
    </w:p>
    <w:p>
      <w:pPr>
        <w:autoSpaceDE w:val="0"/>
        <w:ind w:firstLine="420" w:firstLineChars="200"/>
        <w:rPr>
          <w:rFonts w:ascii="黑体" w:hAnsi="黑体" w:eastAsia="黑体"/>
        </w:rPr>
      </w:pPr>
      <w:r>
        <w:rPr>
          <w:rFonts w:ascii="黑体" w:hAnsi="黑体" w:eastAsia="黑体"/>
        </w:rPr>
        <w:t>f)</w:t>
      </w:r>
      <w:r>
        <w:rPr>
          <w:rFonts w:hint="eastAsia" w:ascii="黑体" w:hAnsi="黑体" w:eastAsia="黑体"/>
        </w:rPr>
        <w:t xml:space="preserve">  应根据成桩工艺试验结果确定施工工艺及其控制参数。</w:t>
      </w:r>
    </w:p>
    <w:p>
      <w:pPr>
        <w:pStyle w:val="105"/>
        <w:spacing w:before="156" w:after="156"/>
      </w:pPr>
      <w:bookmarkStart w:id="194" w:name="_Toc19258"/>
      <w:r>
        <w:rPr>
          <w:rFonts w:hint="eastAsia"/>
        </w:rPr>
        <w:t>施工</w:t>
      </w:r>
      <w:r>
        <w:t>流程</w:t>
      </w:r>
      <w:bookmarkEnd w:id="194"/>
    </w:p>
    <w:p>
      <w:pPr>
        <w:pStyle w:val="65"/>
        <w:spacing w:before="156" w:after="156"/>
      </w:pPr>
      <w:r>
        <w:rPr>
          <w:rFonts w:hint="eastAsia"/>
        </w:rPr>
        <w:t>螺杆桩施工工艺流程宜按图1执行：</w:t>
      </w:r>
    </w:p>
    <w:p>
      <w:pPr>
        <w:pStyle w:val="114"/>
        <w:spacing w:before="156" w:after="156"/>
      </w:pPr>
      <w:r>
        <w:drawing>
          <wp:anchor distT="0" distB="0" distL="0" distR="0" simplePos="0" relativeHeight="251663360" behindDoc="0" locked="0" layoutInCell="1" allowOverlap="1">
            <wp:simplePos x="0" y="0"/>
            <wp:positionH relativeFrom="column">
              <wp:posOffset>1223645</wp:posOffset>
            </wp:positionH>
            <wp:positionV relativeFrom="paragraph">
              <wp:posOffset>360045</wp:posOffset>
            </wp:positionV>
            <wp:extent cx="2965450" cy="2318385"/>
            <wp:effectExtent l="0" t="0" r="6350" b="5715"/>
            <wp:wrapTopAndBottom/>
            <wp:docPr id="224" name="图片 224" descr="C:\Users\ADMINI~1\AppData\Local\Temp\ksohtml3296\wps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4" name="图片 224" descr="C:\Users\ADMINI~1\AppData\Local\Temp\ksohtml3296\wps1.png"/>
                    <pic:cNvPicPr>
                      <a:picLocks noChangeAspect="true" noChangeArrowheads="true"/>
                    </pic:cNvPicPr>
                  </pic:nvPicPr>
                  <pic:blipFill>
                    <a:blip r:embed="rId151">
                      <a:extLst>
                        <a:ext uri="{28A0092B-C50C-407E-A947-70E740481C1C}">
                          <a14:useLocalDpi xmlns:a14="http://schemas.microsoft.com/office/drawing/2010/main" val="false"/>
                        </a:ext>
                      </a:extLst>
                    </a:blip>
                    <a:srcRect/>
                    <a:stretch>
                      <a:fillRect/>
                    </a:stretch>
                  </pic:blipFill>
                  <pic:spPr>
                    <a:xfrm>
                      <a:off x="0" y="0"/>
                      <a:ext cx="2965450" cy="2318385"/>
                    </a:xfrm>
                    <a:prstGeom prst="rect">
                      <a:avLst/>
                    </a:prstGeom>
                    <a:noFill/>
                    <a:ln>
                      <a:noFill/>
                    </a:ln>
                  </pic:spPr>
                </pic:pic>
              </a:graphicData>
            </a:graphic>
          </wp:anchor>
        </w:drawing>
      </w:r>
      <w:r>
        <w:rPr>
          <w:rFonts w:hint="eastAsia"/>
        </w:rPr>
        <w:t>螺杆桩施工工艺流程</w:t>
      </w:r>
    </w:p>
    <w:p>
      <w:pPr>
        <w:pStyle w:val="105"/>
        <w:spacing w:before="156" w:after="156"/>
      </w:pPr>
      <w:bookmarkStart w:id="195" w:name="_Toc7543"/>
      <w:r>
        <w:rPr>
          <w:rFonts w:hint="eastAsia"/>
        </w:rPr>
        <w:t>施工</w:t>
      </w:r>
      <w:r>
        <w:t>控制</w:t>
      </w:r>
      <w:bookmarkEnd w:id="195"/>
    </w:p>
    <w:p>
      <w:pPr>
        <w:pStyle w:val="65"/>
        <w:spacing w:before="156" w:after="156"/>
      </w:pPr>
      <w:r>
        <w:rPr>
          <w:rFonts w:hint="eastAsia"/>
        </w:rPr>
        <w:t>螺杆灌注桩施工应按表</w:t>
      </w:r>
      <w:r>
        <w:t>12</w:t>
      </w:r>
      <w:r>
        <w:rPr>
          <w:rFonts w:hint="eastAsia"/>
        </w:rPr>
        <w:t>选择施工工艺。</w:t>
      </w:r>
    </w:p>
    <w:p>
      <w:pPr>
        <w:pStyle w:val="112"/>
        <w:spacing w:before="156" w:after="156"/>
      </w:pPr>
      <w:r>
        <w:rPr>
          <w:rFonts w:hint="eastAsia"/>
        </w:rPr>
        <w:t>螺杆</w:t>
      </w:r>
      <w:r>
        <w:t>灌注桩成桩工艺</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334"/>
        <w:gridCol w:w="2333"/>
        <w:gridCol w:w="2333"/>
        <w:gridCol w:w="23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4667" w:type="dxa"/>
            <w:gridSpan w:val="2"/>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桩段</w:t>
            </w:r>
          </w:p>
        </w:tc>
        <w:tc>
          <w:tcPr>
            <w:tcW w:w="2333" w:type="dxa"/>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下钻</w:t>
            </w:r>
          </w:p>
        </w:tc>
        <w:tc>
          <w:tcPr>
            <w:tcW w:w="2334" w:type="dxa"/>
            <w:tcBorders>
              <w:top w:val="single" w:color="auto" w:sz="8" w:space="0"/>
              <w:bottom w:val="single" w:color="auto" w:sz="8" w:space="0"/>
            </w:tcBorders>
            <w:shd w:val="clear" w:color="auto" w:fill="auto"/>
            <w:vAlign w:val="center"/>
          </w:tcPr>
          <w:p>
            <w:pPr>
              <w:jc w:val="center"/>
              <w:rPr>
                <w:rFonts w:ascii="黑体" w:hAnsi="黑体" w:eastAsia="黑体"/>
              </w:rPr>
            </w:pPr>
            <w:r>
              <w:rPr>
                <w:rFonts w:hint="eastAsia" w:ascii="黑体" w:hAnsi="黑体" w:eastAsia="黑体"/>
              </w:rPr>
              <w:t>提钻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restart"/>
            <w:tcBorders>
              <w:top w:val="single" w:color="auto" w:sz="8" w:space="0"/>
            </w:tcBorders>
            <w:shd w:val="clear" w:color="auto" w:fill="auto"/>
            <w:vAlign w:val="center"/>
          </w:tcPr>
          <w:p>
            <w:pPr>
              <w:pStyle w:val="178"/>
              <w:rPr>
                <w:rFonts w:ascii="黑体" w:hAnsi="黑体" w:eastAsia="黑体"/>
                <w:sz w:val="21"/>
                <w:szCs w:val="21"/>
              </w:rPr>
            </w:pPr>
            <w:r>
              <w:rPr>
                <w:rFonts w:hint="eastAsia" w:ascii="黑体" w:hAnsi="黑体" w:eastAsia="黑体"/>
                <w:sz w:val="21"/>
                <w:szCs w:val="21"/>
              </w:rPr>
              <w:t>直杆段</w:t>
            </w:r>
          </w:p>
        </w:tc>
        <w:tc>
          <w:tcPr>
            <w:tcW w:w="2333" w:type="dxa"/>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常规工法</w:t>
            </w:r>
          </w:p>
        </w:tc>
        <w:tc>
          <w:tcPr>
            <w:tcW w:w="2333" w:type="dxa"/>
            <w:tcBorders>
              <w:top w:val="single" w:color="auto" w:sz="8" w:space="0"/>
            </w:tcBorders>
            <w:shd w:val="clear" w:color="auto" w:fill="auto"/>
            <w:vAlign w:val="center"/>
          </w:tcPr>
          <w:p>
            <w:pPr>
              <w:jc w:val="center"/>
              <w:rPr>
                <w:rFonts w:ascii="黑体" w:hAnsi="黑体" w:eastAsia="黑体"/>
              </w:rPr>
            </w:pPr>
            <w:r>
              <w:rPr>
                <w:rFonts w:hint="eastAsia" w:ascii="黑体" w:hAnsi="黑体" w:eastAsia="黑体"/>
              </w:rPr>
              <w:t>正向同步</w:t>
            </w:r>
          </w:p>
        </w:tc>
        <w:tc>
          <w:tcPr>
            <w:tcW w:w="2334" w:type="dxa"/>
            <w:vMerge w:val="restart"/>
            <w:tcBorders>
              <w:top w:val="single" w:color="auto" w:sz="8" w:space="0"/>
            </w:tcBorders>
            <w:shd w:val="clear" w:color="auto" w:fill="auto"/>
            <w:vAlign w:val="center"/>
          </w:tcPr>
          <w:p>
            <w:pPr>
              <w:pStyle w:val="178"/>
              <w:rPr>
                <w:rFonts w:ascii="黑体" w:hAnsi="黑体" w:eastAsia="黑体"/>
                <w:sz w:val="21"/>
                <w:szCs w:val="21"/>
              </w:rPr>
            </w:pPr>
            <w:r>
              <w:rPr>
                <w:rFonts w:hint="eastAsia" w:ascii="黑体" w:hAnsi="黑体" w:eastAsia="黑体"/>
                <w:sz w:val="21"/>
                <w:szCs w:val="21"/>
              </w:rPr>
              <w:t>正向同步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pPr>
              <w:pStyle w:val="178"/>
              <w:rPr>
                <w:rFonts w:ascii="黑体" w:hAnsi="黑体" w:eastAsia="黑体"/>
                <w:sz w:val="21"/>
                <w:szCs w:val="21"/>
              </w:rPr>
            </w:pPr>
          </w:p>
        </w:tc>
        <w:tc>
          <w:tcPr>
            <w:tcW w:w="2333" w:type="dxa"/>
            <w:shd w:val="clear" w:color="auto" w:fill="auto"/>
            <w:vAlign w:val="center"/>
          </w:tcPr>
          <w:p>
            <w:pPr>
              <w:jc w:val="center"/>
              <w:rPr>
                <w:rFonts w:ascii="黑体" w:hAnsi="黑体" w:eastAsia="黑体"/>
              </w:rPr>
            </w:pPr>
            <w:r>
              <w:rPr>
                <w:rFonts w:hint="eastAsia" w:ascii="黑体" w:hAnsi="黑体" w:eastAsia="黑体"/>
              </w:rPr>
              <w:t>坚硬土层</w:t>
            </w:r>
          </w:p>
        </w:tc>
        <w:tc>
          <w:tcPr>
            <w:tcW w:w="2333" w:type="dxa"/>
            <w:shd w:val="clear" w:color="auto" w:fill="auto"/>
            <w:vAlign w:val="center"/>
          </w:tcPr>
          <w:p>
            <w:pPr>
              <w:jc w:val="center"/>
              <w:rPr>
                <w:rFonts w:ascii="黑体" w:hAnsi="黑体" w:eastAsia="黑体"/>
              </w:rPr>
            </w:pPr>
            <w:r>
              <w:rPr>
                <w:rFonts w:hint="eastAsia" w:ascii="黑体" w:hAnsi="黑体" w:eastAsia="黑体"/>
              </w:rPr>
              <w:t>正向非同步</w:t>
            </w:r>
          </w:p>
        </w:tc>
        <w:tc>
          <w:tcPr>
            <w:tcW w:w="2334" w:type="dxa"/>
            <w:vMerge w:val="continue"/>
            <w:shd w:val="clear" w:color="auto" w:fill="auto"/>
            <w:vAlign w:val="center"/>
          </w:tcPr>
          <w:p>
            <w:pPr>
              <w:pStyle w:val="178"/>
              <w:rPr>
                <w:rFonts w:ascii="黑体" w:hAnsi="黑体" w:eastAsia="黑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4667" w:type="dxa"/>
            <w:gridSpan w:val="2"/>
            <w:shd w:val="clear" w:color="auto" w:fill="auto"/>
            <w:vAlign w:val="center"/>
          </w:tcPr>
          <w:p>
            <w:pPr>
              <w:jc w:val="center"/>
              <w:rPr>
                <w:rFonts w:ascii="黑体" w:hAnsi="黑体" w:eastAsia="黑体"/>
              </w:rPr>
            </w:pPr>
            <w:r>
              <w:rPr>
                <w:rFonts w:hint="eastAsia" w:ascii="黑体" w:hAnsi="黑体" w:eastAsia="黑体"/>
              </w:rPr>
              <w:t>螺纹段</w:t>
            </w:r>
          </w:p>
        </w:tc>
        <w:tc>
          <w:tcPr>
            <w:tcW w:w="2333" w:type="dxa"/>
            <w:shd w:val="clear" w:color="auto" w:fill="auto"/>
            <w:vAlign w:val="center"/>
          </w:tcPr>
          <w:p>
            <w:pPr>
              <w:jc w:val="center"/>
              <w:rPr>
                <w:rFonts w:ascii="黑体" w:hAnsi="黑体" w:eastAsia="黑体"/>
              </w:rPr>
            </w:pPr>
            <w:r>
              <w:rPr>
                <w:rFonts w:hint="eastAsia" w:ascii="黑体" w:hAnsi="黑体" w:eastAsia="黑体"/>
              </w:rPr>
              <w:t>正向同步</w:t>
            </w:r>
          </w:p>
        </w:tc>
        <w:tc>
          <w:tcPr>
            <w:tcW w:w="2334" w:type="dxa"/>
            <w:shd w:val="clear" w:color="auto" w:fill="auto"/>
            <w:vAlign w:val="center"/>
          </w:tcPr>
          <w:p>
            <w:pPr>
              <w:jc w:val="center"/>
              <w:rPr>
                <w:rFonts w:ascii="黑体" w:hAnsi="黑体" w:eastAsia="黑体"/>
              </w:rPr>
            </w:pPr>
            <w:r>
              <w:rPr>
                <w:rFonts w:hint="eastAsia" w:ascii="黑体" w:hAnsi="黑体" w:eastAsia="黑体"/>
              </w:rPr>
              <w:t>反向同步</w:t>
            </w:r>
          </w:p>
        </w:tc>
      </w:tr>
    </w:tbl>
    <w:p>
      <w:pPr>
        <w:pStyle w:val="56"/>
        <w:ind w:firstLine="420"/>
      </w:pPr>
    </w:p>
    <w:p>
      <w:pPr>
        <w:pStyle w:val="65"/>
        <w:spacing w:before="156" w:after="156"/>
        <w:rPr>
          <w:rFonts w:hint="eastAsia" w:ascii="黑体" w:hAnsi="黑体" w:eastAsia="黑体" w:cs="黑体"/>
        </w:rPr>
      </w:pPr>
      <w:r>
        <w:rPr>
          <w:rFonts w:hint="eastAsia" w:ascii="黑体" w:hAnsi="黑体" w:eastAsia="黑体" w:cs="黑体"/>
        </w:rPr>
        <w:t>螺杆灌注桩施工应根据试桩的结果和地层的渗透性、挤土效应情况确定合理的施工顺序。</w:t>
      </w:r>
    </w:p>
    <w:p>
      <w:pPr>
        <w:pStyle w:val="65"/>
        <w:spacing w:before="156" w:after="156"/>
        <w:rPr>
          <w:rFonts w:hint="eastAsia" w:ascii="黑体" w:hAnsi="黑体" w:eastAsia="黑体" w:cs="黑体"/>
        </w:rPr>
      </w:pPr>
      <w:r>
        <w:rPr>
          <w:rFonts w:hint="eastAsia" w:ascii="黑体" w:hAnsi="黑体" w:eastAsia="黑体" w:cs="黑体"/>
        </w:rPr>
        <w:t>螺杆桩机就位后必须保证平整、稳固，成桩过程中不应发生倾斜和偏移，桩机上应设置控制深度和垂直度的仪表或标尺，并应在施工中进行观测记录。</w:t>
      </w:r>
    </w:p>
    <w:p>
      <w:pPr>
        <w:pStyle w:val="65"/>
        <w:spacing w:before="156" w:after="156"/>
        <w:rPr>
          <w:rFonts w:hint="eastAsia" w:ascii="黑体" w:hAnsi="黑体" w:eastAsia="黑体" w:cs="黑体"/>
        </w:rPr>
      </w:pPr>
      <w:r>
        <w:rPr>
          <w:rFonts w:hint="eastAsia" w:ascii="黑体" w:hAnsi="黑体" w:eastAsia="黑体" w:cs="黑体"/>
        </w:rPr>
        <w:t>螺杆灌注桩的施工顺序宜符合下列规定：</w:t>
      </w:r>
    </w:p>
    <w:p>
      <w:pPr>
        <w:autoSpaceDE w:val="0"/>
        <w:ind w:firstLine="420" w:firstLineChars="200"/>
        <w:rPr>
          <w:rFonts w:hint="eastAsia" w:ascii="黑体" w:hAnsi="黑体" w:eastAsia="黑体" w:cs="黑体"/>
        </w:rPr>
      </w:pPr>
      <w:r>
        <w:rPr>
          <w:rFonts w:hint="eastAsia" w:ascii="黑体" w:hAnsi="黑体" w:eastAsia="黑体" w:cs="黑体"/>
        </w:rPr>
        <w:t>a)  对于密集桩群，宜由中间向两个方向或四周对称施工；</w:t>
      </w:r>
    </w:p>
    <w:p>
      <w:pPr>
        <w:autoSpaceDE w:val="0"/>
        <w:ind w:firstLine="420" w:firstLineChars="200"/>
        <w:rPr>
          <w:rFonts w:hint="eastAsia" w:ascii="黑体" w:hAnsi="黑体" w:eastAsia="黑体" w:cs="黑体"/>
        </w:rPr>
      </w:pPr>
      <w:r>
        <w:rPr>
          <w:rFonts w:hint="eastAsia" w:ascii="黑体" w:hAnsi="黑体" w:eastAsia="黑体" w:cs="黑体"/>
        </w:rPr>
        <w:t>b)  当一侧毗邻建筑物时，宜由毗邻建筑物处向另一方向施工；</w:t>
      </w:r>
    </w:p>
    <w:p>
      <w:pPr>
        <w:autoSpaceDE w:val="0"/>
        <w:ind w:firstLine="420" w:firstLineChars="200"/>
        <w:rPr>
          <w:rFonts w:hint="eastAsia" w:ascii="黑体" w:hAnsi="黑体" w:eastAsia="黑体" w:cs="黑体"/>
        </w:rPr>
      </w:pPr>
      <w:r>
        <w:rPr>
          <w:rFonts w:hint="eastAsia" w:ascii="黑体" w:hAnsi="黑体" w:eastAsia="黑体" w:cs="黑体"/>
        </w:rPr>
        <w:t>c)  根据基础的设计标高，宜先深后浅施工；</w:t>
      </w:r>
    </w:p>
    <w:p>
      <w:pPr>
        <w:autoSpaceDE w:val="0"/>
        <w:ind w:firstLine="420" w:firstLineChars="200"/>
        <w:rPr>
          <w:rFonts w:hint="eastAsia" w:ascii="黑体" w:hAnsi="黑体" w:eastAsia="黑体" w:cs="黑体"/>
        </w:rPr>
      </w:pPr>
      <w:r>
        <w:rPr>
          <w:rFonts w:hint="eastAsia" w:ascii="黑体" w:hAnsi="黑体" w:eastAsia="黑体" w:cs="黑体"/>
        </w:rPr>
        <w:t>d)  根据桩的规格，宜先大后小、先长后短施工；</w:t>
      </w:r>
    </w:p>
    <w:p>
      <w:pPr>
        <w:autoSpaceDE w:val="0"/>
        <w:ind w:firstLine="420" w:firstLineChars="200"/>
        <w:rPr>
          <w:rFonts w:hint="eastAsia" w:ascii="黑体" w:hAnsi="黑体" w:eastAsia="黑体" w:cs="黑体"/>
        </w:rPr>
      </w:pPr>
      <w:r>
        <w:rPr>
          <w:rFonts w:hint="eastAsia" w:ascii="黑体" w:hAnsi="黑体" w:eastAsia="黑体" w:cs="黑体"/>
        </w:rPr>
        <w:t>e)  根据桩的布置，宜先密后疏施工；</w:t>
      </w:r>
    </w:p>
    <w:p>
      <w:pPr>
        <w:autoSpaceDE w:val="0"/>
        <w:ind w:firstLine="420" w:firstLineChars="200"/>
        <w:rPr>
          <w:rFonts w:hint="eastAsia" w:ascii="黑体" w:hAnsi="黑体" w:eastAsia="黑体" w:cs="黑体"/>
        </w:rPr>
      </w:pPr>
      <w:r>
        <w:rPr>
          <w:rFonts w:hint="eastAsia" w:ascii="黑体" w:hAnsi="黑体" w:eastAsia="黑体" w:cs="黑体"/>
        </w:rPr>
        <w:t>f)  当土层为软土、松散填土或液化土层时，宜采用跳桩施工。</w:t>
      </w:r>
    </w:p>
    <w:p>
      <w:pPr>
        <w:pStyle w:val="65"/>
        <w:numPr>
          <w:ilvl w:val="0"/>
          <w:numId w:val="0"/>
        </w:numPr>
        <w:spacing w:before="156" w:after="156"/>
        <w:rPr>
          <w:rFonts w:hint="eastAsia" w:ascii="黑体" w:hAnsi="黑体" w:eastAsia="黑体" w:cs="黑体"/>
        </w:rPr>
      </w:pPr>
    </w:p>
    <w:p>
      <w:pPr>
        <w:pStyle w:val="65"/>
        <w:spacing w:before="156" w:after="156"/>
        <w:rPr>
          <w:rFonts w:hint="eastAsia" w:ascii="黑体" w:hAnsi="黑体" w:eastAsia="黑体" w:cs="黑体"/>
        </w:rPr>
      </w:pPr>
      <w:r>
        <w:rPr>
          <w:rFonts w:hint="eastAsia" w:ascii="黑体" w:hAnsi="黑体" w:eastAsia="黑体" w:cs="黑体"/>
        </w:rPr>
        <w:t>螺杆灌注桩的成孔应符合下列规定：</w:t>
      </w:r>
    </w:p>
    <w:p>
      <w:pPr>
        <w:autoSpaceDE w:val="0"/>
        <w:ind w:left="840" w:leftChars="200" w:hanging="420" w:hangingChars="200"/>
        <w:rPr>
          <w:rFonts w:hint="eastAsia" w:ascii="黑体" w:hAnsi="黑体" w:eastAsia="黑体" w:cs="黑体"/>
        </w:rPr>
      </w:pPr>
      <w:r>
        <w:rPr>
          <w:rFonts w:hint="eastAsia" w:ascii="黑体" w:hAnsi="黑体" w:eastAsia="黑体" w:cs="黑体"/>
        </w:rPr>
        <w:t>a)  钻进过程中，应正向旋转钻进，螺纹段采用正向同步钻进；桩机施加扭矩的同时应施加竖向压力，钻至设计深度前，不得反向旋转或提升钻杆；</w:t>
      </w:r>
    </w:p>
    <w:p>
      <w:pPr>
        <w:autoSpaceDE w:val="0"/>
        <w:ind w:left="840" w:leftChars="200" w:hanging="420" w:hangingChars="200"/>
        <w:rPr>
          <w:rFonts w:hint="eastAsia" w:ascii="黑体" w:hAnsi="黑体" w:eastAsia="黑体" w:cs="黑体"/>
        </w:rPr>
      </w:pPr>
      <w:r>
        <w:rPr>
          <w:rFonts w:hint="eastAsia" w:ascii="黑体" w:hAnsi="黑体" w:eastAsia="黑体" w:cs="黑体"/>
        </w:rPr>
        <w:t>b)  钻至设计深度后，应正向或反向旋转提钻，并应同时泵送混凝土。螺纹段应采用同步提钻，直杆段应采用非同步提钻。</w:t>
      </w:r>
    </w:p>
    <w:p>
      <w:pPr>
        <w:pStyle w:val="65"/>
        <w:spacing w:before="156" w:after="156"/>
        <w:rPr>
          <w:rFonts w:hint="eastAsia" w:ascii="黑体" w:hAnsi="黑体" w:eastAsia="黑体" w:cs="黑体"/>
        </w:rPr>
      </w:pPr>
      <w:r>
        <w:rPr>
          <w:rFonts w:hint="eastAsia" w:ascii="黑体" w:hAnsi="黑体" w:eastAsia="黑体" w:cs="黑体"/>
        </w:rPr>
        <w:t>螺杆灌注桩的终孔标准应结合工程地质情况、桩端持力层性状及桩端进入持力层的钻进速度、钻进扭矩等因素综合确定：</w:t>
      </w:r>
    </w:p>
    <w:p>
      <w:pPr>
        <w:autoSpaceDE w:val="0"/>
        <w:ind w:firstLine="420" w:firstLineChars="200"/>
        <w:rPr>
          <w:rFonts w:hint="eastAsia" w:ascii="黑体" w:hAnsi="黑体" w:eastAsia="黑体" w:cs="黑体"/>
        </w:rPr>
      </w:pPr>
      <w:r>
        <w:rPr>
          <w:rFonts w:hint="eastAsia" w:ascii="黑体" w:hAnsi="黑体" w:eastAsia="黑体" w:cs="黑体"/>
        </w:rPr>
        <w:t>a)  对于摩擦型桩，应以控制桩长为主，以控制加压力、钻进扭矩为辅；</w:t>
      </w:r>
    </w:p>
    <w:p>
      <w:pPr>
        <w:ind w:left="840" w:leftChars="200" w:hanging="420" w:hangingChars="200"/>
        <w:rPr>
          <w:rFonts w:hint="eastAsia" w:ascii="黑体" w:hAnsi="黑体" w:eastAsia="黑体" w:cs="黑体"/>
        </w:rPr>
      </w:pPr>
      <w:r>
        <w:rPr>
          <w:rFonts w:hint="eastAsia" w:ascii="黑体" w:hAnsi="黑体" w:eastAsia="黑体" w:cs="黑体"/>
        </w:rPr>
        <w:t>b)  桩端持力层为坚硬、硬塑的黏性土，中密以上的粉土、砂土、卵石，极软岩～软岩时，应以控制加压力、钻进扭矩为主，以控制桩长为辅。</w:t>
      </w:r>
    </w:p>
    <w:p>
      <w:pPr>
        <w:pStyle w:val="65"/>
        <w:spacing w:before="156" w:after="156"/>
        <w:rPr>
          <w:rFonts w:hint="eastAsia" w:ascii="黑体" w:hAnsi="黑体" w:eastAsia="黑体" w:cs="黑体"/>
        </w:rPr>
      </w:pPr>
      <w:r>
        <w:rPr>
          <w:rFonts w:hint="eastAsia" w:ascii="黑体" w:hAnsi="黑体" w:eastAsia="黑体" w:cs="黑体"/>
        </w:rPr>
        <w:t>最大提钻速度应符合表13的规定。</w:t>
      </w:r>
    </w:p>
    <w:p>
      <w:pPr>
        <w:pStyle w:val="56"/>
        <w:ind w:firstLine="420"/>
      </w:pPr>
    </w:p>
    <w:p>
      <w:pPr>
        <w:pStyle w:val="112"/>
        <w:spacing w:before="156" w:after="156"/>
      </w:pPr>
      <w:r>
        <w:rPr>
          <w:rFonts w:hint="eastAsia"/>
          <w:b/>
          <w:bCs/>
        </w:rPr>
        <w:t>最大提钻速度</w:t>
      </w:r>
    </w:p>
    <w:tbl>
      <w:tblPr>
        <w:tblStyle w:val="2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558"/>
        <w:gridCol w:w="1057"/>
        <w:gridCol w:w="1057"/>
        <w:gridCol w:w="1057"/>
        <w:gridCol w:w="1058"/>
        <w:gridCol w:w="158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898" w:type="pct"/>
            <w:tcBorders>
              <w:top w:val="single" w:color="auto" w:sz="8" w:space="0"/>
              <w:bottom w:val="single" w:color="auto" w:sz="8" w:space="0"/>
            </w:tcBorders>
            <w:shd w:val="clear" w:color="auto" w:fill="auto"/>
            <w:vAlign w:val="center"/>
          </w:tcPr>
          <w:p>
            <w:pPr>
              <w:jc w:val="center"/>
              <w:rPr>
                <w:rFonts w:ascii="宋体" w:hAnsi="宋体"/>
              </w:rPr>
            </w:pPr>
            <w:r>
              <w:rPr>
                <w:rFonts w:hint="eastAsia" w:ascii="宋体" w:hAnsi="宋体"/>
              </w:rPr>
              <w:t>桩径（mm）</w:t>
            </w:r>
          </w:p>
        </w:tc>
        <w:tc>
          <w:tcPr>
            <w:tcW w:w="564" w:type="pct"/>
            <w:tcBorders>
              <w:top w:val="single" w:color="auto" w:sz="8" w:space="0"/>
              <w:bottom w:val="single" w:color="auto" w:sz="8" w:space="0"/>
            </w:tcBorders>
            <w:shd w:val="clear" w:color="auto" w:fill="auto"/>
            <w:vAlign w:val="center"/>
          </w:tcPr>
          <w:p>
            <w:pPr>
              <w:jc w:val="center"/>
              <w:rPr>
                <w:rFonts w:ascii="宋体" w:hAnsi="宋体"/>
              </w:rPr>
            </w:pPr>
            <w:r>
              <w:rPr>
                <w:rFonts w:hint="eastAsia" w:ascii="宋体" w:hAnsi="宋体"/>
              </w:rPr>
              <w:t>300</w:t>
            </w:r>
          </w:p>
        </w:tc>
        <w:tc>
          <w:tcPr>
            <w:tcW w:w="564" w:type="pct"/>
            <w:tcBorders>
              <w:top w:val="single" w:color="auto" w:sz="8" w:space="0"/>
              <w:bottom w:val="single" w:color="auto" w:sz="8" w:space="0"/>
            </w:tcBorders>
            <w:shd w:val="clear" w:color="auto" w:fill="auto"/>
            <w:vAlign w:val="center"/>
          </w:tcPr>
          <w:p>
            <w:pPr>
              <w:jc w:val="center"/>
              <w:rPr>
                <w:rFonts w:ascii="宋体" w:hAnsi="宋体"/>
              </w:rPr>
            </w:pPr>
            <w:r>
              <w:rPr>
                <w:rFonts w:hint="eastAsia" w:ascii="宋体" w:hAnsi="宋体"/>
              </w:rPr>
              <w:t>400</w:t>
            </w:r>
          </w:p>
        </w:tc>
        <w:tc>
          <w:tcPr>
            <w:tcW w:w="564" w:type="pct"/>
            <w:tcBorders>
              <w:top w:val="single" w:color="auto" w:sz="8" w:space="0"/>
              <w:bottom w:val="single" w:color="auto" w:sz="8" w:space="0"/>
            </w:tcBorders>
            <w:shd w:val="clear" w:color="auto" w:fill="auto"/>
            <w:vAlign w:val="center"/>
          </w:tcPr>
          <w:p>
            <w:pPr>
              <w:jc w:val="center"/>
              <w:rPr>
                <w:rFonts w:ascii="宋体" w:hAnsi="宋体"/>
              </w:rPr>
            </w:pPr>
            <w:r>
              <w:rPr>
                <w:rFonts w:hint="eastAsia" w:ascii="宋体" w:hAnsi="宋体"/>
              </w:rPr>
              <w:t>500</w:t>
            </w:r>
          </w:p>
        </w:tc>
        <w:tc>
          <w:tcPr>
            <w:tcW w:w="564" w:type="pct"/>
            <w:tcBorders>
              <w:top w:val="single" w:color="auto" w:sz="8" w:space="0"/>
              <w:bottom w:val="single" w:color="auto" w:sz="8" w:space="0"/>
            </w:tcBorders>
            <w:shd w:val="clear" w:color="auto" w:fill="auto"/>
            <w:vAlign w:val="center"/>
          </w:tcPr>
          <w:p>
            <w:pPr>
              <w:jc w:val="center"/>
              <w:rPr>
                <w:rFonts w:ascii="宋体" w:hAnsi="宋体"/>
              </w:rPr>
            </w:pPr>
            <w:r>
              <w:rPr>
                <w:rFonts w:hint="eastAsia" w:ascii="宋体" w:hAnsi="宋体"/>
              </w:rPr>
              <w:t>600</w:t>
            </w:r>
          </w:p>
        </w:tc>
        <w:tc>
          <w:tcPr>
            <w:tcW w:w="846" w:type="pct"/>
            <w:tcBorders>
              <w:top w:val="single" w:color="auto" w:sz="8" w:space="0"/>
              <w:bottom w:val="single" w:color="auto" w:sz="8" w:space="0"/>
            </w:tcBorders>
            <w:shd w:val="clear" w:color="auto" w:fill="auto"/>
            <w:vAlign w:val="center"/>
          </w:tcPr>
          <w:p>
            <w:pPr>
              <w:jc w:val="center"/>
              <w:rPr>
                <w:rFonts w:ascii="宋体" w:hAnsi="宋体"/>
              </w:rPr>
            </w:pPr>
            <w:r>
              <w:rPr>
                <w:rFonts w:hint="eastAsia" w:ascii="宋体" w:hAnsi="宋体"/>
              </w:rPr>
              <w:t>700以上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898" w:type="pct"/>
            <w:tcBorders>
              <w:top w:val="single" w:color="auto" w:sz="8" w:space="0"/>
            </w:tcBorders>
            <w:shd w:val="clear" w:color="auto" w:fill="auto"/>
            <w:vAlign w:val="center"/>
          </w:tcPr>
          <w:p>
            <w:pPr>
              <w:jc w:val="center"/>
              <w:rPr>
                <w:rFonts w:ascii="宋体" w:hAnsi="宋体"/>
              </w:rPr>
            </w:pPr>
            <w:r>
              <w:rPr>
                <w:rFonts w:hint="eastAsia" w:ascii="宋体" w:hAnsi="宋体"/>
              </w:rPr>
              <w:t>提钻速度（m/min）</w:t>
            </w:r>
          </w:p>
        </w:tc>
        <w:tc>
          <w:tcPr>
            <w:tcW w:w="564" w:type="pct"/>
            <w:tcBorders>
              <w:top w:val="single" w:color="auto" w:sz="8" w:space="0"/>
            </w:tcBorders>
            <w:shd w:val="clear" w:color="auto" w:fill="auto"/>
            <w:vAlign w:val="center"/>
          </w:tcPr>
          <w:p>
            <w:pPr>
              <w:jc w:val="center"/>
              <w:rPr>
                <w:rFonts w:ascii="宋体" w:hAnsi="宋体"/>
              </w:rPr>
            </w:pPr>
            <w:r>
              <w:rPr>
                <w:rFonts w:hint="eastAsia" w:ascii="宋体" w:hAnsi="宋体"/>
              </w:rPr>
              <w:t>≤5.0</w:t>
            </w:r>
          </w:p>
        </w:tc>
        <w:tc>
          <w:tcPr>
            <w:tcW w:w="564" w:type="pct"/>
            <w:tcBorders>
              <w:top w:val="single" w:color="auto" w:sz="8" w:space="0"/>
            </w:tcBorders>
            <w:shd w:val="clear" w:color="auto" w:fill="auto"/>
            <w:vAlign w:val="center"/>
          </w:tcPr>
          <w:p>
            <w:pPr>
              <w:jc w:val="center"/>
              <w:rPr>
                <w:rFonts w:ascii="宋体" w:hAnsi="宋体"/>
              </w:rPr>
            </w:pPr>
            <w:r>
              <w:rPr>
                <w:rFonts w:hint="eastAsia" w:ascii="宋体" w:hAnsi="宋体"/>
              </w:rPr>
              <w:t>≤3.0</w:t>
            </w:r>
          </w:p>
        </w:tc>
        <w:tc>
          <w:tcPr>
            <w:tcW w:w="564" w:type="pct"/>
            <w:tcBorders>
              <w:top w:val="single" w:color="auto" w:sz="8" w:space="0"/>
            </w:tcBorders>
            <w:shd w:val="clear" w:color="auto" w:fill="auto"/>
            <w:vAlign w:val="center"/>
          </w:tcPr>
          <w:p>
            <w:pPr>
              <w:jc w:val="center"/>
              <w:rPr>
                <w:rFonts w:ascii="宋体" w:hAnsi="宋体"/>
              </w:rPr>
            </w:pPr>
            <w:r>
              <w:rPr>
                <w:rFonts w:hint="eastAsia" w:ascii="宋体" w:hAnsi="宋体"/>
              </w:rPr>
              <w:t>≤1.8</w:t>
            </w:r>
          </w:p>
        </w:tc>
        <w:tc>
          <w:tcPr>
            <w:tcW w:w="564" w:type="pct"/>
            <w:tcBorders>
              <w:top w:val="single" w:color="auto" w:sz="8" w:space="0"/>
            </w:tcBorders>
            <w:shd w:val="clear" w:color="auto" w:fill="auto"/>
            <w:vAlign w:val="center"/>
          </w:tcPr>
          <w:p>
            <w:pPr>
              <w:jc w:val="center"/>
              <w:rPr>
                <w:rFonts w:ascii="宋体" w:hAnsi="宋体"/>
              </w:rPr>
            </w:pPr>
            <w:r>
              <w:rPr>
                <w:rFonts w:hint="eastAsia" w:ascii="宋体" w:hAnsi="宋体"/>
              </w:rPr>
              <w:t>≤1.2</w:t>
            </w:r>
          </w:p>
        </w:tc>
        <w:tc>
          <w:tcPr>
            <w:tcW w:w="846" w:type="pct"/>
            <w:tcBorders>
              <w:top w:val="single" w:color="auto" w:sz="8" w:space="0"/>
            </w:tcBorders>
            <w:shd w:val="clear" w:color="auto" w:fill="auto"/>
            <w:vAlign w:val="center"/>
          </w:tcPr>
          <w:p>
            <w:pPr>
              <w:jc w:val="center"/>
              <w:rPr>
                <w:rFonts w:ascii="宋体" w:hAnsi="宋体"/>
              </w:rPr>
            </w:pPr>
            <w:r>
              <w:rPr>
                <w:rFonts w:hint="eastAsia" w:ascii="宋体" w:hAnsi="宋体"/>
              </w:rPr>
              <w:t>≤1.0</w:t>
            </w:r>
          </w:p>
        </w:tc>
      </w:tr>
    </w:tbl>
    <w:p>
      <w:pPr>
        <w:pStyle w:val="65"/>
        <w:spacing w:before="156" w:after="156"/>
        <w:rPr>
          <w:rFonts w:hint="eastAsia" w:ascii="黑体" w:hAnsi="黑体" w:eastAsia="黑体" w:cs="黑体"/>
        </w:rPr>
      </w:pPr>
      <w:r>
        <w:rPr>
          <w:rFonts w:hint="eastAsia" w:ascii="黑体" w:hAnsi="黑体" w:eastAsia="黑体" w:cs="黑体"/>
        </w:rPr>
        <w:t>螺杆灌注桩桩身混凝土应符合下列规定：</w:t>
      </w:r>
    </w:p>
    <w:p>
      <w:pPr>
        <w:autoSpaceDE w:val="0"/>
        <w:ind w:firstLine="420" w:firstLineChars="200"/>
        <w:rPr>
          <w:rFonts w:hint="eastAsia" w:ascii="黑体" w:hAnsi="黑体" w:eastAsia="黑体" w:cs="黑体"/>
        </w:rPr>
      </w:pPr>
      <w:r>
        <w:rPr>
          <w:rFonts w:hint="eastAsia" w:ascii="黑体" w:hAnsi="黑体" w:eastAsia="黑体" w:cs="黑体"/>
        </w:rPr>
        <w:t>a)  施工前应按设计要求通过试验确定混凝土配合比，混凝土坍落度宜为180mm～240mm；</w:t>
      </w:r>
    </w:p>
    <w:p>
      <w:pPr>
        <w:autoSpaceDE w:val="0"/>
        <w:ind w:left="840" w:leftChars="200" w:hanging="420" w:hangingChars="200"/>
        <w:rPr>
          <w:rFonts w:hint="eastAsia" w:ascii="黑体" w:hAnsi="黑体" w:eastAsia="黑体" w:cs="黑体"/>
        </w:rPr>
      </w:pPr>
      <w:r>
        <w:rPr>
          <w:rFonts w:hint="eastAsia" w:ascii="黑体" w:hAnsi="黑体" w:eastAsia="黑体" w:cs="黑体"/>
        </w:rPr>
        <w:t>b)  粗骨料粒径宜为5mm～15mm，细骨料宜为中粗砂，混凝土水泥用量不宜小于400kg/m</w:t>
      </w:r>
      <w:r>
        <w:rPr>
          <w:rFonts w:hint="eastAsia" w:ascii="黑体" w:hAnsi="黑体" w:eastAsia="黑体" w:cs="黑体"/>
          <w:vertAlign w:val="superscript"/>
        </w:rPr>
        <w:t>3</w:t>
      </w:r>
      <w:r>
        <w:rPr>
          <w:rFonts w:hint="eastAsia" w:ascii="黑体" w:hAnsi="黑体" w:eastAsia="黑体" w:cs="黑体"/>
        </w:rPr>
        <w:t>，初凝时间不宜少于6h。</w:t>
      </w:r>
    </w:p>
    <w:p>
      <w:pPr>
        <w:pStyle w:val="65"/>
        <w:spacing w:before="156" w:after="156"/>
        <w:rPr>
          <w:rFonts w:hint="eastAsia" w:ascii="黑体" w:hAnsi="黑体" w:eastAsia="黑体" w:cs="黑体"/>
        </w:rPr>
      </w:pPr>
      <w:r>
        <w:rPr>
          <w:rFonts w:hint="eastAsia" w:ascii="黑体" w:hAnsi="黑体" w:eastAsia="黑体" w:cs="黑体"/>
        </w:rPr>
        <w:t>螺杆灌注桩泵送混凝土宜符合下列规定：</w:t>
      </w:r>
    </w:p>
    <w:p>
      <w:pPr>
        <w:autoSpaceDE w:val="0"/>
        <w:ind w:left="840" w:leftChars="200" w:hanging="420" w:hangingChars="200"/>
        <w:rPr>
          <w:rFonts w:hint="eastAsia" w:ascii="黑体" w:hAnsi="黑体" w:eastAsia="黑体" w:cs="黑体"/>
        </w:rPr>
      </w:pPr>
      <w:r>
        <w:rPr>
          <w:rFonts w:hint="eastAsia" w:ascii="黑体" w:hAnsi="黑体" w:eastAsia="黑体" w:cs="黑体"/>
        </w:rPr>
        <w:t>a)  提钻及泵送过程应连续进行，提钻速度应与混凝土泵送量相匹配，钻杆管内的混凝土高度高于钻头不宜小于2m；</w:t>
      </w:r>
    </w:p>
    <w:p>
      <w:pPr>
        <w:autoSpaceDE w:val="0"/>
        <w:ind w:firstLine="420" w:firstLineChars="200"/>
        <w:rPr>
          <w:rFonts w:hint="eastAsia" w:ascii="黑体" w:hAnsi="黑体" w:eastAsia="黑体" w:cs="黑体"/>
        </w:rPr>
      </w:pPr>
      <w:r>
        <w:rPr>
          <w:rFonts w:hint="eastAsia" w:ascii="黑体" w:hAnsi="黑体" w:eastAsia="黑体" w:cs="黑体"/>
        </w:rPr>
        <w:t>b)  混凝土泵料斗内的混凝土应连续搅拌。泵送混凝土时，料斗内混凝土的高度不得低于400mm；</w:t>
      </w:r>
    </w:p>
    <w:p>
      <w:pPr>
        <w:autoSpaceDE w:val="0"/>
        <w:ind w:firstLine="420" w:firstLineChars="200"/>
        <w:rPr>
          <w:rFonts w:hint="eastAsia" w:ascii="黑体" w:hAnsi="黑体" w:eastAsia="黑体" w:cs="黑体"/>
        </w:rPr>
      </w:pPr>
      <w:r>
        <w:rPr>
          <w:rFonts w:hint="eastAsia" w:ascii="黑体" w:hAnsi="黑体" w:eastAsia="黑体" w:cs="黑体"/>
        </w:rPr>
        <w:t>c)  混凝土输送泵管布置宜减少弯道、保持水平，输送泵管应保证密封良好，输送泵管下应垫实；</w:t>
      </w:r>
    </w:p>
    <w:p>
      <w:pPr>
        <w:autoSpaceDE w:val="0"/>
        <w:ind w:firstLine="420" w:firstLineChars="200"/>
        <w:outlineLvl w:val="0"/>
        <w:rPr>
          <w:rFonts w:hint="eastAsia" w:ascii="黑体" w:hAnsi="黑体" w:eastAsia="黑体" w:cs="黑体"/>
        </w:rPr>
      </w:pPr>
      <w:r>
        <w:rPr>
          <w:rFonts w:hint="eastAsia" w:ascii="黑体" w:hAnsi="黑体" w:eastAsia="黑体" w:cs="黑体"/>
        </w:rPr>
        <w:t>d)  当气温高于30℃时，应采取降温、隔热措施。</w:t>
      </w:r>
    </w:p>
    <w:p>
      <w:pPr>
        <w:pStyle w:val="65"/>
        <w:spacing w:before="156" w:after="156"/>
        <w:rPr>
          <w:rFonts w:hint="eastAsia" w:ascii="黑体" w:hAnsi="黑体" w:eastAsia="黑体" w:cs="黑体"/>
        </w:rPr>
      </w:pPr>
      <w:r>
        <w:rPr>
          <w:rFonts w:hint="eastAsia" w:ascii="黑体" w:hAnsi="黑体" w:eastAsia="黑体" w:cs="黑体"/>
        </w:rPr>
        <w:t>螺杆灌注桩钢筋笼制作、安装应符合下列规定：</w:t>
      </w:r>
    </w:p>
    <w:p>
      <w:pPr>
        <w:autoSpaceDE w:val="0"/>
        <w:ind w:firstLine="420" w:firstLineChars="200"/>
        <w:rPr>
          <w:rFonts w:hint="eastAsia" w:ascii="黑体" w:hAnsi="黑体" w:eastAsia="黑体" w:cs="黑体"/>
        </w:rPr>
      </w:pPr>
      <w:r>
        <w:rPr>
          <w:rFonts w:hint="eastAsia" w:ascii="黑体" w:hAnsi="黑体" w:eastAsia="黑体" w:cs="黑体"/>
        </w:rPr>
        <w:t>a)  钢筋笼的材质、尺寸应符合设计文件规定，制作允许偏差应符合表14的规定；</w:t>
      </w:r>
    </w:p>
    <w:p>
      <w:pPr>
        <w:pStyle w:val="112"/>
        <w:spacing w:before="156" w:after="156"/>
      </w:pPr>
      <w:r>
        <w:rPr>
          <w:rFonts w:hint="eastAsia"/>
        </w:rPr>
        <w:t>钢筋笼制作允许偏差</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667"/>
        <w:gridCol w:w="466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4667" w:type="dxa"/>
            <w:tcBorders>
              <w:top w:val="single" w:color="auto" w:sz="8" w:space="0"/>
              <w:bottom w:val="single" w:color="auto" w:sz="8" w:space="0"/>
            </w:tcBorders>
            <w:shd w:val="clear" w:color="auto" w:fill="auto"/>
            <w:vAlign w:val="center"/>
          </w:tcPr>
          <w:p>
            <w:pPr>
              <w:jc w:val="center"/>
              <w:rPr>
                <w:rFonts w:ascii="宋体" w:hAnsi="宋体"/>
              </w:rPr>
            </w:pPr>
            <w:r>
              <w:rPr>
                <w:rFonts w:hint="eastAsia" w:ascii="宋体" w:hAnsi="宋体"/>
              </w:rPr>
              <w:t>项目</w:t>
            </w:r>
          </w:p>
        </w:tc>
        <w:tc>
          <w:tcPr>
            <w:tcW w:w="4667" w:type="dxa"/>
            <w:tcBorders>
              <w:top w:val="single" w:color="auto" w:sz="8" w:space="0"/>
              <w:bottom w:val="single" w:color="auto" w:sz="8" w:space="0"/>
            </w:tcBorders>
            <w:shd w:val="clear" w:color="auto" w:fill="auto"/>
            <w:vAlign w:val="center"/>
          </w:tcPr>
          <w:p>
            <w:pPr>
              <w:jc w:val="center"/>
              <w:rPr>
                <w:rFonts w:ascii="宋体" w:hAnsi="宋体"/>
              </w:rPr>
            </w:pPr>
            <w:r>
              <w:rPr>
                <w:rFonts w:hint="eastAsia" w:ascii="宋体" w:hAnsi="宋体"/>
              </w:rPr>
              <w:t>允许偏差（mm）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tcBorders>
              <w:top w:val="single" w:color="auto" w:sz="8" w:space="0"/>
            </w:tcBorders>
            <w:shd w:val="clear" w:color="auto" w:fill="auto"/>
            <w:vAlign w:val="center"/>
          </w:tcPr>
          <w:p>
            <w:pPr>
              <w:jc w:val="center"/>
              <w:rPr>
                <w:rFonts w:ascii="宋体" w:hAnsi="宋体"/>
              </w:rPr>
            </w:pPr>
            <w:r>
              <w:rPr>
                <w:rFonts w:hint="eastAsia" w:ascii="宋体" w:hAnsi="宋体"/>
              </w:rPr>
              <w:t>主筋间距</w:t>
            </w:r>
          </w:p>
        </w:tc>
        <w:tc>
          <w:tcPr>
            <w:tcW w:w="4667" w:type="dxa"/>
            <w:tcBorders>
              <w:top w:val="single" w:color="auto" w:sz="8" w:space="0"/>
            </w:tcBorders>
            <w:shd w:val="clear" w:color="auto" w:fill="auto"/>
            <w:vAlign w:val="center"/>
          </w:tcPr>
          <w:p>
            <w:pPr>
              <w:jc w:val="center"/>
              <w:rPr>
                <w:rFonts w:ascii="宋体" w:hAnsi="宋体"/>
              </w:rPr>
            </w:pPr>
            <w:r>
              <w:rPr>
                <w:rFonts w:hint="eastAsia" w:ascii="宋体" w:hAnsi="宋体"/>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vAlign w:val="center"/>
          </w:tcPr>
          <w:p>
            <w:pPr>
              <w:jc w:val="center"/>
              <w:rPr>
                <w:rFonts w:ascii="宋体" w:hAnsi="宋体"/>
              </w:rPr>
            </w:pPr>
            <w:r>
              <w:rPr>
                <w:rFonts w:hint="eastAsia" w:ascii="宋体" w:hAnsi="宋体"/>
              </w:rPr>
              <w:t>箍筋间距</w:t>
            </w:r>
          </w:p>
        </w:tc>
        <w:tc>
          <w:tcPr>
            <w:tcW w:w="4667" w:type="dxa"/>
            <w:shd w:val="clear" w:color="auto" w:fill="auto"/>
            <w:vAlign w:val="center"/>
          </w:tcPr>
          <w:p>
            <w:pPr>
              <w:jc w:val="center"/>
              <w:rPr>
                <w:rFonts w:ascii="宋体" w:hAnsi="宋体"/>
              </w:rPr>
            </w:pPr>
            <w:r>
              <w:rPr>
                <w:rFonts w:hint="eastAsia" w:ascii="宋体" w:hAnsi="宋体"/>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4667" w:type="dxa"/>
            <w:shd w:val="clear" w:color="auto" w:fill="auto"/>
            <w:vAlign w:val="center"/>
          </w:tcPr>
          <w:p>
            <w:pPr>
              <w:jc w:val="center"/>
              <w:rPr>
                <w:rFonts w:ascii="宋体" w:hAnsi="宋体"/>
              </w:rPr>
            </w:pPr>
            <w:r>
              <w:rPr>
                <w:rFonts w:hint="eastAsia" w:ascii="宋体" w:hAnsi="宋体"/>
              </w:rPr>
              <w:t>钢筋笼直径</w:t>
            </w:r>
          </w:p>
        </w:tc>
        <w:tc>
          <w:tcPr>
            <w:tcW w:w="4667" w:type="dxa"/>
            <w:shd w:val="clear" w:color="auto" w:fill="auto"/>
            <w:vAlign w:val="center"/>
          </w:tcPr>
          <w:p>
            <w:pPr>
              <w:jc w:val="center"/>
              <w:rPr>
                <w:rFonts w:ascii="宋体" w:hAnsi="宋体"/>
              </w:rPr>
            </w:pPr>
            <w:r>
              <w:rPr>
                <w:rFonts w:hint="eastAsia" w:ascii="宋体" w:hAnsi="宋体"/>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vAlign w:val="center"/>
          </w:tcPr>
          <w:p>
            <w:pPr>
              <w:jc w:val="center"/>
              <w:rPr>
                <w:rFonts w:ascii="宋体" w:hAnsi="宋体"/>
              </w:rPr>
            </w:pPr>
            <w:r>
              <w:rPr>
                <w:rFonts w:hint="eastAsia" w:ascii="宋体" w:hAnsi="宋体"/>
              </w:rPr>
              <w:t>钢筋笼长度</w:t>
            </w:r>
          </w:p>
        </w:tc>
        <w:tc>
          <w:tcPr>
            <w:tcW w:w="4667" w:type="dxa"/>
            <w:shd w:val="clear" w:color="auto" w:fill="auto"/>
            <w:vAlign w:val="center"/>
          </w:tcPr>
          <w:p>
            <w:pPr>
              <w:jc w:val="center"/>
              <w:rPr>
                <w:rFonts w:ascii="宋体" w:hAnsi="宋体"/>
              </w:rPr>
            </w:pPr>
            <w:r>
              <w:rPr>
                <w:rFonts w:hint="eastAsia" w:ascii="宋体" w:hAnsi="宋体"/>
              </w:rPr>
              <w:t>±100</w:t>
            </w:r>
          </w:p>
        </w:tc>
      </w:tr>
    </w:tbl>
    <w:p>
      <w:pPr>
        <w:pStyle w:val="56"/>
        <w:ind w:firstLine="420"/>
      </w:pPr>
    </w:p>
    <w:p>
      <w:pPr>
        <w:autoSpaceDE w:val="0"/>
        <w:ind w:firstLine="420" w:firstLineChars="200"/>
        <w:rPr>
          <w:rFonts w:hint="eastAsia" w:ascii="黑体" w:hAnsi="黑体" w:eastAsia="黑体" w:cs="黑体"/>
        </w:rPr>
      </w:pPr>
      <w:r>
        <w:rPr>
          <w:rFonts w:hint="eastAsia" w:ascii="黑体" w:hAnsi="黑体" w:eastAsia="黑体" w:cs="黑体"/>
        </w:rPr>
        <w:t>b)  钢筋笼制作应符合国家现行JGJ 107、JGJ 18和GB 50204的有关规定；</w:t>
      </w:r>
    </w:p>
    <w:p>
      <w:pPr>
        <w:autoSpaceDE w:val="0"/>
        <w:ind w:firstLine="420" w:firstLineChars="200"/>
        <w:rPr>
          <w:rFonts w:hint="eastAsia" w:ascii="黑体" w:hAnsi="黑体" w:eastAsia="黑体" w:cs="黑体"/>
        </w:rPr>
      </w:pPr>
      <w:r>
        <w:rPr>
          <w:rFonts w:hint="eastAsia" w:ascii="黑体" w:hAnsi="黑体" w:eastAsia="黑体" w:cs="黑体"/>
        </w:rPr>
        <w:t>c)  螺旋箍筋与主筋应采用焊接，不得采用绑扎连接；</w:t>
      </w:r>
    </w:p>
    <w:p>
      <w:pPr>
        <w:autoSpaceDE w:val="0"/>
        <w:ind w:firstLine="420" w:firstLineChars="200"/>
        <w:rPr>
          <w:rFonts w:hint="eastAsia" w:ascii="黑体" w:hAnsi="黑体" w:eastAsia="黑体" w:cs="黑体"/>
        </w:rPr>
      </w:pPr>
      <w:r>
        <w:rPr>
          <w:rFonts w:hint="eastAsia" w:ascii="黑体" w:hAnsi="黑体" w:eastAsia="黑体" w:cs="黑体"/>
        </w:rPr>
        <w:t>d)  钢筋笼的加劲箍筋宜设在主筋内侧；</w:t>
      </w:r>
    </w:p>
    <w:p>
      <w:pPr>
        <w:autoSpaceDE w:val="0"/>
        <w:ind w:firstLine="420" w:firstLineChars="200"/>
        <w:rPr>
          <w:rFonts w:hint="eastAsia" w:ascii="黑体" w:hAnsi="黑体" w:eastAsia="黑体" w:cs="黑体"/>
        </w:rPr>
      </w:pPr>
      <w:r>
        <w:rPr>
          <w:rFonts w:hint="eastAsia" w:ascii="黑体" w:hAnsi="黑体" w:eastAsia="黑体" w:cs="黑体"/>
        </w:rPr>
        <w:t>e)  钢筋笼底部应收口，形成漏斗状；</w:t>
      </w:r>
    </w:p>
    <w:p>
      <w:pPr>
        <w:autoSpaceDE w:val="0"/>
        <w:ind w:firstLine="420" w:firstLineChars="200"/>
        <w:rPr>
          <w:rFonts w:hint="eastAsia" w:ascii="黑体" w:hAnsi="黑体" w:eastAsia="黑体" w:cs="黑体"/>
        </w:rPr>
      </w:pPr>
      <w:r>
        <w:rPr>
          <w:rFonts w:hint="eastAsia" w:ascii="黑体" w:hAnsi="黑体" w:eastAsia="黑体" w:cs="黑体"/>
        </w:rPr>
        <w:t>f)  钢筋笼应设置混凝土保护块或耳筋；</w:t>
      </w:r>
    </w:p>
    <w:p>
      <w:pPr>
        <w:autoSpaceDE w:val="0"/>
        <w:ind w:firstLine="420" w:firstLineChars="200"/>
        <w:rPr>
          <w:rFonts w:hint="eastAsia" w:ascii="黑体" w:hAnsi="黑体" w:eastAsia="黑体" w:cs="黑体"/>
        </w:rPr>
      </w:pPr>
      <w:r>
        <w:rPr>
          <w:rFonts w:hint="eastAsia" w:ascii="黑体" w:hAnsi="黑体" w:eastAsia="黑体" w:cs="黑体"/>
        </w:rPr>
        <w:t>g)  搬运和吊装钢筋笼时，应采取有效措施防止钢筋笼变形；</w:t>
      </w:r>
    </w:p>
    <w:p>
      <w:pPr>
        <w:autoSpaceDE w:val="0"/>
        <w:ind w:firstLine="420" w:firstLineChars="200"/>
        <w:rPr>
          <w:rFonts w:hint="eastAsia" w:ascii="黑体" w:hAnsi="黑体" w:eastAsia="黑体" w:cs="黑体"/>
        </w:rPr>
      </w:pPr>
      <w:r>
        <w:rPr>
          <w:rFonts w:hint="eastAsia" w:ascii="黑体" w:hAnsi="黑体" w:eastAsia="黑体" w:cs="黑体"/>
        </w:rPr>
        <w:t>h)  混凝土压灌结束后，应立即将钢筋笼对准孔位，插至设计深度；</w:t>
      </w:r>
    </w:p>
    <w:p>
      <w:pPr>
        <w:autoSpaceDE w:val="0"/>
        <w:ind w:left="945" w:leftChars="200" w:hanging="525" w:hangingChars="250"/>
        <w:rPr>
          <w:rFonts w:hint="eastAsia" w:ascii="黑体" w:hAnsi="黑体" w:eastAsia="黑体" w:cs="黑体"/>
        </w:rPr>
      </w:pPr>
      <w:r>
        <w:rPr>
          <w:rFonts w:hint="eastAsia" w:ascii="黑体" w:hAnsi="黑体" w:eastAsia="黑体" w:cs="黑体"/>
        </w:rPr>
        <w:t xml:space="preserve">i)  钢筋笼安装使用钻机副卷扬或吊车进行吊装，平板振动器上焊接大刚度钢管，钢管从钢筋笼内部伸入钢筋笼，将平板振动器的振动力传递至钢筋笼底部，将钢筋笼拉入桩体。 </w:t>
      </w:r>
    </w:p>
    <w:p>
      <w:pPr>
        <w:ind w:left="945" w:leftChars="200" w:hanging="525" w:hangingChars="250"/>
        <w:rPr>
          <w:rFonts w:hint="eastAsia" w:ascii="黑体" w:hAnsi="黑体" w:eastAsia="黑体" w:cs="黑体"/>
        </w:rPr>
      </w:pPr>
      <w:r>
        <w:rPr>
          <w:rFonts w:hint="eastAsia" w:ascii="黑体" w:hAnsi="黑体" w:eastAsia="黑体" w:cs="黑体"/>
        </w:rPr>
        <w:t>j)  大直径螺杆灌注桩钢筋笼内可根据设计要求放置声波检测管，声波检测管的安放应符合相关规定。</w:t>
      </w:r>
    </w:p>
    <w:p>
      <w:pPr>
        <w:pStyle w:val="56"/>
        <w:ind w:firstLine="420"/>
        <w:rPr>
          <w:rFonts w:hint="eastAsia" w:ascii="黑体" w:hAnsi="黑体" w:eastAsia="黑体" w:cs="黑体"/>
        </w:rPr>
      </w:pPr>
    </w:p>
    <w:p>
      <w:pPr>
        <w:pStyle w:val="65"/>
        <w:spacing w:before="156" w:after="156"/>
        <w:rPr>
          <w:rFonts w:hint="eastAsia" w:ascii="黑体" w:hAnsi="黑体" w:eastAsia="黑体" w:cs="黑体"/>
        </w:rPr>
      </w:pPr>
      <w:r>
        <w:rPr>
          <w:rFonts w:hint="eastAsia" w:ascii="黑体" w:hAnsi="黑体" w:eastAsia="黑体" w:cs="黑体"/>
        </w:rPr>
        <w:t>混凝土灌注须留混凝土试件，每灌注50m³混凝土应取1组试件；每个灌注台班灌注量不足50m³时应每个灌注台班取1组试件。</w:t>
      </w:r>
    </w:p>
    <w:p>
      <w:pPr>
        <w:pStyle w:val="65"/>
        <w:spacing w:before="156" w:after="156"/>
        <w:rPr>
          <w:rFonts w:hint="eastAsia" w:ascii="黑体" w:hAnsi="黑体" w:eastAsia="黑体" w:cs="黑体"/>
        </w:rPr>
      </w:pPr>
      <w:r>
        <w:rPr>
          <w:rFonts w:hint="eastAsia" w:ascii="黑体" w:hAnsi="黑体" w:eastAsia="黑体" w:cs="黑体"/>
        </w:rPr>
        <w:t>清土和截桩时，不得造成桩顶标高以下桩身断裂或桩间土扰动。</w:t>
      </w:r>
    </w:p>
    <w:p>
      <w:pPr>
        <w:pStyle w:val="65"/>
        <w:spacing w:before="156" w:after="156"/>
        <w:rPr>
          <w:rFonts w:hint="eastAsia" w:ascii="黑体" w:hAnsi="黑体" w:eastAsia="黑体" w:cs="黑体"/>
        </w:rPr>
      </w:pPr>
      <w:r>
        <w:rPr>
          <w:rFonts w:hint="eastAsia" w:ascii="黑体" w:hAnsi="黑体" w:eastAsia="黑体" w:cs="黑体"/>
        </w:rPr>
        <w:t>当基桩龄期达14天后方可破除桩头，素混凝土桩可用手提切割锯割除桩头，钢筋混凝土桩宜采用专门的机械，也可采用风镐将桩头凿至设计标高，严禁横向锤击桩头。</w:t>
      </w:r>
    </w:p>
    <w:p>
      <w:pPr>
        <w:pStyle w:val="65"/>
        <w:spacing w:before="156" w:after="156"/>
        <w:rPr>
          <w:rFonts w:hint="eastAsia" w:ascii="黑体" w:hAnsi="黑体" w:eastAsia="黑体" w:cs="黑体"/>
        </w:rPr>
      </w:pPr>
      <w:r>
        <w:rPr>
          <w:rFonts w:hint="eastAsia" w:ascii="黑体" w:hAnsi="黑体" w:eastAsia="黑体" w:cs="黑体"/>
        </w:rPr>
        <w:t>褥垫层铺设宜采用静力压实法，当基础底面下桩间土的含水量较低时，也可采用动力夯实法，夯填度不应大于0.9。</w:t>
      </w:r>
    </w:p>
    <w:p>
      <w:pPr>
        <w:pStyle w:val="65"/>
        <w:spacing w:before="156" w:after="156"/>
        <w:rPr>
          <w:rFonts w:hint="eastAsia" w:ascii="黑体" w:hAnsi="黑体" w:eastAsia="黑体" w:cs="黑体"/>
        </w:rPr>
      </w:pPr>
      <w:r>
        <w:rPr>
          <w:rFonts w:hint="eastAsia" w:ascii="黑体" w:hAnsi="黑体" w:eastAsia="黑体" w:cs="黑体"/>
        </w:rPr>
        <w:t>在施工过程中应按本规程附录G、附录H要求做好记录。</w:t>
      </w:r>
    </w:p>
    <w:p>
      <w:pPr>
        <w:pStyle w:val="104"/>
        <w:spacing w:before="312" w:after="312"/>
        <w:rPr>
          <w:rFonts w:hint="eastAsia" w:ascii="黑体" w:hAnsi="黑体" w:eastAsia="黑体" w:cs="黑体"/>
        </w:rPr>
      </w:pPr>
      <w:bookmarkStart w:id="196" w:name="_Toc18109"/>
      <w:r>
        <w:rPr>
          <w:rFonts w:hint="eastAsia" w:ascii="黑体" w:hAnsi="黑体" w:eastAsia="黑体" w:cs="黑体"/>
          <w:bCs/>
        </w:rPr>
        <w:t>质量检验与验收</w:t>
      </w:r>
      <w:bookmarkEnd w:id="196"/>
    </w:p>
    <w:p>
      <w:pPr>
        <w:pStyle w:val="105"/>
        <w:spacing w:before="156" w:after="156"/>
        <w:rPr>
          <w:rFonts w:hint="eastAsia" w:ascii="黑体" w:hAnsi="黑体" w:eastAsia="黑体" w:cs="黑体"/>
        </w:rPr>
      </w:pPr>
      <w:bookmarkStart w:id="197" w:name="_Toc7912"/>
      <w:r>
        <w:rPr>
          <w:rFonts w:hint="eastAsia" w:ascii="黑体" w:hAnsi="黑体" w:eastAsia="黑体" w:cs="黑体"/>
        </w:rPr>
        <w:t>一般规定</w:t>
      </w:r>
      <w:bookmarkEnd w:id="197"/>
    </w:p>
    <w:p>
      <w:pPr>
        <w:pStyle w:val="65"/>
        <w:spacing w:before="156" w:after="156"/>
        <w:rPr>
          <w:rFonts w:hint="eastAsia" w:ascii="黑体" w:hAnsi="黑体" w:eastAsia="黑体" w:cs="黑体"/>
        </w:rPr>
      </w:pPr>
      <w:r>
        <w:rPr>
          <w:rFonts w:hint="eastAsia" w:ascii="黑体" w:hAnsi="黑体" w:eastAsia="黑体" w:cs="黑体"/>
        </w:rPr>
        <w:t>桩基工程应进行桩位、桩长、桩径、桩身质量、承载力的检验。</w:t>
      </w:r>
    </w:p>
    <w:p>
      <w:pPr>
        <w:pStyle w:val="65"/>
        <w:spacing w:before="156" w:after="156"/>
        <w:rPr>
          <w:rFonts w:hint="eastAsia" w:ascii="黑体" w:hAnsi="黑体" w:eastAsia="黑体" w:cs="黑体"/>
        </w:rPr>
      </w:pPr>
      <w:r>
        <w:rPr>
          <w:rFonts w:hint="eastAsia" w:ascii="黑体" w:hAnsi="黑体" w:eastAsia="黑体" w:cs="黑体"/>
        </w:rPr>
        <w:t>桩基工程的检验应按时间顺序分为施工前检验、施工过程检验和施工后检验三个阶段。</w:t>
      </w:r>
    </w:p>
    <w:p>
      <w:pPr>
        <w:pStyle w:val="65"/>
        <w:spacing w:before="156" w:after="156"/>
        <w:rPr>
          <w:rFonts w:hint="eastAsia" w:ascii="黑体" w:hAnsi="黑体" w:eastAsia="黑体" w:cs="黑体"/>
        </w:rPr>
      </w:pPr>
      <w:r>
        <w:rPr>
          <w:rFonts w:hint="eastAsia" w:ascii="黑体" w:hAnsi="黑体" w:eastAsia="黑体" w:cs="黑体"/>
        </w:rPr>
        <w:t>对砂、石子、水泥、钢材等桩体原材料质量的检验项目和方法应符合湖北省现行有关标准的规定。</w:t>
      </w:r>
    </w:p>
    <w:p>
      <w:pPr>
        <w:pStyle w:val="105"/>
        <w:spacing w:before="156" w:after="156"/>
        <w:rPr>
          <w:rFonts w:hint="eastAsia" w:ascii="黑体" w:hAnsi="黑体" w:eastAsia="黑体" w:cs="黑体"/>
        </w:rPr>
      </w:pPr>
      <w:bookmarkStart w:id="198" w:name="_Toc16036"/>
      <w:r>
        <w:rPr>
          <w:rFonts w:hint="eastAsia" w:ascii="黑体" w:hAnsi="黑体" w:eastAsia="黑体" w:cs="黑体"/>
        </w:rPr>
        <w:t>施工前检验</w:t>
      </w:r>
      <w:bookmarkEnd w:id="198"/>
    </w:p>
    <w:p>
      <w:pPr>
        <w:pStyle w:val="65"/>
        <w:spacing w:before="156" w:after="156"/>
        <w:rPr>
          <w:rFonts w:hint="eastAsia" w:ascii="黑体" w:hAnsi="黑体" w:eastAsia="黑体" w:cs="黑体"/>
        </w:rPr>
      </w:pPr>
      <w:r>
        <w:rPr>
          <w:rFonts w:hint="eastAsia" w:ascii="黑体" w:hAnsi="黑体" w:eastAsia="黑体" w:cs="黑体"/>
        </w:rPr>
        <w:t>施工前必须对桩位进行复测。</w:t>
      </w:r>
    </w:p>
    <w:p>
      <w:pPr>
        <w:pStyle w:val="65"/>
        <w:spacing w:before="156" w:after="156"/>
        <w:rPr>
          <w:rFonts w:hint="eastAsia" w:ascii="黑体" w:hAnsi="黑体" w:eastAsia="黑体" w:cs="黑体"/>
        </w:rPr>
      </w:pPr>
      <w:r>
        <w:rPr>
          <w:rFonts w:hint="eastAsia" w:ascii="黑体" w:hAnsi="黑体" w:eastAsia="黑体" w:cs="黑体"/>
        </w:rPr>
        <w:t>施工前应进行下列检验：</w:t>
      </w:r>
    </w:p>
    <w:p>
      <w:pPr>
        <w:autoSpaceDE w:val="0"/>
        <w:ind w:firstLine="420" w:firstLineChars="200"/>
        <w:rPr>
          <w:rFonts w:hint="eastAsia" w:ascii="黑体" w:hAnsi="黑体" w:eastAsia="黑体" w:cs="黑体"/>
        </w:rPr>
      </w:pPr>
      <w:r>
        <w:rPr>
          <w:rFonts w:hint="eastAsia" w:ascii="黑体" w:hAnsi="黑体" w:eastAsia="黑体" w:cs="黑体"/>
        </w:rPr>
        <w:t>a)  应对拌制混凝土的原材料的质量与计量、混凝土配合比、坍落度等进行检查；商品混凝土应有合格证和搅拌站提供的质量检查资料。</w:t>
      </w:r>
    </w:p>
    <w:p>
      <w:pPr>
        <w:autoSpaceDE w:val="0"/>
        <w:ind w:firstLine="420" w:firstLineChars="200"/>
        <w:rPr>
          <w:rFonts w:hint="eastAsia" w:ascii="黑体" w:hAnsi="黑体" w:eastAsia="黑体" w:cs="黑体"/>
        </w:rPr>
      </w:pPr>
      <w:r>
        <w:rPr>
          <w:rFonts w:hint="eastAsia" w:ascii="黑体" w:hAnsi="黑体" w:eastAsia="黑体" w:cs="黑体"/>
        </w:rPr>
        <w:t>b)  应对钢筋规格、焊条规格、品种、焊口规格、焊缝长度、焊缝外观和质量、主筋和箍筋的制作偏差进行检查。</w:t>
      </w:r>
    </w:p>
    <w:p>
      <w:pPr>
        <w:pStyle w:val="65"/>
        <w:spacing w:before="156" w:after="156"/>
        <w:rPr>
          <w:rFonts w:hint="eastAsia" w:ascii="黑体" w:hAnsi="黑体" w:eastAsia="黑体" w:cs="黑体"/>
        </w:rPr>
      </w:pPr>
      <w:r>
        <w:rPr>
          <w:rFonts w:hint="eastAsia" w:ascii="黑体" w:hAnsi="黑体" w:eastAsia="黑体" w:cs="黑体"/>
        </w:rPr>
        <w:t>施工前应先做试验桩。试验桩检测应依据设计要求确定的基桩受力状态采用相对应的载荷试验方法确定单桩极限承载力标准值；试验桩数量在同一条件下不应少于3根；当预计工程桩总数小于50根时，试验桩数量不应少于2根。</w:t>
      </w:r>
    </w:p>
    <w:p>
      <w:pPr>
        <w:pStyle w:val="105"/>
        <w:spacing w:before="156" w:after="156"/>
        <w:rPr>
          <w:rFonts w:hint="eastAsia" w:ascii="黑体" w:hAnsi="黑体" w:eastAsia="黑体" w:cs="黑体"/>
        </w:rPr>
      </w:pPr>
      <w:bookmarkStart w:id="199" w:name="_Toc14886"/>
      <w:r>
        <w:rPr>
          <w:rFonts w:hint="eastAsia" w:ascii="黑体" w:hAnsi="黑体" w:eastAsia="黑体" w:cs="黑体"/>
        </w:rPr>
        <w:t>施工过程检验</w:t>
      </w:r>
      <w:bookmarkEnd w:id="199"/>
    </w:p>
    <w:p>
      <w:pPr>
        <w:pStyle w:val="65"/>
        <w:spacing w:before="156" w:after="156"/>
        <w:rPr>
          <w:rFonts w:hint="eastAsia" w:ascii="黑体" w:hAnsi="黑体" w:eastAsia="黑体" w:cs="黑体"/>
        </w:rPr>
      </w:pPr>
      <w:r>
        <w:rPr>
          <w:rFonts w:hint="eastAsia" w:ascii="黑体" w:hAnsi="黑体" w:eastAsia="黑体" w:cs="黑体"/>
        </w:rPr>
        <w:t>施工过程中应进行下列检验：</w:t>
      </w:r>
    </w:p>
    <w:p>
      <w:pPr>
        <w:autoSpaceDE w:val="0"/>
        <w:ind w:firstLine="420" w:firstLineChars="200"/>
        <w:outlineLvl w:val="0"/>
        <w:rPr>
          <w:rFonts w:hint="eastAsia" w:ascii="黑体" w:hAnsi="黑体" w:eastAsia="黑体" w:cs="黑体"/>
        </w:rPr>
      </w:pPr>
      <w:r>
        <w:rPr>
          <w:rFonts w:hint="eastAsia" w:ascii="黑体" w:hAnsi="黑体" w:eastAsia="黑体" w:cs="黑体"/>
        </w:rPr>
        <w:t>a)  灌注混凝土前，应对已成孔的孔深和垂直度进行检验；</w:t>
      </w:r>
    </w:p>
    <w:p>
      <w:pPr>
        <w:autoSpaceDE w:val="0"/>
        <w:ind w:firstLine="420" w:firstLineChars="200"/>
        <w:rPr>
          <w:rFonts w:hint="eastAsia" w:ascii="黑体" w:hAnsi="黑体" w:eastAsia="黑体" w:cs="黑体"/>
        </w:rPr>
      </w:pPr>
      <w:r>
        <w:rPr>
          <w:rFonts w:hint="eastAsia" w:ascii="黑体" w:hAnsi="黑体" w:eastAsia="黑体" w:cs="黑体"/>
        </w:rPr>
        <w:t>b)  应对钢筋笼安放的实际位置进行检查，并填写相应质量检测、检查记录；</w:t>
      </w:r>
    </w:p>
    <w:p>
      <w:pPr>
        <w:autoSpaceDE w:val="0"/>
        <w:ind w:firstLine="420" w:firstLineChars="200"/>
        <w:rPr>
          <w:rFonts w:hint="eastAsia" w:ascii="黑体" w:hAnsi="黑体" w:eastAsia="黑体" w:cs="黑体"/>
        </w:rPr>
      </w:pPr>
      <w:r>
        <w:rPr>
          <w:rFonts w:hint="eastAsia" w:ascii="黑体" w:hAnsi="黑体" w:eastAsia="黑体" w:cs="黑体"/>
        </w:rPr>
        <w:t>c)  混凝土灌注应检查单桩灌注方量，记录灌注完成时间，计算充盈系数。</w:t>
      </w:r>
    </w:p>
    <w:p>
      <w:pPr>
        <w:pStyle w:val="65"/>
        <w:spacing w:before="156" w:after="156"/>
      </w:pPr>
      <w:r>
        <w:rPr>
          <w:rFonts w:hint="eastAsia"/>
        </w:rPr>
        <w:t>复合地基褥垫层材料应进行检验。</w:t>
      </w:r>
    </w:p>
    <w:p>
      <w:pPr>
        <w:pStyle w:val="105"/>
        <w:spacing w:before="156" w:after="156"/>
      </w:pPr>
      <w:bookmarkStart w:id="200" w:name="_Toc32048"/>
      <w:r>
        <w:rPr>
          <w:rFonts w:hint="eastAsia"/>
        </w:rPr>
        <w:t>施工后检验</w:t>
      </w:r>
      <w:bookmarkEnd w:id="200"/>
    </w:p>
    <w:p>
      <w:pPr>
        <w:pStyle w:val="65"/>
        <w:spacing w:before="156" w:after="156"/>
      </w:pPr>
      <w:r>
        <w:rPr>
          <w:rFonts w:hint="eastAsia"/>
        </w:rPr>
        <w:t>施工完成后应按灌注桩基础或复合地基的要求检查桩位偏差和桩顶标高。</w:t>
      </w:r>
    </w:p>
    <w:p>
      <w:pPr>
        <w:pStyle w:val="65"/>
        <w:spacing w:before="156" w:after="156"/>
      </w:pPr>
      <w:r>
        <w:rPr>
          <w:rFonts w:hint="eastAsia"/>
        </w:rPr>
        <w:t>工程桩应进行承载力和桩身质量检验。</w:t>
      </w:r>
    </w:p>
    <w:p>
      <w:pPr>
        <w:pStyle w:val="65"/>
        <w:spacing w:before="156" w:after="156"/>
      </w:pPr>
      <w:r>
        <w:rPr>
          <w:rFonts w:hint="eastAsia"/>
        </w:rPr>
        <w:t>存在下列情况之一的桩基工程，应采用静载荷试验对工程桩单桩竖向承载力进行验收监测，检测数量应根据桩基设计等级，按现行DB42/242确定：</w:t>
      </w:r>
    </w:p>
    <w:p>
      <w:pPr>
        <w:autoSpaceDE w:val="0"/>
        <w:ind w:firstLine="420" w:firstLineChars="200"/>
        <w:rPr>
          <w:rFonts w:hint="eastAsia" w:ascii="黑体" w:hAnsi="黑体" w:eastAsia="黑体" w:cs="黑体"/>
        </w:rPr>
      </w:pPr>
      <w:r>
        <w:rPr>
          <w:rFonts w:hint="eastAsia" w:ascii="黑体" w:hAnsi="黑体" w:eastAsia="黑体" w:cs="黑体"/>
        </w:rPr>
        <w:t>a)  施工过程变更了工艺参数或施工质量出现异常；</w:t>
      </w:r>
    </w:p>
    <w:p>
      <w:pPr>
        <w:autoSpaceDE w:val="0"/>
        <w:ind w:firstLine="420" w:firstLineChars="200"/>
        <w:rPr>
          <w:rFonts w:hint="eastAsia" w:ascii="黑体" w:hAnsi="黑体" w:eastAsia="黑体" w:cs="黑体"/>
        </w:rPr>
      </w:pPr>
      <w:r>
        <w:rPr>
          <w:rFonts w:hint="eastAsia" w:ascii="黑体" w:hAnsi="黑体" w:eastAsia="黑体" w:cs="黑体"/>
        </w:rPr>
        <w:t>b)  地质条件复杂、桩的施工质量可靠性低；</w:t>
      </w:r>
    </w:p>
    <w:p>
      <w:pPr>
        <w:ind w:firstLine="420" w:firstLineChars="200"/>
        <w:rPr>
          <w:rFonts w:hint="eastAsia" w:ascii="黑体" w:hAnsi="黑体" w:eastAsia="黑体" w:cs="黑体"/>
        </w:rPr>
      </w:pPr>
      <w:r>
        <w:rPr>
          <w:rFonts w:hint="eastAsia" w:ascii="黑体" w:hAnsi="黑体" w:eastAsia="黑体" w:cs="黑体"/>
        </w:rPr>
        <w:t>c)  设计文件有明确的检测要求的。</w:t>
      </w:r>
    </w:p>
    <w:p>
      <w:pPr>
        <w:pStyle w:val="65"/>
        <w:spacing w:before="156" w:after="156"/>
      </w:pPr>
      <w:r>
        <w:rPr>
          <w:rFonts w:hint="eastAsia"/>
        </w:rPr>
        <w:t>除对桩身灌注时预留的混凝土试件进行强度等级检测外，尚应对桩身完整性进行现场检测。检测方法可采用动测法，对于大直径螺杆灌注桩还可采取钻芯法、声波透射法；检测数量应根据现行DB42/242确定。</w:t>
      </w:r>
    </w:p>
    <w:p>
      <w:pPr>
        <w:pStyle w:val="65"/>
        <w:spacing w:before="156" w:after="156"/>
      </w:pPr>
      <w:r>
        <w:rPr>
          <w:rFonts w:hint="eastAsia"/>
        </w:rPr>
        <w:t>复合地基承载力可采用复合地基静载荷试验、单桩静载荷试验确定，试验方法应按现行GB50007、JGJ79、DB42/242执行。</w:t>
      </w:r>
    </w:p>
    <w:p>
      <w:pPr>
        <w:pStyle w:val="105"/>
        <w:spacing w:before="156" w:after="156"/>
      </w:pPr>
      <w:bookmarkStart w:id="201" w:name="_Toc597"/>
      <w:r>
        <w:rPr>
          <w:rFonts w:hint="eastAsia"/>
        </w:rPr>
        <w:t>工程质量验收</w:t>
      </w:r>
      <w:bookmarkEnd w:id="201"/>
    </w:p>
    <w:p>
      <w:pPr>
        <w:pStyle w:val="65"/>
        <w:spacing w:before="156" w:after="156"/>
      </w:pPr>
      <w:r>
        <w:rPr>
          <w:rFonts w:hint="eastAsia"/>
        </w:rPr>
        <w:t>当桩顶设计标高与施工场地标高相近时，基桩的验收应待基桩施工完毕后进行；当桩顶设计标高低于施工场地标高时，应待开挖到设计标高后进行验收。</w:t>
      </w:r>
    </w:p>
    <w:p>
      <w:pPr>
        <w:pStyle w:val="65"/>
        <w:spacing w:before="156" w:after="156"/>
      </w:pPr>
      <w:r>
        <w:rPr>
          <w:rFonts w:hint="eastAsia"/>
        </w:rPr>
        <w:t>验收应包括下列资料：</w:t>
      </w:r>
    </w:p>
    <w:p>
      <w:pPr>
        <w:autoSpaceDE w:val="0"/>
        <w:ind w:firstLine="420" w:firstLineChars="200"/>
        <w:rPr>
          <w:rFonts w:hint="eastAsia" w:ascii="黑体" w:hAnsi="黑体" w:eastAsia="黑体" w:cs="黑体"/>
        </w:rPr>
      </w:pPr>
      <w:r>
        <w:rPr>
          <w:rFonts w:hint="eastAsia" w:ascii="黑体" w:hAnsi="黑体" w:eastAsia="黑体" w:cs="黑体"/>
        </w:rPr>
        <w:t>a)  岩土工程勘察报告、桩基施工图、图纸会审纪要、设计变更单及材料代用通知单等；</w:t>
      </w:r>
    </w:p>
    <w:p>
      <w:pPr>
        <w:autoSpaceDE w:val="0"/>
        <w:ind w:firstLine="420" w:firstLineChars="200"/>
        <w:rPr>
          <w:rFonts w:hint="eastAsia" w:ascii="黑体" w:hAnsi="黑体" w:eastAsia="黑体" w:cs="黑体"/>
        </w:rPr>
      </w:pPr>
      <w:r>
        <w:rPr>
          <w:rFonts w:hint="eastAsia" w:ascii="黑体" w:hAnsi="黑体" w:eastAsia="黑体" w:cs="黑体"/>
        </w:rPr>
        <w:t>b)  经审定的施工组织设计、施工方案及执行中的变更单；</w:t>
      </w:r>
    </w:p>
    <w:p>
      <w:pPr>
        <w:autoSpaceDE w:val="0"/>
        <w:ind w:firstLine="420" w:firstLineChars="200"/>
        <w:rPr>
          <w:rFonts w:hint="eastAsia" w:ascii="黑体" w:hAnsi="黑体" w:eastAsia="黑体" w:cs="黑体"/>
        </w:rPr>
      </w:pPr>
      <w:r>
        <w:rPr>
          <w:rFonts w:hint="eastAsia" w:ascii="黑体" w:hAnsi="黑体" w:eastAsia="黑体" w:cs="黑体"/>
        </w:rPr>
        <w:t>c)  桩位测量放线图，包括工程桩位线复核签证单；</w:t>
      </w:r>
    </w:p>
    <w:p>
      <w:pPr>
        <w:autoSpaceDE w:val="0"/>
        <w:ind w:firstLine="420" w:firstLineChars="200"/>
        <w:rPr>
          <w:rFonts w:hint="eastAsia" w:ascii="黑体" w:hAnsi="黑体" w:eastAsia="黑体" w:cs="黑体"/>
        </w:rPr>
      </w:pPr>
      <w:r>
        <w:rPr>
          <w:rFonts w:hint="eastAsia" w:ascii="黑体" w:hAnsi="黑体" w:eastAsia="黑体" w:cs="黑体"/>
        </w:rPr>
        <w:t>d)  原材料的质量合格证和检验报告；</w:t>
      </w:r>
    </w:p>
    <w:p>
      <w:pPr>
        <w:autoSpaceDE w:val="0"/>
        <w:ind w:firstLine="420" w:firstLineChars="200"/>
        <w:rPr>
          <w:rFonts w:hint="eastAsia" w:ascii="黑体" w:hAnsi="黑体" w:eastAsia="黑体" w:cs="黑体"/>
        </w:rPr>
      </w:pPr>
      <w:r>
        <w:rPr>
          <w:rFonts w:hint="eastAsia" w:ascii="黑体" w:hAnsi="黑体" w:eastAsia="黑体" w:cs="黑体"/>
        </w:rPr>
        <w:t>e)  施工记录及隐蔽工程验收文件；</w:t>
      </w:r>
    </w:p>
    <w:p>
      <w:pPr>
        <w:autoSpaceDE w:val="0"/>
        <w:ind w:firstLine="420" w:firstLineChars="200"/>
        <w:rPr>
          <w:rFonts w:hint="eastAsia" w:ascii="黑体" w:hAnsi="黑体" w:eastAsia="黑体" w:cs="黑体"/>
        </w:rPr>
      </w:pPr>
      <w:r>
        <w:rPr>
          <w:rFonts w:hint="eastAsia" w:ascii="黑体" w:hAnsi="黑体" w:eastAsia="黑体" w:cs="黑体"/>
        </w:rPr>
        <w:t>f)  成桩质量检查报告；</w:t>
      </w:r>
    </w:p>
    <w:p>
      <w:pPr>
        <w:autoSpaceDE w:val="0"/>
        <w:ind w:firstLine="420" w:firstLineChars="200"/>
        <w:rPr>
          <w:rFonts w:hint="eastAsia" w:ascii="黑体" w:hAnsi="黑体" w:eastAsia="黑体" w:cs="黑体"/>
        </w:rPr>
      </w:pPr>
      <w:r>
        <w:rPr>
          <w:rFonts w:hint="eastAsia" w:ascii="黑体" w:hAnsi="黑体" w:eastAsia="黑体" w:cs="黑体"/>
        </w:rPr>
        <w:t>g)  单桩承载力、复合地基承载力检测报告；</w:t>
      </w:r>
    </w:p>
    <w:p>
      <w:pPr>
        <w:autoSpaceDE w:val="0"/>
        <w:ind w:firstLine="420" w:firstLineChars="200"/>
        <w:rPr>
          <w:rFonts w:hint="eastAsia" w:ascii="黑体" w:hAnsi="黑体" w:eastAsia="黑体" w:cs="黑体"/>
        </w:rPr>
      </w:pPr>
      <w:r>
        <w:rPr>
          <w:rFonts w:hint="eastAsia" w:ascii="黑体" w:hAnsi="黑体" w:eastAsia="黑体" w:cs="黑体"/>
        </w:rPr>
        <w:t>h)  基桩竣工平面图及桩顶标高图；</w:t>
      </w:r>
    </w:p>
    <w:p>
      <w:pPr>
        <w:autoSpaceDE w:val="0"/>
        <w:ind w:firstLine="420" w:firstLineChars="200"/>
        <w:rPr>
          <w:rFonts w:hint="eastAsia" w:ascii="黑体" w:hAnsi="黑体" w:eastAsia="黑体" w:cs="黑体"/>
        </w:rPr>
      </w:pPr>
      <w:r>
        <w:rPr>
          <w:rFonts w:hint="eastAsia" w:ascii="黑体" w:hAnsi="黑体" w:eastAsia="黑体" w:cs="黑体"/>
        </w:rPr>
        <w:t>i)  其他必须提供的文件和记录。</w:t>
      </w:r>
    </w:p>
    <w:p>
      <w:pPr>
        <w:pStyle w:val="65"/>
        <w:spacing w:before="156" w:after="156"/>
      </w:pPr>
      <w:r>
        <w:rPr>
          <w:rFonts w:hint="eastAsia"/>
        </w:rPr>
        <w:t>螺杆灌注桩工程验收附符合本节规定外，尚应符合现行DB42/242的规定。</w:t>
      </w:r>
    </w:p>
    <w:p>
      <w:pPr>
        <w:pStyle w:val="56"/>
        <w:rPr>
          <w:rFonts w:hint="eastAsia"/>
        </w:rPr>
      </w:pPr>
    </w:p>
    <w:p>
      <w:pPr>
        <w:pStyle w:val="56"/>
        <w:rPr>
          <w:rFonts w:hint="eastAsia"/>
        </w:rPr>
      </w:pPr>
    </w:p>
    <w:p>
      <w:pPr>
        <w:pStyle w:val="56"/>
        <w:rPr>
          <w:rFonts w:hint="eastAsia"/>
        </w:rPr>
      </w:pPr>
    </w:p>
    <w:p>
      <w:pPr>
        <w:pStyle w:val="56"/>
        <w:rPr>
          <w:rFonts w:hint="eastAsia"/>
        </w:rPr>
      </w:pPr>
    </w:p>
    <w:p>
      <w:pPr>
        <w:pStyle w:val="56"/>
        <w:rPr>
          <w:rFonts w:hint="eastAsia"/>
        </w:rPr>
      </w:pPr>
    </w:p>
    <w:p>
      <w:pPr>
        <w:pStyle w:val="56"/>
        <w:rPr>
          <w:rFonts w:hint="eastAsia"/>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ind w:firstLine="0" w:firstLineChars="0"/>
        <w:jc w:val="center"/>
        <w:textAlignment w:val="auto"/>
        <w:outlineLvl w:val="0"/>
        <w:rPr>
          <w:rFonts w:hint="eastAsia" w:ascii="黑体" w:hAnsi="黑体" w:eastAsia="黑体" w:cs="黑体"/>
          <w:b w:val="0"/>
          <w:bCs/>
          <w:snapToGrid w:val="0"/>
          <w:color w:val="auto"/>
          <w:sz w:val="21"/>
          <w:szCs w:val="21"/>
        </w:rPr>
      </w:pPr>
      <w:bookmarkStart w:id="202" w:name="_Toc24848"/>
      <w:bookmarkStart w:id="203" w:name="_Toc21347"/>
      <w:r>
        <w:rPr>
          <w:rFonts w:hint="eastAsia" w:ascii="黑体" w:hAnsi="黑体" w:eastAsia="黑体" w:cs="黑体"/>
          <w:b w:val="0"/>
          <w:bCs/>
          <w:snapToGrid w:val="0"/>
          <w:color w:val="auto"/>
          <w:sz w:val="21"/>
          <w:szCs w:val="21"/>
        </w:rPr>
        <w:t>本</w:t>
      </w:r>
      <w:r>
        <w:rPr>
          <w:rFonts w:hint="eastAsia" w:ascii="黑体" w:hAnsi="黑体" w:eastAsia="黑体" w:cs="黑体"/>
          <w:b w:val="0"/>
          <w:bCs/>
          <w:snapToGrid w:val="0"/>
          <w:color w:val="auto"/>
          <w:sz w:val="21"/>
          <w:szCs w:val="21"/>
          <w:lang w:eastAsia="zh-CN"/>
        </w:rPr>
        <w:t>标准</w:t>
      </w:r>
      <w:r>
        <w:rPr>
          <w:rFonts w:hint="eastAsia" w:ascii="黑体" w:hAnsi="黑体" w:eastAsia="黑体" w:cs="黑体"/>
          <w:b w:val="0"/>
          <w:bCs/>
          <w:snapToGrid w:val="0"/>
          <w:color w:val="auto"/>
          <w:sz w:val="21"/>
          <w:szCs w:val="21"/>
        </w:rPr>
        <w:t>用词用语说明</w:t>
      </w:r>
      <w:bookmarkEnd w:id="202"/>
      <w:bookmarkEnd w:id="203"/>
    </w:p>
    <w:p>
      <w:pPr>
        <w:ind w:firstLine="560"/>
        <w:jc w:val="center"/>
        <w:rPr>
          <w:rFonts w:ascii="宋体" w:hAnsi="宋体"/>
          <w:color w:val="auto"/>
          <w:sz w:val="28"/>
          <w:szCs w:val="28"/>
        </w:rPr>
      </w:pPr>
    </w:p>
    <w:p>
      <w:pPr>
        <w:ind w:firstLine="0" w:firstLineChars="0"/>
        <w:rPr>
          <w:rFonts w:hint="eastAsia" w:ascii="黑体" w:hAnsi="黑体" w:eastAsia="黑体" w:cs="黑体"/>
          <w:color w:val="auto"/>
        </w:rPr>
      </w:pPr>
      <w:r>
        <w:rPr>
          <w:rFonts w:hint="eastAsia" w:ascii="黑体" w:hAnsi="黑体" w:eastAsia="黑体" w:cs="黑体"/>
          <w:color w:val="auto"/>
        </w:rPr>
        <w:t>1  为了便于在执行本</w:t>
      </w:r>
      <w:r>
        <w:rPr>
          <w:rFonts w:hint="eastAsia" w:ascii="黑体" w:hAnsi="黑体" w:eastAsia="黑体" w:cs="黑体"/>
          <w:color w:val="auto"/>
          <w:lang w:eastAsia="zh-CN"/>
        </w:rPr>
        <w:t>标准</w:t>
      </w:r>
      <w:r>
        <w:rPr>
          <w:rFonts w:hint="eastAsia" w:ascii="黑体" w:hAnsi="黑体" w:eastAsia="黑体" w:cs="黑体"/>
          <w:color w:val="auto"/>
        </w:rPr>
        <w:t>条文时区别对待，对要求严格程度不同的用词说明如下：</w:t>
      </w:r>
    </w:p>
    <w:p>
      <w:pPr>
        <w:ind w:firstLine="0" w:firstLineChars="0"/>
        <w:rPr>
          <w:rFonts w:hint="eastAsia" w:ascii="黑体" w:hAnsi="黑体" w:eastAsia="黑体" w:cs="黑体"/>
          <w:color w:val="auto"/>
        </w:rPr>
      </w:pPr>
      <w:r>
        <w:rPr>
          <w:rFonts w:hint="eastAsia" w:ascii="黑体" w:hAnsi="黑体" w:eastAsia="黑体" w:cs="黑体"/>
          <w:color w:val="auto"/>
        </w:rPr>
        <w:t xml:space="preserve">       1）表示很严格，非这样做不可的用词：</w:t>
      </w:r>
    </w:p>
    <w:p>
      <w:pPr>
        <w:ind w:firstLine="0" w:firstLineChars="0"/>
        <w:rPr>
          <w:rFonts w:hint="eastAsia" w:ascii="黑体" w:hAnsi="黑体" w:eastAsia="黑体" w:cs="黑体"/>
          <w:color w:val="auto"/>
        </w:rPr>
      </w:pPr>
      <w:r>
        <w:rPr>
          <w:rFonts w:hint="eastAsia" w:ascii="黑体" w:hAnsi="黑体" w:eastAsia="黑体" w:cs="黑体"/>
          <w:color w:val="auto"/>
        </w:rPr>
        <w:t xml:space="preserve">          正面词采用“必须”；反面词采用“严禁”。</w:t>
      </w:r>
    </w:p>
    <w:p>
      <w:pPr>
        <w:ind w:firstLine="0" w:firstLineChars="0"/>
        <w:rPr>
          <w:rFonts w:hint="eastAsia" w:ascii="黑体" w:hAnsi="黑体" w:eastAsia="黑体" w:cs="黑体"/>
          <w:color w:val="auto"/>
        </w:rPr>
      </w:pPr>
      <w:r>
        <w:rPr>
          <w:rFonts w:hint="eastAsia" w:ascii="黑体" w:hAnsi="黑体" w:eastAsia="黑体" w:cs="黑体"/>
          <w:color w:val="auto"/>
        </w:rPr>
        <w:t xml:space="preserve">       2）表示严格，在正常情况下均应这样做的用词：</w:t>
      </w:r>
    </w:p>
    <w:p>
      <w:pPr>
        <w:ind w:firstLine="0" w:firstLineChars="0"/>
        <w:rPr>
          <w:rFonts w:hint="eastAsia" w:ascii="黑体" w:hAnsi="黑体" w:eastAsia="黑体" w:cs="黑体"/>
          <w:color w:val="auto"/>
        </w:rPr>
      </w:pPr>
      <w:r>
        <w:rPr>
          <w:rFonts w:hint="eastAsia" w:ascii="黑体" w:hAnsi="黑体" w:eastAsia="黑体" w:cs="黑体"/>
          <w:color w:val="auto"/>
        </w:rPr>
        <w:t xml:space="preserve">          正面词采用“应”；反面词采用“不应”或“不得”。</w:t>
      </w:r>
    </w:p>
    <w:p>
      <w:pPr>
        <w:ind w:firstLine="0" w:firstLineChars="0"/>
        <w:rPr>
          <w:rFonts w:hint="eastAsia" w:ascii="黑体" w:hAnsi="黑体" w:eastAsia="黑体" w:cs="黑体"/>
          <w:color w:val="auto"/>
        </w:rPr>
      </w:pPr>
      <w:r>
        <w:rPr>
          <w:rFonts w:hint="eastAsia" w:ascii="黑体" w:hAnsi="黑体" w:eastAsia="黑体" w:cs="黑体"/>
          <w:color w:val="auto"/>
        </w:rPr>
        <w:t xml:space="preserve">       3）表示允许稍有选择，在条件许可时首先这样做的用词：</w:t>
      </w:r>
    </w:p>
    <w:p>
      <w:pPr>
        <w:ind w:firstLine="0" w:firstLineChars="0"/>
        <w:rPr>
          <w:rFonts w:hint="eastAsia" w:ascii="黑体" w:hAnsi="黑体" w:eastAsia="黑体" w:cs="黑体"/>
          <w:color w:val="auto"/>
        </w:rPr>
      </w:pPr>
      <w:r>
        <w:rPr>
          <w:rFonts w:hint="eastAsia" w:ascii="黑体" w:hAnsi="黑体" w:eastAsia="黑体" w:cs="黑体"/>
          <w:color w:val="auto"/>
        </w:rPr>
        <w:t xml:space="preserve">          正面词采用“宜”，反面词采用“不宜”；</w:t>
      </w:r>
    </w:p>
    <w:p>
      <w:pPr>
        <w:ind w:firstLine="0" w:firstLineChars="0"/>
        <w:rPr>
          <w:rFonts w:hint="eastAsia" w:ascii="黑体" w:hAnsi="黑体" w:eastAsia="黑体" w:cs="黑体"/>
          <w:color w:val="auto"/>
        </w:rPr>
      </w:pPr>
      <w:r>
        <w:rPr>
          <w:rFonts w:hint="eastAsia" w:ascii="黑体" w:hAnsi="黑体" w:eastAsia="黑体" w:cs="黑体"/>
          <w:color w:val="auto"/>
        </w:rPr>
        <w:t xml:space="preserve">          表示有选择，在一定条件下可以这样做的，采用“可”。</w:t>
      </w:r>
    </w:p>
    <w:p>
      <w:pPr>
        <w:ind w:firstLine="0" w:firstLineChars="0"/>
        <w:rPr>
          <w:rFonts w:hint="eastAsia" w:ascii="黑体" w:hAnsi="黑体" w:eastAsia="黑体" w:cs="黑体"/>
          <w:color w:val="auto"/>
        </w:rPr>
      </w:pPr>
      <w:r>
        <w:rPr>
          <w:rFonts w:hint="eastAsia" w:ascii="黑体" w:hAnsi="黑体" w:eastAsia="黑体" w:cs="黑体"/>
          <w:color w:val="auto"/>
        </w:rPr>
        <w:t>2  规程中指定应按其他有关标准、规范执行时，写法为：“应符合……的规定”或“应按……执行。</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黑体" w:eastAsia="黑体" w:cs="黑体"/>
          <w:color w:val="auto"/>
          <w:sz w:val="21"/>
          <w:szCs w:val="21"/>
        </w:rPr>
      </w:pPr>
    </w:p>
    <w:p>
      <w:pPr>
        <w:pStyle w:val="56"/>
        <w:rPr>
          <w:rFonts w:hint="eastAsia"/>
        </w:rPr>
      </w:pPr>
    </w:p>
    <w:p>
      <w:pPr>
        <w:pStyle w:val="56"/>
        <w:rPr>
          <w:rFonts w:hint="eastAsia"/>
        </w:rPr>
      </w:pPr>
    </w:p>
    <w:p>
      <w:pPr>
        <w:pStyle w:val="56"/>
        <w:rPr>
          <w:rFonts w:hint="eastAsia"/>
        </w:rPr>
      </w:pPr>
    </w:p>
    <w:p>
      <w:pPr>
        <w:pStyle w:val="56"/>
        <w:rPr>
          <w:rFonts w:hint="eastAsia"/>
        </w:rPr>
      </w:pPr>
    </w:p>
    <w:p>
      <w:pPr>
        <w:pStyle w:val="56"/>
        <w:rPr>
          <w:rFonts w:hint="eastAsia"/>
        </w:rPr>
      </w:pPr>
    </w:p>
    <w:p>
      <w:pPr>
        <w:pStyle w:val="56"/>
        <w:rPr>
          <w:rFonts w:hint="eastAsia"/>
        </w:rPr>
      </w:pPr>
    </w:p>
    <w:p>
      <w:pPr>
        <w:pStyle w:val="56"/>
        <w:rPr>
          <w:rFonts w:hint="eastAsia"/>
        </w:rPr>
      </w:pPr>
    </w:p>
    <w:p>
      <w:pPr>
        <w:pStyle w:val="56"/>
        <w:rPr>
          <w:rFonts w:hint="eastAsia"/>
        </w:rPr>
      </w:pPr>
    </w:p>
    <w:p>
      <w:pPr>
        <w:pStyle w:val="56"/>
        <w:rPr>
          <w:rFonts w:hint="eastAsia"/>
        </w:rPr>
      </w:pPr>
    </w:p>
    <w:p>
      <w:pPr>
        <w:pStyle w:val="56"/>
        <w:rPr>
          <w:rFonts w:hint="eastAsia"/>
        </w:rPr>
      </w:pPr>
    </w:p>
    <w:p>
      <w:pPr>
        <w:pStyle w:val="56"/>
        <w:rPr>
          <w:rFonts w:hint="eastAsia"/>
        </w:rPr>
      </w:pPr>
    </w:p>
    <w:p>
      <w:pPr>
        <w:pStyle w:val="56"/>
        <w:rPr>
          <w:rFonts w:hint="eastAsia"/>
        </w:rPr>
      </w:pPr>
    </w:p>
    <w:p>
      <w:pPr>
        <w:pStyle w:val="56"/>
        <w:rPr>
          <w:rFonts w:hint="eastAsia"/>
        </w:rPr>
      </w:pPr>
    </w:p>
    <w:p>
      <w:pPr>
        <w:pStyle w:val="56"/>
        <w:rPr>
          <w:rFonts w:hint="eastAsia"/>
        </w:rPr>
      </w:pPr>
    </w:p>
    <w:p>
      <w:pPr>
        <w:pStyle w:val="56"/>
        <w:rPr>
          <w:rFonts w:hint="eastAsia"/>
        </w:rPr>
      </w:pPr>
    </w:p>
    <w:p>
      <w:pPr>
        <w:pStyle w:val="56"/>
        <w:rPr>
          <w:rFonts w:hint="eastAsia"/>
        </w:rPr>
      </w:pPr>
    </w:p>
    <w:p>
      <w:pPr>
        <w:pStyle w:val="56"/>
        <w:rPr>
          <w:rFonts w:hint="eastAsia"/>
        </w:rPr>
      </w:pPr>
    </w:p>
    <w:p>
      <w:pPr>
        <w:pStyle w:val="56"/>
        <w:rPr>
          <w:rFonts w:hint="eastAsia"/>
        </w:rPr>
      </w:pPr>
    </w:p>
    <w:p>
      <w:pPr>
        <w:pStyle w:val="56"/>
        <w:rPr>
          <w:rFonts w:hint="eastAsia"/>
        </w:rPr>
      </w:pPr>
    </w:p>
    <w:p>
      <w:pPr>
        <w:pStyle w:val="56"/>
        <w:ind w:left="0" w:leftChars="0" w:firstLine="0" w:firstLineChars="0"/>
        <w:rPr>
          <w:rFonts w:hint="eastAsia"/>
        </w:rPr>
      </w:pPr>
    </w:p>
    <w:bookmarkEnd w:id="27"/>
    <w:p>
      <w:pPr>
        <w:pStyle w:val="198"/>
        <w:rPr>
          <w:vanish w:val="0"/>
        </w:rPr>
      </w:pPr>
      <w:bookmarkStart w:id="204" w:name="BookMark5"/>
    </w:p>
    <w:p>
      <w:pPr>
        <w:pStyle w:val="199"/>
        <w:rPr>
          <w:vanish w:val="0"/>
        </w:rPr>
      </w:pPr>
    </w:p>
    <w:p>
      <w:pPr>
        <w:pStyle w:val="76"/>
        <w:spacing w:after="156"/>
      </w:pPr>
      <w:bookmarkStart w:id="205" w:name="_Toc31563"/>
      <w:r>
        <w:br w:type="textWrapping"/>
      </w:r>
      <w:r>
        <w:rPr>
          <w:rFonts w:hint="eastAsia"/>
        </w:rPr>
        <w:t>（规范性）</w:t>
      </w:r>
      <w:r>
        <w:br w:type="textWrapping"/>
      </w:r>
      <w:r>
        <w:rPr>
          <w:rFonts w:hint="eastAsia"/>
        </w:rPr>
        <w:t>螺杆灌注桩示意图</w:t>
      </w:r>
      <w:bookmarkEnd w:id="205"/>
    </w:p>
    <w:p>
      <w:pPr>
        <w:pStyle w:val="56"/>
        <w:rPr>
          <w:rFonts w:hint="eastAsia" w:ascii="黑体" w:hAnsi="黑体" w:eastAsia="黑体" w:cs="黑体"/>
          <w:lang w:val="en-US" w:eastAsia="zh-CN"/>
        </w:rPr>
      </w:pPr>
      <w:r>
        <w:rPr>
          <w:rFonts w:hint="eastAsia" w:ascii="黑体" w:hAnsi="黑体" w:eastAsia="黑体" w:cs="黑体"/>
          <w:lang w:eastAsia="zh-CN"/>
        </w:rPr>
        <w:t>图</w:t>
      </w:r>
      <w:r>
        <w:rPr>
          <w:rFonts w:hint="eastAsia" w:ascii="黑体" w:hAnsi="黑体" w:eastAsia="黑体" w:cs="黑体"/>
          <w:lang w:val="en-US" w:eastAsia="zh-CN"/>
        </w:rPr>
        <w:t>A.1表示了螺杆灌注桩各个构造部位</w:t>
      </w:r>
    </w:p>
    <w:p>
      <w:pPr>
        <w:pStyle w:val="56"/>
        <w:jc w:val="center"/>
        <w:rPr>
          <w:rFonts w:hint="default" w:ascii="黑体" w:hAnsi="黑体" w:eastAsia="黑体" w:cs="黑体"/>
          <w:lang w:val="en-US" w:eastAsia="zh-CN"/>
        </w:rPr>
      </w:pPr>
      <w:r>
        <w:rPr>
          <w:rFonts w:hint="eastAsia" w:ascii="黑体" w:hAnsi="黑体" w:eastAsia="黑体" w:cs="黑体"/>
          <w:lang w:val="en-US" w:eastAsia="zh-CN"/>
        </w:rPr>
        <w:t>图A.1</w:t>
      </w:r>
    </w:p>
    <w:p>
      <w:pPr>
        <w:pStyle w:val="56"/>
        <w:ind w:left="0" w:leftChars="0" w:firstLine="0" w:firstLineChars="0"/>
        <w:rPr>
          <w:rFonts w:hint="eastAsia" w:ascii="黑体" w:hAnsi="黑体" w:eastAsia="黑体" w:cs="黑体"/>
        </w:rPr>
        <w:sectPr>
          <w:headerReference r:id="rId15" w:type="default"/>
          <w:footerReference r:id="rId17" w:type="default"/>
          <w:headerReference r:id="rId16" w:type="even"/>
          <w:footerReference r:id="rId18" w:type="even"/>
          <w:pgSz w:w="11906" w:h="16838"/>
          <w:pgMar w:top="1928" w:right="1134" w:bottom="1134" w:left="1134" w:header="1418" w:footer="1134" w:gutter="284"/>
          <w:pgNumType w:start="1"/>
          <w:cols w:space="425" w:num="1"/>
          <w:formProt w:val="0"/>
          <w:docGrid w:type="lines" w:linePitch="312" w:charSpace="0"/>
        </w:sectPr>
      </w:pPr>
      <w:r>
        <w:rPr>
          <w:rFonts w:hint="eastAsia" w:ascii="黑体" w:hAnsi="黑体" w:eastAsia="黑体" w:cs="黑体"/>
        </w:rPr>
        <w:drawing>
          <wp:anchor distT="0" distB="0" distL="0" distR="0" simplePos="0" relativeHeight="251665408" behindDoc="0" locked="0" layoutInCell="1" allowOverlap="1">
            <wp:simplePos x="0" y="0"/>
            <wp:positionH relativeFrom="column">
              <wp:posOffset>901700</wp:posOffset>
            </wp:positionH>
            <wp:positionV relativeFrom="paragraph">
              <wp:posOffset>42545</wp:posOffset>
            </wp:positionV>
            <wp:extent cx="3703955" cy="6924040"/>
            <wp:effectExtent l="0" t="0" r="10795" b="10160"/>
            <wp:wrapTopAndBottom/>
            <wp:docPr id="374" name="图片 1491" descr="螺杆灌注桩大样 Model (1)_0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74" name="图片 1491" descr="螺杆灌注桩大样 Model (1)_00"/>
                    <pic:cNvPicPr>
                      <a:picLocks noChangeAspect="true"/>
                    </pic:cNvPicPr>
                  </pic:nvPicPr>
                  <pic:blipFill>
                    <a:blip r:embed="rId152"/>
                    <a:srcRect l="19267" r="20953"/>
                    <a:stretch>
                      <a:fillRect/>
                    </a:stretch>
                  </pic:blipFill>
                  <pic:spPr>
                    <a:xfrm>
                      <a:off x="0" y="0"/>
                      <a:ext cx="3703955" cy="6924040"/>
                    </a:xfrm>
                    <a:prstGeom prst="rect">
                      <a:avLst/>
                    </a:prstGeom>
                    <a:noFill/>
                    <a:ln>
                      <a:noFill/>
                    </a:ln>
                  </pic:spPr>
                </pic:pic>
              </a:graphicData>
            </a:graphic>
          </wp:anchor>
        </w:drawing>
      </w:r>
      <w:bookmarkStart w:id="206" w:name="_Toc23974"/>
      <w:r>
        <w:rPr>
          <w:rFonts w:hint="eastAsia" w:ascii="黑体" w:hAnsi="黑体" w:eastAsia="黑体" w:cs="黑体"/>
          <w:lang w:val="en-US" w:eastAsia="zh-CN"/>
        </w:rPr>
        <w:t>说明：</w:t>
      </w:r>
      <w:r>
        <w:rPr>
          <w:rFonts w:hint="eastAsia" w:ascii="黑体" w:hAnsi="黑体" w:eastAsia="黑体" w:cs="黑体"/>
        </w:rPr>
        <w:t>L—设计桩长；L</w:t>
      </w:r>
      <w:r>
        <w:rPr>
          <w:rFonts w:hint="eastAsia" w:ascii="黑体" w:hAnsi="黑体" w:eastAsia="黑体" w:cs="黑体"/>
          <w:vertAlign w:val="subscript"/>
        </w:rPr>
        <w:t>1</w:t>
      </w:r>
      <w:r>
        <w:rPr>
          <w:rFonts w:hint="eastAsia" w:ascii="黑体" w:hAnsi="黑体" w:eastAsia="黑体" w:cs="黑体"/>
        </w:rPr>
        <w:t>—直杆段长度；L</w:t>
      </w:r>
      <w:r>
        <w:rPr>
          <w:rFonts w:hint="eastAsia" w:ascii="黑体" w:hAnsi="黑体" w:eastAsia="黑体" w:cs="黑体"/>
          <w:vertAlign w:val="subscript"/>
        </w:rPr>
        <w:t>2</w:t>
      </w:r>
      <w:r>
        <w:rPr>
          <w:rFonts w:hint="eastAsia" w:ascii="黑体" w:hAnsi="黑体" w:eastAsia="黑体" w:cs="黑体"/>
        </w:rPr>
        <w:t>—螺纹段长度；L</w:t>
      </w:r>
      <w:r>
        <w:rPr>
          <w:rFonts w:hint="eastAsia" w:ascii="黑体" w:hAnsi="黑体" w:eastAsia="黑体" w:cs="黑体"/>
          <w:vertAlign w:val="subscript"/>
        </w:rPr>
        <w:t>3</w:t>
      </w:r>
      <w:r>
        <w:rPr>
          <w:rFonts w:hint="eastAsia" w:ascii="黑体" w:hAnsi="黑体" w:eastAsia="黑体" w:cs="黑体"/>
        </w:rPr>
        <w:t>—扩大体段高度；d</w:t>
      </w:r>
      <w:r>
        <w:rPr>
          <w:rFonts w:hint="eastAsia" w:ascii="黑体" w:hAnsi="黑体" w:eastAsia="黑体" w:cs="黑体"/>
          <w:vertAlign w:val="subscript"/>
        </w:rPr>
        <w:t>2</w:t>
      </w:r>
      <w:r>
        <w:rPr>
          <w:rFonts w:hint="eastAsia" w:ascii="黑体" w:hAnsi="黑体" w:eastAsia="黑体" w:cs="黑体"/>
        </w:rPr>
        <w:t>—扩大体外径；d</w:t>
      </w:r>
      <w:r>
        <w:rPr>
          <w:rFonts w:hint="eastAsia" w:ascii="黑体" w:hAnsi="黑体" w:eastAsia="黑体" w:cs="黑体"/>
          <w:vertAlign w:val="subscript"/>
        </w:rPr>
        <w:t>1</w:t>
      </w:r>
      <w:r>
        <w:rPr>
          <w:rFonts w:hint="eastAsia" w:ascii="黑体" w:hAnsi="黑体" w:eastAsia="黑体" w:cs="黑体"/>
        </w:rPr>
        <w:t>—外径；d</w:t>
      </w:r>
      <w:r>
        <w:rPr>
          <w:rFonts w:hint="eastAsia" w:ascii="黑体" w:hAnsi="黑体" w:eastAsia="黑体" w:cs="黑体"/>
          <w:vertAlign w:val="subscript"/>
        </w:rPr>
        <w:t>0</w:t>
      </w:r>
      <w:r>
        <w:rPr>
          <w:rFonts w:hint="eastAsia" w:ascii="黑体" w:hAnsi="黑体" w:eastAsia="黑体" w:cs="黑体"/>
        </w:rPr>
        <w:t>—内径；t</w:t>
      </w:r>
      <w:r>
        <w:rPr>
          <w:rFonts w:hint="eastAsia" w:ascii="黑体" w:hAnsi="黑体" w:eastAsia="黑体" w:cs="黑体"/>
          <w:vertAlign w:val="subscript"/>
        </w:rPr>
        <w:t>1</w:t>
      </w:r>
      <w:r>
        <w:rPr>
          <w:rFonts w:hint="eastAsia" w:ascii="黑体" w:hAnsi="黑体" w:eastAsia="黑体" w:cs="黑体"/>
        </w:rPr>
        <w:t>—螺牙根部厚度；t</w:t>
      </w:r>
      <w:r>
        <w:rPr>
          <w:rFonts w:hint="eastAsia" w:ascii="黑体" w:hAnsi="黑体" w:eastAsia="黑体" w:cs="黑体"/>
          <w:vertAlign w:val="subscript"/>
        </w:rPr>
        <w:t>2</w:t>
      </w:r>
      <w:r>
        <w:rPr>
          <w:rFonts w:hint="eastAsia" w:ascii="黑体" w:hAnsi="黑体" w:eastAsia="黑体" w:cs="黑体"/>
        </w:rPr>
        <w:t>—螺牙端部厚；b—螺牙宽度；s—螺距。</w:t>
      </w:r>
      <w:bookmarkEnd w:id="206"/>
    </w:p>
    <w:p>
      <w:pPr>
        <w:pStyle w:val="198"/>
        <w:rPr>
          <w:vanish w:val="0"/>
        </w:rPr>
      </w:pPr>
    </w:p>
    <w:p>
      <w:pPr>
        <w:pStyle w:val="199"/>
        <w:rPr>
          <w:vanish w:val="0"/>
        </w:rPr>
      </w:pPr>
    </w:p>
    <w:p>
      <w:pPr>
        <w:pStyle w:val="76"/>
        <w:spacing w:after="156"/>
        <w:rPr>
          <w:rFonts w:hint="eastAsia"/>
        </w:rPr>
      </w:pPr>
      <w:bookmarkStart w:id="207" w:name="_Toc23442"/>
      <w:r>
        <w:br w:type="textWrapping"/>
      </w:r>
      <w:r>
        <w:rPr>
          <w:rFonts w:hint="eastAsia"/>
        </w:rPr>
        <w:t>（资料性）</w:t>
      </w:r>
      <w:r>
        <w:br w:type="textWrapping"/>
      </w:r>
      <w:r>
        <w:rPr>
          <w:rFonts w:hint="eastAsia"/>
        </w:rPr>
        <w:t>螺杆灌注桩桩型</w:t>
      </w:r>
      <w:bookmarkEnd w:id="207"/>
    </w:p>
    <w:p>
      <w:pPr>
        <w:pStyle w:val="56"/>
        <w:rPr>
          <w:rFonts w:hint="eastAsia" w:ascii="黑体" w:hAnsi="黑体" w:eastAsia="黑体" w:cs="黑体"/>
          <w:lang w:val="en-US" w:eastAsia="zh-CN"/>
        </w:rPr>
      </w:pPr>
      <w:r>
        <w:rPr>
          <w:rFonts w:hint="eastAsia" w:ascii="黑体" w:hAnsi="黑体" w:eastAsia="黑体" w:cs="黑体"/>
          <w:lang w:eastAsia="zh-CN"/>
        </w:rPr>
        <w:t>图</w:t>
      </w:r>
      <w:r>
        <w:rPr>
          <w:rFonts w:hint="eastAsia" w:ascii="黑体" w:hAnsi="黑体" w:eastAsia="黑体" w:cs="黑体"/>
          <w:lang w:val="en-US" w:eastAsia="zh-CN"/>
        </w:rPr>
        <w:t>B.1为部分螺杆灌注桩桩型示意图</w:t>
      </w:r>
    </w:p>
    <w:p>
      <w:pPr>
        <w:pStyle w:val="56"/>
        <w:jc w:val="center"/>
        <w:rPr>
          <w:rFonts w:hint="eastAsia" w:ascii="黑体" w:hAnsi="黑体" w:eastAsia="黑体" w:cs="黑体"/>
          <w:lang w:val="en-US" w:eastAsia="zh-CN"/>
        </w:rPr>
      </w:pPr>
      <w:r>
        <w:rPr>
          <w:rFonts w:hint="eastAsia" w:ascii="黑体" w:hAnsi="黑体" w:eastAsia="黑体" w:cs="黑体"/>
          <w:lang w:val="en-US" w:eastAsia="zh-CN"/>
        </w:rPr>
        <w:t>图B.1</w:t>
      </w:r>
    </w:p>
    <w:p>
      <w:pPr>
        <w:pStyle w:val="56"/>
        <w:ind w:firstLine="420"/>
      </w:pPr>
      <w:r>
        <w:drawing>
          <wp:inline distT="0" distB="0" distL="0" distR="0">
            <wp:extent cx="8782685" cy="3128645"/>
            <wp:effectExtent l="0" t="0" r="18415" b="14605"/>
            <wp:docPr id="250" name="图片 25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0" name="图片 250"/>
                    <pic:cNvPicPr>
                      <a:picLocks noChangeAspect="true"/>
                    </pic:cNvPicPr>
                  </pic:nvPicPr>
                  <pic:blipFill>
                    <a:blip r:embed="rId153"/>
                    <a:srcRect b="1594"/>
                    <a:stretch>
                      <a:fillRect/>
                    </a:stretch>
                  </pic:blipFill>
                  <pic:spPr>
                    <a:xfrm>
                      <a:off x="0" y="0"/>
                      <a:ext cx="8789004" cy="3128645"/>
                    </a:xfrm>
                    <a:prstGeom prst="rect">
                      <a:avLst/>
                    </a:prstGeom>
                    <a:ln>
                      <a:noFill/>
                    </a:ln>
                  </pic:spPr>
                </pic:pic>
              </a:graphicData>
            </a:graphic>
          </wp:inline>
        </w:drawing>
      </w:r>
    </w:p>
    <w:p>
      <w:pPr>
        <w:pStyle w:val="56"/>
        <w:ind w:firstLine="420"/>
      </w:pPr>
    </w:p>
    <w:p>
      <w:pPr>
        <w:pStyle w:val="235"/>
        <w:rPr>
          <w:rFonts w:hint="eastAsia"/>
        </w:rPr>
      </w:pPr>
      <w:r>
        <w:rPr>
          <w:rFonts w:hint="eastAsia" w:ascii="黑体" w:hAnsi="黑体" w:eastAsia="黑体" w:cs="黑体"/>
          <w:sz w:val="21"/>
          <w:szCs w:val="21"/>
        </w:rPr>
        <w:t>说明：（1）上部直杆型，下部为螺纹型;（2）上部直杆型，下部为螺纹型，桩端带扩大体;（3）上部直杆型，下部为螺纹型，桩身和桩端各带一个扩大体;（4）上部直杆型，下部为螺纹型，桩身带三个扩大体;（5）上部直杆型，下部为螺纹型，桩上部带一个扩大体;（6）上部直杆型，下部为螺纹型，桩上部带两个扩大体。</w:t>
      </w:r>
    </w:p>
    <w:p>
      <w:pPr>
        <w:pStyle w:val="198"/>
        <w:rPr>
          <w:vanish w:val="0"/>
        </w:rPr>
      </w:pPr>
    </w:p>
    <w:p>
      <w:pPr>
        <w:pStyle w:val="199"/>
        <w:rPr>
          <w:vanish w:val="0"/>
        </w:rPr>
      </w:pPr>
    </w:p>
    <w:p>
      <w:pPr>
        <w:pStyle w:val="76"/>
        <w:spacing w:after="156"/>
        <w:rPr>
          <w:rFonts w:hint="eastAsia"/>
        </w:rPr>
      </w:pPr>
      <w:bookmarkStart w:id="208" w:name="_Toc3269"/>
      <w:r>
        <w:br w:type="textWrapping"/>
      </w:r>
      <w:r>
        <w:rPr>
          <w:rFonts w:hint="eastAsia"/>
        </w:rPr>
        <w:t>（资料性）</w:t>
      </w:r>
      <w:r>
        <w:br w:type="textWrapping"/>
      </w:r>
      <w:r>
        <w:rPr>
          <w:rFonts w:hint="eastAsia"/>
        </w:rPr>
        <w:t>组合式齿状螺纹钻具</w:t>
      </w:r>
      <w:bookmarkEnd w:id="208"/>
    </w:p>
    <w:p>
      <w:pPr>
        <w:pStyle w:val="56"/>
        <w:rPr>
          <w:rFonts w:hint="eastAsia" w:ascii="黑体" w:hAnsi="黑体" w:eastAsia="黑体" w:cs="黑体"/>
          <w:lang w:val="en-US" w:eastAsia="zh-CN"/>
        </w:rPr>
      </w:pPr>
      <w:r>
        <w:rPr>
          <w:rFonts w:hint="eastAsia" w:ascii="黑体" w:hAnsi="黑体" w:eastAsia="黑体" w:cs="黑体"/>
          <w:lang w:val="en-US" w:eastAsia="zh-CN"/>
        </w:rPr>
        <w:t>图C.1表示了螺杆灌注桩施工使用的组合式齿状螺纹钻具</w:t>
      </w:r>
    </w:p>
    <w:p>
      <w:pPr>
        <w:pStyle w:val="56"/>
        <w:jc w:val="center"/>
        <w:rPr>
          <w:rFonts w:hint="eastAsia" w:ascii="黑体" w:hAnsi="黑体" w:eastAsia="黑体" w:cs="黑体"/>
          <w:lang w:val="en-US" w:eastAsia="zh-CN"/>
        </w:rPr>
      </w:pPr>
      <w:r>
        <w:rPr>
          <w:rFonts w:hint="eastAsia" w:ascii="黑体" w:hAnsi="黑体" w:eastAsia="黑体" w:cs="黑体"/>
          <w:lang w:val="en-US" w:eastAsia="zh-CN"/>
        </w:rPr>
        <w:t>图C.1</w:t>
      </w:r>
    </w:p>
    <w:p>
      <w:pPr>
        <w:pStyle w:val="56"/>
        <w:ind w:firstLine="420"/>
        <w:rPr>
          <w:rFonts w:hint="eastAsia" w:ascii="黑体" w:hAnsi="黑体" w:eastAsia="黑体" w:cs="黑体"/>
        </w:rPr>
      </w:pPr>
    </w:p>
    <w:p>
      <w:pPr>
        <w:pStyle w:val="56"/>
        <w:ind w:firstLine="420"/>
      </w:pPr>
      <w:r>
        <w:drawing>
          <wp:inline distT="0" distB="0" distL="0" distR="0">
            <wp:extent cx="8625205" cy="3302635"/>
            <wp:effectExtent l="0" t="0" r="4445" b="0"/>
            <wp:docPr id="251" name="图片 25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1" name="图片 251"/>
                    <pic:cNvPicPr>
                      <a:picLocks noChangeAspect="true"/>
                    </pic:cNvPicPr>
                  </pic:nvPicPr>
                  <pic:blipFill>
                    <a:blip r:embed="rId154"/>
                    <a:stretch>
                      <a:fillRect/>
                    </a:stretch>
                  </pic:blipFill>
                  <pic:spPr>
                    <a:xfrm>
                      <a:off x="0" y="0"/>
                      <a:ext cx="8642277" cy="3309295"/>
                    </a:xfrm>
                    <a:prstGeom prst="rect">
                      <a:avLst/>
                    </a:prstGeom>
                  </pic:spPr>
                </pic:pic>
              </a:graphicData>
            </a:graphic>
          </wp:inline>
        </w:drawing>
      </w:r>
    </w:p>
    <w:p>
      <w:pPr>
        <w:pStyle w:val="236"/>
        <w:autoSpaceDE w:val="0"/>
        <w:spacing w:line="280" w:lineRule="exact"/>
        <w:rPr>
          <w:rFonts w:hint="eastAsia" w:ascii="黑体" w:hAnsi="黑体" w:eastAsia="黑体" w:cs="黑体"/>
          <w:sz w:val="21"/>
          <w:szCs w:val="21"/>
        </w:rPr>
      </w:pPr>
      <w:r>
        <w:rPr>
          <w:rFonts w:hint="eastAsia" w:ascii="黑体" w:hAnsi="黑体" w:eastAsia="黑体" w:cs="黑体"/>
          <w:sz w:val="21"/>
          <w:szCs w:val="21"/>
        </w:rPr>
        <w:t xml:space="preserve">说明：a为光壁杆；b、c为齿状螺纹钻杆；且b外径＜c外径; </w:t>
      </w:r>
    </w:p>
    <w:p>
      <w:pPr>
        <w:pStyle w:val="236"/>
        <w:numPr>
          <w:ilvl w:val="0"/>
          <w:numId w:val="34"/>
        </w:numPr>
        <w:autoSpaceDE w:val="0"/>
        <w:spacing w:line="280" w:lineRule="exact"/>
        <w:rPr>
          <w:rFonts w:hint="eastAsia" w:ascii="黑体" w:hAnsi="黑体" w:eastAsia="黑体" w:cs="黑体"/>
          <w:sz w:val="21"/>
          <w:szCs w:val="21"/>
        </w:rPr>
      </w:pPr>
      <w:r>
        <w:rPr>
          <w:rFonts w:hint="eastAsia" w:ascii="黑体" w:hAnsi="黑体" w:eastAsia="黑体" w:cs="黑体"/>
          <w:sz w:val="21"/>
          <w:szCs w:val="21"/>
        </w:rPr>
        <w:t>从上到下为a+a+c;（2）从上到下为a+b+c;（3）从上到下为a+c+c;（4）从上到下为b+b+c;（5）从上到下为b+c+c。</w:t>
      </w:r>
    </w:p>
    <w:p>
      <w:pPr>
        <w:pStyle w:val="236"/>
        <w:autoSpaceDE w:val="0"/>
        <w:spacing w:line="280" w:lineRule="exact"/>
        <w:rPr>
          <w:rFonts w:hint="eastAsia" w:ascii="黑体" w:hAnsi="黑体" w:eastAsia="黑体" w:cs="黑体"/>
          <w:sz w:val="21"/>
          <w:szCs w:val="21"/>
        </w:rPr>
      </w:pPr>
      <w:r>
        <w:rPr>
          <w:rFonts w:hint="eastAsia" w:ascii="黑体" w:hAnsi="黑体" w:eastAsia="黑体" w:cs="黑体"/>
          <w:sz w:val="21"/>
          <w:szCs w:val="21"/>
        </w:rPr>
        <w:t>根据土层情况采用各类不同直径的钻杆排列组合，使钻具外径从上到下由小直径变为大直径直至与设计桩长等径的组合式齿状螺纹钻具，可以有效的排出土体中的气体，使钻进过程阻力减少，效率以及桩身质量得到保证。</w:t>
      </w:r>
    </w:p>
    <w:p>
      <w:pPr>
        <w:pStyle w:val="56"/>
        <w:ind w:firstLine="0" w:firstLineChars="0"/>
        <w:rPr>
          <w:rFonts w:hint="eastAsia" w:ascii="黑体" w:hAnsi="黑体" w:eastAsia="黑体" w:cs="黑体"/>
          <w:sz w:val="21"/>
          <w:szCs w:val="21"/>
        </w:rPr>
        <w:sectPr>
          <w:headerReference r:id="rId19" w:type="default"/>
          <w:footerReference r:id="rId20" w:type="default"/>
          <w:pgSz w:w="16838" w:h="11906" w:orient="landscape"/>
          <w:pgMar w:top="1134" w:right="1871" w:bottom="1134" w:left="1134" w:header="1418" w:footer="1247" w:gutter="284"/>
          <w:cols w:space="425" w:num="1"/>
          <w:formProt w:val="0"/>
          <w:docGrid w:type="lines" w:linePitch="312" w:charSpace="0"/>
        </w:sectPr>
      </w:pPr>
    </w:p>
    <w:p>
      <w:pPr>
        <w:pStyle w:val="198"/>
        <w:rPr>
          <w:vanish w:val="0"/>
        </w:rPr>
      </w:pPr>
    </w:p>
    <w:p>
      <w:pPr>
        <w:pStyle w:val="199"/>
        <w:rPr>
          <w:vanish w:val="0"/>
        </w:rPr>
      </w:pPr>
    </w:p>
    <w:p>
      <w:pPr>
        <w:pStyle w:val="76"/>
        <w:spacing w:after="156"/>
        <w:rPr>
          <w:rFonts w:hint="eastAsia"/>
        </w:rPr>
      </w:pPr>
      <w:bookmarkStart w:id="209" w:name="_Toc27255"/>
      <w:r>
        <w:br w:type="textWrapping"/>
      </w:r>
      <w:r>
        <w:rPr>
          <w:rFonts w:hint="eastAsia"/>
        </w:rPr>
        <w:t>（资料性）</w:t>
      </w:r>
      <w:r>
        <w:br w:type="textWrapping"/>
      </w:r>
      <w:r>
        <w:rPr>
          <w:rFonts w:hint="eastAsia"/>
        </w:rPr>
        <w:t>螺杆灌注桩成桩工艺过程示意图</w:t>
      </w:r>
      <w:bookmarkEnd w:id="209"/>
    </w:p>
    <w:p>
      <w:pPr>
        <w:pStyle w:val="56"/>
        <w:rPr>
          <w:rFonts w:hint="eastAsia" w:ascii="黑体" w:hAnsi="黑体" w:eastAsia="黑体" w:cs="黑体"/>
          <w:lang w:val="en-US" w:eastAsia="zh-CN"/>
        </w:rPr>
      </w:pPr>
      <w:r>
        <w:rPr>
          <w:rFonts w:hint="eastAsia" w:ascii="黑体" w:hAnsi="黑体" w:eastAsia="黑体" w:cs="黑体"/>
          <w:lang w:eastAsia="zh-CN"/>
        </w:rPr>
        <w:t>图</w:t>
      </w:r>
      <w:r>
        <w:rPr>
          <w:rFonts w:hint="eastAsia" w:ascii="黑体" w:hAnsi="黑体" w:eastAsia="黑体" w:cs="黑体"/>
          <w:lang w:val="en-US" w:eastAsia="zh-CN"/>
        </w:rPr>
        <w:t>D.1为螺杆灌注桩成桩过程示意图</w:t>
      </w:r>
    </w:p>
    <w:p>
      <w:pPr>
        <w:pStyle w:val="56"/>
        <w:jc w:val="center"/>
        <w:rPr>
          <w:rFonts w:hint="eastAsia" w:ascii="黑体" w:hAnsi="黑体" w:eastAsia="黑体" w:cs="黑体"/>
          <w:lang w:val="en-US" w:eastAsia="zh-CN"/>
        </w:rPr>
      </w:pPr>
      <w:r>
        <w:rPr>
          <w:rFonts w:hint="eastAsia" w:ascii="黑体" w:hAnsi="黑体" w:eastAsia="黑体" w:cs="黑体"/>
          <w:lang w:val="en-US" w:eastAsia="zh-CN"/>
        </w:rPr>
        <w:t>图D.1</w:t>
      </w:r>
    </w:p>
    <w:p>
      <w:pPr>
        <w:pStyle w:val="56"/>
        <w:ind w:firstLine="420"/>
      </w:pPr>
      <w:r>
        <w:drawing>
          <wp:inline distT="0" distB="0" distL="0" distR="0">
            <wp:extent cx="8702040" cy="3074035"/>
            <wp:effectExtent l="0" t="0" r="0" b="0"/>
            <wp:docPr id="370" name="图片 16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70" name="图片 161"/>
                    <pic:cNvPicPr>
                      <a:picLocks noChangeAspect="true"/>
                    </pic:cNvPicPr>
                  </pic:nvPicPr>
                  <pic:blipFill>
                    <a:blip r:embed="rId155"/>
                    <a:srcRect r="30067" b="7146"/>
                    <a:stretch>
                      <a:fillRect/>
                    </a:stretch>
                  </pic:blipFill>
                  <pic:spPr>
                    <a:xfrm>
                      <a:off x="0" y="0"/>
                      <a:ext cx="8703653" cy="3074035"/>
                    </a:xfrm>
                    <a:prstGeom prst="rect">
                      <a:avLst/>
                    </a:prstGeom>
                    <a:noFill/>
                    <a:ln>
                      <a:noFill/>
                    </a:ln>
                  </pic:spPr>
                </pic:pic>
              </a:graphicData>
            </a:graphic>
          </wp:inline>
        </w:drawing>
      </w:r>
    </w:p>
    <w:p>
      <w:pPr>
        <w:pStyle w:val="235"/>
        <w:rPr>
          <w:rFonts w:hint="eastAsia" w:ascii="黑体" w:hAnsi="黑体" w:eastAsia="黑体" w:cs="黑体"/>
        </w:rPr>
      </w:pPr>
      <w:r>
        <w:rPr>
          <w:rFonts w:hint="eastAsia" w:ascii="黑体" w:hAnsi="黑体" w:eastAsia="黑体" w:cs="黑体"/>
        </w:rPr>
        <w:t>说明：(a)第一步：钻机对准桩位；(b)第二步：钻杆正向非同步钻进至直杆段设计深度；(C) 第.步：钻杆正向同步钻进至桩底，形成桩的螺纹段；(d)第四步：在同步反转提钻同时泵机 利用钻杆作为通道，保持额定泵压和泵速在高压状态下使混凝土形成下部螺纹状桩体和上部 圆柱状桩体；(e)混凝土浇筑完毕，采用后插筋法安置钢筋笼，形成螺杆桩。</w:t>
      </w:r>
    </w:p>
    <w:p>
      <w:pPr>
        <w:pStyle w:val="56"/>
        <w:ind w:firstLine="0" w:firstLineChars="0"/>
        <w:sectPr>
          <w:pgSz w:w="16838" w:h="11906" w:orient="landscape"/>
          <w:pgMar w:top="1134" w:right="1871" w:bottom="1134" w:left="1134" w:header="1418" w:footer="1247" w:gutter="284"/>
          <w:cols w:space="425" w:num="1"/>
          <w:formProt w:val="0"/>
          <w:docGrid w:type="lines" w:linePitch="312" w:charSpace="0"/>
        </w:sectPr>
      </w:pPr>
    </w:p>
    <w:p>
      <w:pPr>
        <w:pStyle w:val="198"/>
        <w:rPr>
          <w:vanish w:val="0"/>
        </w:rPr>
      </w:pPr>
    </w:p>
    <w:p>
      <w:pPr>
        <w:pStyle w:val="199"/>
        <w:rPr>
          <w:vanish w:val="0"/>
        </w:rPr>
      </w:pPr>
    </w:p>
    <w:p>
      <w:pPr>
        <w:pStyle w:val="76"/>
        <w:spacing w:after="156"/>
        <w:rPr>
          <w:rFonts w:hint="eastAsia"/>
        </w:rPr>
      </w:pPr>
      <w:bookmarkStart w:id="210" w:name="_Toc26351"/>
      <w:r>
        <w:br w:type="textWrapping"/>
      </w:r>
      <w:r>
        <w:rPr>
          <w:rFonts w:hint="eastAsia"/>
        </w:rPr>
        <w:t>（资料性）</w:t>
      </w:r>
      <w:r>
        <w:br w:type="textWrapping"/>
      </w:r>
      <w:r>
        <w:rPr>
          <w:rFonts w:hint="eastAsia"/>
        </w:rPr>
        <w:t>螺杆灌注桩扩大体施工示意图</w:t>
      </w:r>
      <w:bookmarkEnd w:id="210"/>
    </w:p>
    <w:p>
      <w:pPr>
        <w:pStyle w:val="56"/>
        <w:rPr>
          <w:rFonts w:hint="eastAsia" w:ascii="黑体" w:hAnsi="黑体" w:eastAsia="黑体" w:cs="黑体"/>
          <w:lang w:val="en-US" w:eastAsia="zh-CN"/>
        </w:rPr>
      </w:pPr>
      <w:r>
        <w:rPr>
          <w:rFonts w:hint="eastAsia" w:ascii="黑体" w:hAnsi="黑体" w:eastAsia="黑体" w:cs="黑体"/>
          <w:lang w:eastAsia="zh-CN"/>
        </w:rPr>
        <w:t>图</w:t>
      </w:r>
      <w:r>
        <w:rPr>
          <w:rFonts w:hint="eastAsia" w:ascii="黑体" w:hAnsi="黑体" w:eastAsia="黑体" w:cs="黑体"/>
          <w:lang w:val="en-US" w:eastAsia="zh-CN"/>
        </w:rPr>
        <w:t>E.1为螺杆灌注扩大体施工过程示意图</w:t>
      </w:r>
    </w:p>
    <w:p>
      <w:pPr>
        <w:pStyle w:val="56"/>
        <w:jc w:val="center"/>
        <w:rPr>
          <w:rFonts w:hint="eastAsia" w:ascii="黑体" w:hAnsi="黑体" w:eastAsia="黑体" w:cs="黑体"/>
          <w:lang w:val="en-US" w:eastAsia="zh-CN"/>
        </w:rPr>
      </w:pPr>
      <w:r>
        <w:rPr>
          <w:rFonts w:hint="eastAsia" w:ascii="黑体" w:hAnsi="黑体" w:eastAsia="黑体" w:cs="黑体"/>
          <w:lang w:val="en-US" w:eastAsia="zh-CN"/>
        </w:rPr>
        <w:t>图E.1</w:t>
      </w:r>
    </w:p>
    <w:p>
      <w:pPr>
        <w:pStyle w:val="56"/>
        <w:rPr>
          <w:rFonts w:hint="eastAsia"/>
        </w:rPr>
      </w:pPr>
    </w:p>
    <w:p>
      <w:pPr>
        <w:pStyle w:val="56"/>
        <w:ind w:firstLine="420"/>
      </w:pPr>
      <w:r>
        <w:drawing>
          <wp:inline distT="0" distB="0" distL="0" distR="0">
            <wp:extent cx="8555990" cy="2898775"/>
            <wp:effectExtent l="0" t="0" r="0" b="0"/>
            <wp:docPr id="369" name="图片 16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9" name="图片 162"/>
                    <pic:cNvPicPr>
                      <a:picLocks noChangeAspect="true"/>
                    </pic:cNvPicPr>
                  </pic:nvPicPr>
                  <pic:blipFill>
                    <a:blip r:embed="rId156"/>
                    <a:srcRect l="13594" t="24646" r="37811" b="15548"/>
                    <a:stretch>
                      <a:fillRect/>
                    </a:stretch>
                  </pic:blipFill>
                  <pic:spPr>
                    <a:xfrm>
                      <a:off x="0" y="0"/>
                      <a:ext cx="8565224" cy="2898775"/>
                    </a:xfrm>
                    <a:prstGeom prst="rect">
                      <a:avLst/>
                    </a:prstGeom>
                    <a:noFill/>
                    <a:ln>
                      <a:noFill/>
                    </a:ln>
                  </pic:spPr>
                </pic:pic>
              </a:graphicData>
            </a:graphic>
          </wp:inline>
        </w:drawing>
      </w:r>
    </w:p>
    <w:p>
      <w:pPr>
        <w:pStyle w:val="56"/>
        <w:ind w:firstLine="420"/>
      </w:pPr>
    </w:p>
    <w:p>
      <w:pPr>
        <w:pStyle w:val="235"/>
      </w:pPr>
      <w:r>
        <w:rPr>
          <w:rFonts w:hint="eastAsia" w:ascii="宋体" w:hAnsi="宋体"/>
        </w:rPr>
        <w:t>说明：(a)第一步：钻机对准桩位；(b)第二步：钻杆正向非同步钻进至直杆段设计深度；(C) 第三步：钻杆正向同步钻进至桩底，形成桩的螺纹段；(d)第四步：同步反转提钻到一定高度后，同步正转下钻至扩大体底面设计标高后同步反转提钻至设计标高，同时泵机连续泵送混凝土 利用钻杆对混凝土的挤压形成桩身扩大体；(e)可在桩身任意部位形成一个或多个桩身扩大体。</w:t>
      </w:r>
    </w:p>
    <w:p>
      <w:pPr>
        <w:pStyle w:val="56"/>
        <w:ind w:firstLine="420"/>
      </w:pPr>
    </w:p>
    <w:p>
      <w:pPr>
        <w:pStyle w:val="198"/>
        <w:rPr>
          <w:vanish w:val="0"/>
        </w:rPr>
      </w:pPr>
    </w:p>
    <w:p>
      <w:pPr>
        <w:pStyle w:val="199"/>
        <w:rPr>
          <w:vanish w:val="0"/>
        </w:rPr>
      </w:pPr>
    </w:p>
    <w:p>
      <w:pPr>
        <w:pStyle w:val="76"/>
        <w:spacing w:after="156"/>
        <w:rPr>
          <w:rFonts w:hint="eastAsia"/>
        </w:rPr>
      </w:pPr>
      <w:bookmarkStart w:id="211" w:name="_Toc13456"/>
      <w:r>
        <w:br w:type="textWrapping"/>
      </w:r>
      <w:r>
        <w:rPr>
          <w:rFonts w:hint="eastAsia"/>
        </w:rPr>
        <w:t>（资料性）</w:t>
      </w:r>
      <w:r>
        <w:br w:type="textWrapping"/>
      </w:r>
      <w:r>
        <w:rPr>
          <w:rFonts w:hint="eastAsia"/>
        </w:rPr>
        <w:t>消除挤土效应的屏障技术示意图</w:t>
      </w:r>
      <w:bookmarkEnd w:id="211"/>
    </w:p>
    <w:p>
      <w:pPr>
        <w:pStyle w:val="56"/>
        <w:rPr>
          <w:rFonts w:hint="eastAsia" w:ascii="黑体" w:hAnsi="黑体" w:eastAsia="黑体" w:cs="黑体"/>
          <w:lang w:val="en-US" w:eastAsia="zh-CN"/>
        </w:rPr>
      </w:pPr>
      <w:r>
        <w:rPr>
          <w:rFonts w:hint="eastAsia" w:ascii="黑体" w:hAnsi="黑体" w:eastAsia="黑体" w:cs="黑体"/>
          <w:lang w:eastAsia="zh-CN"/>
        </w:rPr>
        <w:t>图</w:t>
      </w:r>
      <w:r>
        <w:rPr>
          <w:rFonts w:hint="eastAsia" w:ascii="黑体" w:hAnsi="黑体" w:eastAsia="黑体" w:cs="黑体"/>
          <w:lang w:val="en-US" w:eastAsia="zh-CN"/>
        </w:rPr>
        <w:t>F.1为螺杆灌注桩</w:t>
      </w:r>
      <w:r>
        <w:rPr>
          <w:rFonts w:hint="eastAsia"/>
        </w:rPr>
        <w:t>消除挤土效应的屏障技术示意图</w:t>
      </w:r>
    </w:p>
    <w:p>
      <w:pPr>
        <w:pStyle w:val="56"/>
        <w:jc w:val="center"/>
        <w:rPr>
          <w:rFonts w:hint="eastAsia" w:ascii="黑体" w:hAnsi="黑体" w:eastAsia="黑体" w:cs="黑体"/>
          <w:lang w:val="en-US" w:eastAsia="zh-CN"/>
        </w:rPr>
      </w:pPr>
      <w:r>
        <w:rPr>
          <w:rFonts w:hint="eastAsia" w:ascii="黑体" w:hAnsi="黑体" w:eastAsia="黑体" w:cs="黑体"/>
          <w:lang w:val="en-US" w:eastAsia="zh-CN"/>
        </w:rPr>
        <w:t>图F.1</w:t>
      </w:r>
    </w:p>
    <w:p>
      <w:pPr>
        <w:pStyle w:val="56"/>
        <w:rPr>
          <w:rFonts w:hint="eastAsia"/>
        </w:rPr>
      </w:pPr>
      <w:r>
        <w:drawing>
          <wp:anchor distT="0" distB="0" distL="114300" distR="114300" simplePos="0" relativeHeight="251662336" behindDoc="0" locked="0" layoutInCell="1" allowOverlap="1">
            <wp:simplePos x="0" y="0"/>
            <wp:positionH relativeFrom="margin">
              <wp:posOffset>760095</wp:posOffset>
            </wp:positionH>
            <wp:positionV relativeFrom="paragraph">
              <wp:posOffset>81915</wp:posOffset>
            </wp:positionV>
            <wp:extent cx="7381240" cy="2115820"/>
            <wp:effectExtent l="0" t="0" r="10160" b="17780"/>
            <wp:wrapTopAndBottom/>
            <wp:docPr id="368" name="图片 16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8" name="图片 163"/>
                    <pic:cNvPicPr>
                      <a:picLocks noChangeAspect="true"/>
                    </pic:cNvPicPr>
                  </pic:nvPicPr>
                  <pic:blipFill>
                    <a:blip r:embed="rId157">
                      <a:extLst>
                        <a:ext uri="{28A0092B-C50C-407E-A947-70E740481C1C}">
                          <a14:useLocalDpi xmlns:a14="http://schemas.microsoft.com/office/drawing/2010/main" val="false"/>
                        </a:ext>
                      </a:extLst>
                    </a:blip>
                    <a:srcRect l="3819"/>
                    <a:stretch>
                      <a:fillRect/>
                    </a:stretch>
                  </pic:blipFill>
                  <pic:spPr>
                    <a:xfrm>
                      <a:off x="0" y="0"/>
                      <a:ext cx="7381240" cy="2115820"/>
                    </a:xfrm>
                    <a:prstGeom prst="rect">
                      <a:avLst/>
                    </a:prstGeom>
                    <a:noFill/>
                    <a:ln>
                      <a:noFill/>
                    </a:ln>
                  </pic:spPr>
                </pic:pic>
              </a:graphicData>
            </a:graphic>
          </wp:anchor>
        </w:drawing>
      </w:r>
    </w:p>
    <w:p>
      <w:pPr>
        <w:pStyle w:val="56"/>
        <w:ind w:firstLine="0" w:firstLineChars="0"/>
      </w:pPr>
      <w:r>
        <w:rPr>
          <w:rFonts w:hint="eastAsia"/>
        </w:rPr>
        <w:t>说明：1 一屏障钢管（上下敞开、周边封闭的横截面为圆形）；2—连续齿状螺纹挤土型钻具；3一定位销：（a）将屏障器用定位销定位在钻具上：（b）将钻具往下正向旋转钻进，带动屏障器进入土中至设计要求消除挤土效应的深度时即停止下钻，从屏障器内逸出的淤泥质土或饱和性黏土从屏障器上端排出；（c）取出定位销，将钻具及屏障器分离，屏障器不动， 钻具釆用挤压土体成孔继续往下钻进至桩的设计深度；（d）钻具反向旋转上提，同时浇筑混凝 土或水泥浆形成带螺纹状的挤土型桩体，也可采用钻具正向旋转上提，形成直杆状的挤土型 桩体：（e）至屏障器上端定位销位置时停止上提，插上定位销，将连续螺纹状挤土型钻具及 屏障器连接定位。连续螺纹状挤土型钻具继续正向旋转上提并带动屏障器上提，同时连续浇 筑混凝土或水泥浆至地面，形成直杆状桩体。最终形成上部为取土型、下部为挤土型的部分挤土型</w:t>
      </w:r>
    </w:p>
    <w:p>
      <w:pPr>
        <w:pStyle w:val="56"/>
        <w:ind w:left="0" w:leftChars="0" w:firstLine="0" w:firstLineChars="0"/>
      </w:pPr>
    </w:p>
    <w:p>
      <w:pPr>
        <w:pStyle w:val="76"/>
        <w:spacing w:after="156"/>
        <w:rPr>
          <w:rFonts w:hint="eastAsia"/>
        </w:rPr>
      </w:pPr>
      <w:bookmarkStart w:id="212" w:name="_Toc14211"/>
      <w:r>
        <w:br w:type="textWrapping"/>
      </w:r>
      <w:r>
        <w:rPr>
          <w:rFonts w:hint="eastAsia"/>
        </w:rPr>
        <w:t>（资料性）</w:t>
      </w:r>
      <w:r>
        <w:br w:type="textWrapping"/>
      </w:r>
      <w:r>
        <w:rPr>
          <w:rFonts w:hint="eastAsia"/>
        </w:rPr>
        <w:t>螺杆灌注桩施工记录表</w:t>
      </w:r>
      <w:bookmarkEnd w:id="212"/>
    </w:p>
    <w:p>
      <w:pPr>
        <w:pStyle w:val="56"/>
        <w:rPr>
          <w:rFonts w:hint="eastAsia" w:ascii="黑体" w:hAnsi="黑体" w:eastAsia="宋体" w:cs="黑体"/>
          <w:lang w:val="en-US" w:eastAsia="zh-CN"/>
        </w:rPr>
      </w:pPr>
      <w:r>
        <w:rPr>
          <w:rFonts w:hint="eastAsia" w:ascii="黑体" w:hAnsi="黑体" w:eastAsia="黑体" w:cs="黑体"/>
          <w:lang w:eastAsia="zh-CN"/>
        </w:rPr>
        <w:t>表</w:t>
      </w:r>
      <w:r>
        <w:rPr>
          <w:rFonts w:hint="eastAsia" w:ascii="黑体" w:hAnsi="黑体" w:eastAsia="黑体" w:cs="黑体"/>
          <w:lang w:val="en-US" w:eastAsia="zh-CN"/>
        </w:rPr>
        <w:t>G.1为</w:t>
      </w:r>
      <w:r>
        <w:rPr>
          <w:rFonts w:hint="eastAsia"/>
        </w:rPr>
        <w:t>螺杆灌注桩施工记录表</w:t>
      </w:r>
      <w:r>
        <w:rPr>
          <w:rFonts w:hint="eastAsia"/>
          <w:lang w:val="en-US" w:eastAsia="zh-CN"/>
        </w:rPr>
        <w:t>范本</w:t>
      </w:r>
    </w:p>
    <w:p>
      <w:pPr>
        <w:pStyle w:val="56"/>
        <w:jc w:val="center"/>
        <w:rPr>
          <w:rFonts w:hint="eastAsia"/>
        </w:rPr>
      </w:pPr>
      <w:r>
        <w:rPr>
          <w:rFonts w:hint="eastAsia" w:ascii="黑体" w:hAnsi="黑体" w:eastAsia="黑体" w:cs="黑体"/>
          <w:lang w:val="en-US" w:eastAsia="zh-CN"/>
        </w:rPr>
        <w:t>表G.1</w:t>
      </w:r>
    </w:p>
    <w:p>
      <w:pPr>
        <w:pStyle w:val="56"/>
        <w:ind w:firstLine="0" w:firstLineChars="0"/>
      </w:pPr>
    </w:p>
    <w:p>
      <w:pPr>
        <w:pStyle w:val="56"/>
        <w:ind w:firstLine="0" w:firstLineChars="0"/>
      </w:pPr>
      <w:r>
        <w:drawing>
          <wp:inline distT="0" distB="0" distL="114300" distR="114300">
            <wp:extent cx="8970645" cy="3823970"/>
            <wp:effectExtent l="0" t="0" r="1905" b="5080"/>
            <wp:docPr id="33" name="图片 2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3" name="图片 28"/>
                    <pic:cNvPicPr>
                      <a:picLocks noChangeAspect="true"/>
                    </pic:cNvPicPr>
                  </pic:nvPicPr>
                  <pic:blipFill>
                    <a:blip r:embed="rId158"/>
                    <a:stretch>
                      <a:fillRect/>
                    </a:stretch>
                  </pic:blipFill>
                  <pic:spPr>
                    <a:xfrm>
                      <a:off x="0" y="0"/>
                      <a:ext cx="8970645" cy="3823970"/>
                    </a:xfrm>
                    <a:prstGeom prst="rect">
                      <a:avLst/>
                    </a:prstGeom>
                    <a:noFill/>
                    <a:ln>
                      <a:noFill/>
                    </a:ln>
                  </pic:spPr>
                </pic:pic>
              </a:graphicData>
            </a:graphic>
          </wp:inline>
        </w:drawing>
      </w:r>
    </w:p>
    <w:p>
      <w:pPr>
        <w:pStyle w:val="56"/>
        <w:ind w:firstLine="0" w:firstLineChars="0"/>
      </w:pPr>
    </w:p>
    <w:p>
      <w:pPr>
        <w:pStyle w:val="76"/>
        <w:spacing w:after="156"/>
        <w:rPr>
          <w:rFonts w:hint="eastAsia"/>
        </w:rPr>
      </w:pPr>
      <w:bookmarkStart w:id="213" w:name="_Toc3157"/>
      <w:r>
        <w:br w:type="textWrapping"/>
      </w:r>
      <w:r>
        <w:rPr>
          <w:rFonts w:hint="eastAsia"/>
        </w:rPr>
        <w:t>（资料性）</w:t>
      </w:r>
      <w:r>
        <w:br w:type="textWrapping"/>
      </w:r>
      <w:r>
        <w:rPr>
          <w:rFonts w:hint="eastAsia" w:ascii="宋体" w:hAnsi="宋体" w:cs="宋体"/>
          <w:b w:val="0"/>
          <w:bCs w:val="0"/>
          <w:color w:val="auto"/>
          <w:sz w:val="21"/>
          <w:szCs w:val="21"/>
        </w:rPr>
        <w:t>螺杆灌注桩质量控制记录</w:t>
      </w:r>
      <w:r>
        <w:rPr>
          <w:rFonts w:hint="eastAsia" w:ascii="宋体" w:hAnsi="宋体" w:cs="宋体"/>
          <w:b w:val="0"/>
          <w:bCs w:val="0"/>
          <w:color w:val="auto"/>
          <w:sz w:val="21"/>
          <w:szCs w:val="21"/>
          <w:lang w:eastAsia="zh-CN"/>
        </w:rPr>
        <w:t>表</w:t>
      </w:r>
      <w:bookmarkEnd w:id="213"/>
    </w:p>
    <w:p>
      <w:pPr>
        <w:pStyle w:val="56"/>
        <w:rPr>
          <w:rFonts w:hint="eastAsia" w:ascii="黑体" w:hAnsi="黑体" w:eastAsia="宋体" w:cs="黑体"/>
          <w:lang w:val="en-US" w:eastAsia="zh-CN"/>
        </w:rPr>
      </w:pPr>
      <w:r>
        <w:rPr>
          <w:rFonts w:hint="eastAsia" w:ascii="黑体" w:hAnsi="黑体" w:eastAsia="黑体" w:cs="黑体"/>
          <w:lang w:eastAsia="zh-CN"/>
        </w:rPr>
        <w:t>表</w:t>
      </w:r>
      <w:r>
        <w:rPr>
          <w:rFonts w:hint="eastAsia" w:ascii="黑体" w:hAnsi="黑体" w:eastAsia="黑体" w:cs="黑体"/>
          <w:lang w:val="en-US" w:eastAsia="zh-CN"/>
        </w:rPr>
        <w:t>H.1为</w:t>
      </w:r>
      <w:r>
        <w:rPr>
          <w:rFonts w:hint="eastAsia" w:ascii="宋体" w:hAnsi="宋体" w:cs="宋体"/>
          <w:b w:val="0"/>
          <w:bCs w:val="0"/>
          <w:color w:val="auto"/>
          <w:sz w:val="21"/>
          <w:szCs w:val="21"/>
        </w:rPr>
        <w:t>螺杆灌注桩质量控制记录</w:t>
      </w:r>
      <w:r>
        <w:rPr>
          <w:rFonts w:hint="eastAsia" w:ascii="宋体" w:hAnsi="宋体" w:cs="宋体"/>
          <w:b w:val="0"/>
          <w:bCs w:val="0"/>
          <w:color w:val="auto"/>
          <w:sz w:val="21"/>
          <w:szCs w:val="21"/>
          <w:lang w:eastAsia="zh-CN"/>
        </w:rPr>
        <w:t>表</w:t>
      </w:r>
      <w:r>
        <w:rPr>
          <w:rFonts w:hint="eastAsia"/>
          <w:lang w:val="en-US" w:eastAsia="zh-CN"/>
        </w:rPr>
        <w:t>范本</w:t>
      </w:r>
    </w:p>
    <w:p>
      <w:pPr>
        <w:pStyle w:val="56"/>
        <w:jc w:val="center"/>
        <w:rPr>
          <w:rFonts w:hint="eastAsia"/>
        </w:rPr>
      </w:pPr>
      <w:r>
        <w:rPr>
          <w:rFonts w:hint="eastAsia" w:ascii="黑体" w:hAnsi="黑体" w:eastAsia="黑体" w:cs="黑体"/>
          <w:lang w:val="en-US" w:eastAsia="zh-CN"/>
        </w:rPr>
        <w:t>表H.1</w:t>
      </w:r>
    </w:p>
    <w:p>
      <w:pPr>
        <w:pStyle w:val="56"/>
        <w:ind w:firstLine="0" w:firstLineChars="0"/>
      </w:pPr>
    </w:p>
    <w:p>
      <w:pPr>
        <w:pStyle w:val="56"/>
        <w:ind w:firstLine="0" w:firstLineChars="0"/>
        <w:sectPr>
          <w:pgSz w:w="16838" w:h="11906" w:orient="landscape"/>
          <w:pgMar w:top="1134" w:right="1871" w:bottom="1134" w:left="1134" w:header="1418" w:footer="1247" w:gutter="284"/>
          <w:cols w:space="425" w:num="1"/>
          <w:formProt w:val="0"/>
          <w:docGrid w:type="lines" w:linePitch="312" w:charSpace="0"/>
        </w:sectPr>
      </w:pPr>
      <w:r>
        <w:drawing>
          <wp:inline distT="0" distB="0" distL="114300" distR="114300">
            <wp:extent cx="9044305" cy="4080510"/>
            <wp:effectExtent l="0" t="0" r="4445" b="15240"/>
            <wp:docPr id="34" name="图片 2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4" name="图片 29"/>
                    <pic:cNvPicPr>
                      <a:picLocks noChangeAspect="true"/>
                    </pic:cNvPicPr>
                  </pic:nvPicPr>
                  <pic:blipFill>
                    <a:blip r:embed="rId159"/>
                    <a:stretch>
                      <a:fillRect/>
                    </a:stretch>
                  </pic:blipFill>
                  <pic:spPr>
                    <a:xfrm>
                      <a:off x="0" y="0"/>
                      <a:ext cx="9044305" cy="4080510"/>
                    </a:xfrm>
                    <a:prstGeom prst="rect">
                      <a:avLst/>
                    </a:prstGeom>
                    <a:noFill/>
                    <a:ln>
                      <a:noFill/>
                    </a:ln>
                  </pic:spPr>
                </pic:pic>
              </a:graphicData>
            </a:graphic>
          </wp:inline>
        </w:drawing>
      </w:r>
    </w:p>
    <w:p>
      <w:pPr>
        <w:pStyle w:val="76"/>
        <w:spacing w:after="156"/>
        <w:rPr>
          <w:rFonts w:hint="eastAsia"/>
        </w:rPr>
      </w:pPr>
      <w:bookmarkStart w:id="214" w:name="_Toc20810"/>
      <w:r>
        <w:br w:type="textWrapping"/>
      </w:r>
      <w:r>
        <w:rPr>
          <w:rFonts w:hint="eastAsia"/>
        </w:rPr>
        <w:t>（资料性）</w:t>
      </w:r>
      <w:r>
        <w:br w:type="textWrapping"/>
      </w:r>
      <w:r>
        <w:rPr>
          <w:rFonts w:hint="eastAsia" w:ascii="宋体" w:hAnsi="宋体" w:eastAsia="宋体" w:cs="宋体"/>
          <w:color w:val="auto"/>
          <w:sz w:val="21"/>
          <w:szCs w:val="21"/>
        </w:rPr>
        <w:t>螺杆灌注桩桩基设计说明</w:t>
      </w:r>
      <w:bookmarkEnd w:id="214"/>
    </w:p>
    <w:p>
      <w:pPr>
        <w:pStyle w:val="56"/>
        <w:ind w:firstLine="0" w:firstLineChars="0"/>
      </w:pPr>
    </w:p>
    <w:p>
      <w:pPr>
        <w:numPr>
          <w:ilvl w:val="0"/>
          <w:numId w:val="0"/>
        </w:numPr>
        <w:jc w:val="left"/>
        <w:rPr>
          <w:rFonts w:hint="eastAsia" w:ascii="宋体" w:hAnsi="宋体" w:cs="宋体"/>
          <w:b/>
          <w:bCs/>
          <w:color w:val="auto"/>
          <w:sz w:val="18"/>
          <w:szCs w:val="18"/>
        </w:rPr>
      </w:pPr>
      <w:r>
        <w:rPr>
          <w:rFonts w:hint="eastAsia" w:ascii="宋体" w:hAnsi="宋体" w:cs="宋体"/>
          <w:b/>
          <w:bCs/>
          <w:color w:val="auto"/>
          <w:sz w:val="18"/>
          <w:szCs w:val="18"/>
        </w:rPr>
        <w:t>设计说明</w:t>
      </w:r>
    </w:p>
    <w:p>
      <w:pPr>
        <w:numPr>
          <w:ilvl w:val="0"/>
          <w:numId w:val="0"/>
        </w:numPr>
        <w:rPr>
          <w:rFonts w:hint="eastAsia" w:ascii="宋体" w:hAnsi="宋体" w:cs="宋体"/>
          <w:color w:val="auto"/>
          <w:sz w:val="18"/>
          <w:szCs w:val="18"/>
        </w:rPr>
      </w:pPr>
      <w:r>
        <w:rPr>
          <w:rFonts w:hint="eastAsia" w:ascii="宋体" w:hAnsi="宋体" w:cs="宋体"/>
          <w:color w:val="auto"/>
          <w:sz w:val="18"/>
          <w:szCs w:val="18"/>
          <w:lang w:eastAsia="zh-CN"/>
        </w:rPr>
        <w:t>一、</w:t>
      </w:r>
      <w:r>
        <w:rPr>
          <w:rFonts w:hint="eastAsia" w:ascii="宋体" w:hAnsi="宋体" w:cs="宋体"/>
          <w:color w:val="auto"/>
          <w:sz w:val="18"/>
          <w:szCs w:val="18"/>
        </w:rPr>
        <w:t>设计依据：</w:t>
      </w:r>
    </w:p>
    <w:p>
      <w:pPr>
        <w:numPr>
          <w:ilvl w:val="0"/>
          <w:numId w:val="0"/>
        </w:numPr>
        <w:ind w:firstLine="360" w:firstLineChars="200"/>
        <w:rPr>
          <w:rFonts w:hint="eastAsia" w:ascii="宋体" w:hAnsi="宋体" w:cs="宋体"/>
          <w:color w:val="auto"/>
          <w:sz w:val="18"/>
          <w:szCs w:val="18"/>
        </w:rPr>
      </w:pPr>
      <w:r>
        <w:rPr>
          <w:rFonts w:hint="eastAsia" w:ascii="宋体" w:hAnsi="宋体" w:cs="宋体"/>
          <w:color w:val="auto"/>
          <w:sz w:val="18"/>
          <w:szCs w:val="18"/>
          <w:lang w:val="en-US" w:eastAsia="zh-CN"/>
        </w:rPr>
        <w:t>1、</w:t>
      </w:r>
      <w:r>
        <w:rPr>
          <w:rFonts w:hint="eastAsia" w:ascii="宋体" w:hAnsi="宋体" w:cs="宋体"/>
          <w:color w:val="auto"/>
          <w:sz w:val="18"/>
          <w:szCs w:val="18"/>
        </w:rPr>
        <w:t>XXXX勘察院提供的《XXXX岩土工程勘察报告》（工程编号：XXXX）</w:t>
      </w:r>
      <w:r>
        <w:rPr>
          <w:rFonts w:hint="eastAsia" w:ascii="宋体" w:hAnsi="宋体" w:cs="宋体"/>
          <w:color w:val="auto"/>
          <w:sz w:val="18"/>
          <w:szCs w:val="18"/>
          <w:lang w:eastAsia="zh-CN"/>
        </w:rPr>
        <w:t>，当发现地质条件与勘察报告和设计文件不一致、或遇到异常情况时，应通知有关人员协同处理；</w:t>
      </w:r>
    </w:p>
    <w:p>
      <w:pPr>
        <w:numPr>
          <w:ilvl w:val="0"/>
          <w:numId w:val="0"/>
        </w:numPr>
        <w:ind w:firstLine="360" w:firstLineChars="200"/>
        <w:rPr>
          <w:rFonts w:hint="eastAsia" w:ascii="宋体" w:hAnsi="宋体" w:cs="宋体"/>
          <w:color w:val="auto"/>
          <w:sz w:val="18"/>
          <w:szCs w:val="18"/>
        </w:rPr>
      </w:pPr>
      <w:r>
        <w:rPr>
          <w:rFonts w:hint="eastAsia" w:ascii="宋体" w:hAnsi="宋体" w:cs="宋体"/>
          <w:color w:val="auto"/>
          <w:sz w:val="18"/>
          <w:szCs w:val="18"/>
          <w:lang w:val="en-US" w:eastAsia="zh-CN"/>
        </w:rPr>
        <w:t>2、湖北省工程建设地方标准</w:t>
      </w:r>
      <w:r>
        <w:rPr>
          <w:rFonts w:hint="eastAsia" w:ascii="宋体" w:hAnsi="宋体" w:cs="宋体"/>
          <w:color w:val="auto"/>
          <w:sz w:val="18"/>
          <w:szCs w:val="18"/>
        </w:rPr>
        <w:t>《螺杆灌注桩技术</w:t>
      </w:r>
      <w:r>
        <w:rPr>
          <w:rFonts w:hint="eastAsia" w:ascii="宋体" w:hAnsi="宋体" w:cs="宋体"/>
          <w:color w:val="auto"/>
          <w:sz w:val="18"/>
          <w:szCs w:val="18"/>
          <w:lang w:eastAsia="zh-CN"/>
        </w:rPr>
        <w:t>标准</w:t>
      </w:r>
      <w:r>
        <w:rPr>
          <w:rFonts w:hint="eastAsia" w:ascii="宋体" w:hAnsi="宋体" w:cs="宋体"/>
          <w:color w:val="auto"/>
          <w:sz w:val="18"/>
          <w:szCs w:val="18"/>
        </w:rPr>
        <w:t>》</w:t>
      </w:r>
      <w:r>
        <w:rPr>
          <w:rFonts w:hint="eastAsia" w:ascii="宋体" w:hAnsi="宋体" w:cs="宋体"/>
          <w:color w:val="auto"/>
          <w:sz w:val="18"/>
          <w:szCs w:val="18"/>
          <w:lang w:val="en-US" w:eastAsia="zh-CN"/>
        </w:rPr>
        <w:t>XXXXX</w:t>
      </w:r>
      <w:r>
        <w:rPr>
          <w:rFonts w:hint="eastAsia" w:ascii="宋体" w:hAnsi="宋体" w:cs="宋体"/>
          <w:color w:val="auto"/>
          <w:sz w:val="18"/>
          <w:szCs w:val="18"/>
        </w:rPr>
        <w:t>-XXX-XXXX</w:t>
      </w:r>
      <w:r>
        <w:rPr>
          <w:rFonts w:hint="eastAsia" w:ascii="宋体" w:hAnsi="宋体" w:cs="宋体"/>
          <w:color w:val="auto"/>
          <w:sz w:val="18"/>
          <w:szCs w:val="18"/>
          <w:lang w:eastAsia="zh-CN"/>
        </w:rPr>
        <w:t>；</w:t>
      </w:r>
    </w:p>
    <w:p>
      <w:pPr>
        <w:numPr>
          <w:ilvl w:val="0"/>
          <w:numId w:val="0"/>
        </w:numPr>
        <w:ind w:firstLine="360" w:firstLineChars="200"/>
        <w:rPr>
          <w:rFonts w:hint="eastAsia" w:ascii="宋体" w:hAnsi="宋体" w:eastAsia="宋体" w:cs="宋体"/>
          <w:color w:val="auto"/>
          <w:sz w:val="18"/>
          <w:szCs w:val="18"/>
          <w:lang w:eastAsia="zh-CN"/>
        </w:rPr>
      </w:pPr>
      <w:r>
        <w:rPr>
          <w:rFonts w:hint="eastAsia" w:ascii="宋体" w:hAnsi="宋体" w:cs="宋体"/>
          <w:color w:val="auto"/>
          <w:sz w:val="18"/>
          <w:szCs w:val="18"/>
          <w:lang w:val="en-US" w:eastAsia="zh-CN"/>
        </w:rPr>
        <w:t>3、</w:t>
      </w:r>
      <w:r>
        <w:rPr>
          <w:rFonts w:hint="eastAsia" w:ascii="宋体" w:hAnsi="宋体" w:cs="宋体"/>
          <w:color w:val="auto"/>
          <w:sz w:val="18"/>
          <w:szCs w:val="18"/>
        </w:rPr>
        <w:t>《建筑桩基技术规范》 JGJ 94-XXXX</w:t>
      </w:r>
      <w:r>
        <w:rPr>
          <w:rFonts w:hint="eastAsia" w:ascii="宋体" w:hAnsi="宋体" w:cs="宋体"/>
          <w:color w:val="auto"/>
          <w:sz w:val="18"/>
          <w:szCs w:val="18"/>
          <w:lang w:eastAsia="zh-CN"/>
        </w:rPr>
        <w:t>；</w:t>
      </w:r>
    </w:p>
    <w:p>
      <w:pPr>
        <w:numPr>
          <w:ilvl w:val="0"/>
          <w:numId w:val="0"/>
        </w:numPr>
        <w:ind w:firstLine="360" w:firstLineChars="200"/>
        <w:rPr>
          <w:rFonts w:hint="eastAsia" w:ascii="宋体" w:hAnsi="宋体" w:cs="宋体"/>
          <w:color w:val="auto"/>
          <w:sz w:val="18"/>
          <w:szCs w:val="18"/>
          <w:lang w:eastAsia="zh-CN"/>
        </w:rPr>
      </w:pPr>
      <w:r>
        <w:rPr>
          <w:rFonts w:hint="eastAsia" w:ascii="宋体" w:hAnsi="宋体" w:cs="宋体"/>
          <w:color w:val="auto"/>
          <w:sz w:val="18"/>
          <w:szCs w:val="18"/>
          <w:lang w:val="en-US" w:eastAsia="zh-CN"/>
        </w:rPr>
        <w:t>4、《建筑地基基础设计规范》GB 50007-</w:t>
      </w:r>
      <w:r>
        <w:rPr>
          <w:rFonts w:hint="eastAsia" w:ascii="宋体" w:hAnsi="宋体" w:cs="宋体"/>
          <w:color w:val="auto"/>
          <w:sz w:val="18"/>
          <w:szCs w:val="18"/>
        </w:rPr>
        <w:t>XXXX</w:t>
      </w:r>
      <w:r>
        <w:rPr>
          <w:rFonts w:hint="eastAsia" w:ascii="宋体" w:hAnsi="宋体" w:cs="宋体"/>
          <w:color w:val="auto"/>
          <w:sz w:val="18"/>
          <w:szCs w:val="18"/>
          <w:lang w:eastAsia="zh-CN"/>
        </w:rPr>
        <w:t>；</w:t>
      </w:r>
    </w:p>
    <w:p>
      <w:pPr>
        <w:numPr>
          <w:ilvl w:val="0"/>
          <w:numId w:val="0"/>
        </w:numPr>
        <w:ind w:firstLine="360" w:firstLineChars="200"/>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 xml:space="preserve">5、《建筑基桩检测技术规范》JGJ 106 </w:t>
      </w:r>
      <w:r>
        <w:rPr>
          <w:rFonts w:hint="eastAsia" w:ascii="宋体" w:hAnsi="宋体" w:cs="宋体"/>
          <w:color w:val="auto"/>
          <w:sz w:val="18"/>
          <w:szCs w:val="18"/>
        </w:rPr>
        <w:t>-XXXX</w:t>
      </w:r>
      <w:r>
        <w:rPr>
          <w:rFonts w:hint="eastAsia" w:ascii="宋体" w:hAnsi="宋体" w:cs="宋体"/>
          <w:color w:val="auto"/>
          <w:sz w:val="18"/>
          <w:szCs w:val="18"/>
          <w:lang w:eastAsia="zh-CN"/>
        </w:rPr>
        <w:t>。</w:t>
      </w:r>
      <w:r>
        <w:rPr>
          <w:rFonts w:hint="eastAsia" w:ascii="宋体" w:hAnsi="宋体" w:cs="宋体"/>
          <w:color w:val="auto"/>
          <w:sz w:val="18"/>
          <w:szCs w:val="18"/>
          <w:lang w:val="en-US" w:eastAsia="zh-CN"/>
        </w:rPr>
        <w:t xml:space="preserve"> </w:t>
      </w:r>
    </w:p>
    <w:p>
      <w:pPr>
        <w:numPr>
          <w:ilvl w:val="0"/>
          <w:numId w:val="0"/>
        </w:numPr>
        <w:rPr>
          <w:rFonts w:hint="eastAsia" w:ascii="宋体" w:hAnsi="宋体" w:cs="宋体"/>
          <w:color w:val="auto"/>
          <w:sz w:val="18"/>
          <w:szCs w:val="18"/>
        </w:rPr>
      </w:pPr>
      <w:r>
        <w:rPr>
          <w:rFonts w:hint="eastAsia" w:ascii="宋体" w:hAnsi="宋体" w:cs="宋体"/>
          <w:color w:val="auto"/>
          <w:sz w:val="18"/>
          <w:szCs w:val="18"/>
          <w:lang w:val="en-US" w:eastAsia="zh-CN"/>
        </w:rPr>
        <w:t>二、</w:t>
      </w:r>
      <w:r>
        <w:rPr>
          <w:rFonts w:hint="eastAsia" w:ascii="宋体" w:hAnsi="宋体" w:cs="宋体"/>
          <w:color w:val="auto"/>
          <w:sz w:val="18"/>
          <w:szCs w:val="18"/>
        </w:rPr>
        <w:t>设计说明：</w:t>
      </w:r>
    </w:p>
    <w:p>
      <w:pPr>
        <w:numPr>
          <w:ilvl w:val="0"/>
          <w:numId w:val="0"/>
        </w:numPr>
        <w:ind w:firstLine="360" w:firstLineChars="200"/>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1、本工程桩型为螺杆灌注桩；</w:t>
      </w:r>
    </w:p>
    <w:p>
      <w:pPr>
        <w:numPr>
          <w:ilvl w:val="0"/>
          <w:numId w:val="0"/>
        </w:numPr>
        <w:ind w:firstLine="360" w:firstLineChars="200"/>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2、螺杆灌注桩设计参数详桩表。</w:t>
      </w:r>
    </w:p>
    <w:p>
      <w:pPr>
        <w:numPr>
          <w:ilvl w:val="0"/>
          <w:numId w:val="0"/>
        </w:numPr>
        <w:rPr>
          <w:rFonts w:hint="eastAsia" w:ascii="宋体" w:hAnsi="宋体" w:cs="宋体"/>
          <w:color w:val="auto"/>
          <w:sz w:val="18"/>
          <w:szCs w:val="18"/>
          <w:lang w:eastAsia="zh-CN"/>
        </w:rPr>
      </w:pPr>
      <w:r>
        <w:rPr>
          <w:rFonts w:hint="eastAsia" w:ascii="宋体" w:hAnsi="宋体" w:cs="宋体"/>
          <w:color w:val="auto"/>
          <w:sz w:val="18"/>
          <w:szCs w:val="18"/>
          <w:lang w:eastAsia="zh-CN"/>
        </w:rPr>
        <w:t>三、施工说明：</w:t>
      </w:r>
    </w:p>
    <w:p>
      <w:pPr>
        <w:numPr>
          <w:ilvl w:val="0"/>
          <w:numId w:val="0"/>
        </w:numPr>
        <w:ind w:firstLine="360" w:firstLineChars="200"/>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1、施工前应先做成孔成桩试验,打试桩，并做静载试验，试验结果应及时通知设计院，以便根据试验结果确定是否需要调整桩设计参数；</w:t>
      </w:r>
    </w:p>
    <w:p>
      <w:pPr>
        <w:numPr>
          <w:ilvl w:val="0"/>
          <w:numId w:val="0"/>
        </w:numPr>
        <w:ind w:firstLine="360" w:firstLineChars="200"/>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2、施工采用桩机同步技术旋转挤压土体成孔，管内泵送混凝土成桩。混凝土灌注充盈系数≥1.10；水泥用量≥400kg/m</w:t>
      </w:r>
      <w:r>
        <w:rPr>
          <w:rFonts w:hint="eastAsia" w:ascii="宋体" w:hAnsi="宋体" w:cs="宋体"/>
          <w:color w:val="auto"/>
          <w:sz w:val="18"/>
          <w:szCs w:val="18"/>
          <w:vertAlign w:val="superscript"/>
          <w:lang w:val="en-US" w:eastAsia="zh-CN"/>
        </w:rPr>
        <w:t>3</w:t>
      </w:r>
      <w:r>
        <w:rPr>
          <w:rFonts w:hint="eastAsia" w:ascii="宋体" w:hAnsi="宋体" w:cs="宋体"/>
          <w:color w:val="auto"/>
          <w:sz w:val="18"/>
          <w:szCs w:val="18"/>
          <w:lang w:val="en-US" w:eastAsia="zh-CN"/>
        </w:rPr>
        <w:t>混凝土,粗骨料粒径5</w:t>
      </w:r>
      <w:r>
        <w:rPr>
          <w:rFonts w:hint="eastAsia" w:ascii="仿宋" w:hAnsi="仿宋" w:eastAsia="仿宋" w:cs="仿宋"/>
          <w:color w:val="auto"/>
          <w:sz w:val="18"/>
          <w:szCs w:val="18"/>
          <w:lang w:val="en-US" w:eastAsia="zh-CN"/>
        </w:rPr>
        <w:t>～</w:t>
      </w:r>
      <w:r>
        <w:rPr>
          <w:rFonts w:hint="eastAsia" w:ascii="宋体" w:hAnsi="宋体" w:cs="宋体"/>
          <w:color w:val="auto"/>
          <w:sz w:val="18"/>
          <w:szCs w:val="18"/>
          <w:lang w:val="en-US" w:eastAsia="zh-CN"/>
        </w:rPr>
        <w:t>15mm，细骨料为中粗河沙，缓凝时间不少于8小时，混凝土塌落度220</w:t>
      </w:r>
      <w:r>
        <w:rPr>
          <w:rFonts w:hint="eastAsia" w:ascii="仿宋" w:hAnsi="仿宋" w:eastAsia="仿宋" w:cs="仿宋"/>
          <w:color w:val="auto"/>
          <w:sz w:val="18"/>
          <w:szCs w:val="18"/>
          <w:lang w:val="en-US" w:eastAsia="zh-CN"/>
        </w:rPr>
        <w:t>～</w:t>
      </w:r>
      <w:r>
        <w:rPr>
          <w:rFonts w:hint="eastAsia" w:ascii="宋体" w:hAnsi="宋体" w:cs="宋体"/>
          <w:color w:val="auto"/>
          <w:sz w:val="18"/>
          <w:szCs w:val="18"/>
          <w:lang w:val="en-US" w:eastAsia="zh-CN"/>
        </w:rPr>
        <w:t>240mm。桩身的混凝土设计强度等级为：C  (水下),在浇注混凝土时应按照规范采用相应的施工配比；</w:t>
      </w:r>
    </w:p>
    <w:p>
      <w:pPr>
        <w:numPr>
          <w:ilvl w:val="0"/>
          <w:numId w:val="0"/>
        </w:numPr>
        <w:ind w:firstLine="360" w:firstLineChars="200"/>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3、桩机钻杆垂直度小于等于1%，采用钻机塔架双面控制技术措施；</w:t>
      </w:r>
    </w:p>
    <w:p>
      <w:pPr>
        <w:numPr>
          <w:ilvl w:val="0"/>
          <w:numId w:val="0"/>
        </w:numPr>
        <w:ind w:firstLine="360" w:firstLineChars="200"/>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4、当气温高于30℃时,宜在输送泵管上覆盖隔热材料,每隔一段时间应洒水降温；</w:t>
      </w:r>
    </w:p>
    <w:p>
      <w:pPr>
        <w:numPr>
          <w:ilvl w:val="0"/>
          <w:numId w:val="0"/>
        </w:numPr>
        <w:ind w:firstLine="360" w:firstLineChars="200"/>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5、开工前应试打桩,确定混凝土用量并换算成泵机打泵数量（泵量/每根桩）,确定提升速度,确保混凝土用量不得少于规定用量；</w:t>
      </w:r>
    </w:p>
    <w:p>
      <w:pPr>
        <w:numPr>
          <w:ilvl w:val="0"/>
          <w:numId w:val="0"/>
        </w:numPr>
        <w:ind w:firstLine="360" w:firstLineChars="200"/>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6、钻机主桅杆应在明显位置标明钻杆深度尺寸；</w:t>
      </w:r>
    </w:p>
    <w:p>
      <w:pPr>
        <w:numPr>
          <w:ilvl w:val="0"/>
          <w:numId w:val="0"/>
        </w:numPr>
        <w:ind w:firstLine="360" w:firstLineChars="200"/>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7、混凝土必须连续泵送，泵机采用60B泵或80泵；</w:t>
      </w:r>
    </w:p>
    <w:p>
      <w:pPr>
        <w:numPr>
          <w:ilvl w:val="0"/>
          <w:numId w:val="0"/>
        </w:numPr>
        <w:ind w:firstLine="360" w:firstLineChars="200"/>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8、桩顶混凝土超灌高度不小于500mm；</w:t>
      </w:r>
    </w:p>
    <w:p>
      <w:pPr>
        <w:numPr>
          <w:ilvl w:val="0"/>
          <w:numId w:val="0"/>
        </w:numPr>
        <w:ind w:firstLine="360" w:firstLineChars="200"/>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9、钢筋笼采用后置式安装。制作的钢筋笼,其接头采用焊接,应遵守《混凝土结构工程施工及验收规范》(GB50204)；</w:t>
      </w:r>
    </w:p>
    <w:p>
      <w:pPr>
        <w:numPr>
          <w:ilvl w:val="0"/>
          <w:numId w:val="0"/>
        </w:numPr>
        <w:ind w:firstLine="360" w:firstLineChars="200"/>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10、本工程螺杆灌注桩的主筋,螺旋箍筋和加劲箍筋等焊接成钢筋笼，若分段制作，钢筋笼连接时应采用焊接，接头须错开，焊条采用E43及E50型，钢筋笼沿桩长间隔1.5m设置</w:t>
      </w:r>
      <w:r>
        <w:rPr>
          <w:rFonts w:hint="default" w:ascii="Arial" w:hAnsi="Arial" w:cs="Arial"/>
          <w:color w:val="auto"/>
          <w:sz w:val="18"/>
          <w:szCs w:val="18"/>
          <w:lang w:val="en-US" w:eastAsia="zh-CN"/>
        </w:rPr>
        <w:t>Ф</w:t>
      </w:r>
      <w:r>
        <w:rPr>
          <w:rFonts w:hint="eastAsia" w:ascii="宋体" w:hAnsi="宋体" w:cs="宋体"/>
          <w:color w:val="auto"/>
          <w:sz w:val="18"/>
          <w:szCs w:val="18"/>
          <w:lang w:val="en-US" w:eastAsia="zh-CN"/>
        </w:rPr>
        <w:t>12加劲箍筋,主筋和箍筋均不做弯钩，应采用焊接，最底下一道箍筋应对准主筋底端焊牢，主筋在同一截面,主筋端部为锥形；</w:t>
      </w:r>
    </w:p>
    <w:p>
      <w:pPr>
        <w:numPr>
          <w:ilvl w:val="0"/>
          <w:numId w:val="0"/>
        </w:numPr>
        <w:ind w:firstLine="360" w:firstLineChars="200"/>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11、基槽开挖时，严禁在桩身部分用重锤或挖斗横向锤击或撞击，否则造成浅层断桩由基槽开挖施工方负责；</w:t>
      </w:r>
    </w:p>
    <w:p>
      <w:pPr>
        <w:numPr>
          <w:ilvl w:val="0"/>
          <w:numId w:val="0"/>
        </w:numPr>
        <w:ind w:firstLine="360" w:firstLineChars="200"/>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12、桩径允许偏差为不小于设计值，垂直度允许偏差为1.0％。</w:t>
      </w:r>
    </w:p>
    <w:p>
      <w:pPr>
        <w:numPr>
          <w:ilvl w:val="0"/>
          <w:numId w:val="0"/>
        </w:numPr>
        <w:ind w:firstLine="360" w:firstLineChars="200"/>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13、1～3根桩、条形桩基垂直轴线方向和群桩基础中的边桩允许偏差为d</w:t>
      </w:r>
      <w:r>
        <w:rPr>
          <w:rFonts w:hint="eastAsia" w:ascii="宋体" w:hAnsi="宋体" w:cs="宋体"/>
          <w:color w:val="auto"/>
          <w:sz w:val="18"/>
          <w:szCs w:val="18"/>
          <w:vertAlign w:val="subscript"/>
          <w:lang w:val="en-US" w:eastAsia="zh-CN"/>
        </w:rPr>
        <w:t>1</w:t>
      </w:r>
      <w:r>
        <w:rPr>
          <w:rFonts w:hint="eastAsia" w:ascii="宋体" w:hAnsi="宋体" w:cs="宋体"/>
          <w:color w:val="auto"/>
          <w:sz w:val="18"/>
          <w:szCs w:val="18"/>
          <w:lang w:val="en-US" w:eastAsia="zh-CN"/>
        </w:rPr>
        <w:t>/6且不大于100mm，条形桩基沿轴线方向和群桩基础的中间桩允许偏差为d</w:t>
      </w:r>
      <w:r>
        <w:rPr>
          <w:rFonts w:hint="eastAsia" w:ascii="宋体" w:hAnsi="宋体" w:cs="宋体"/>
          <w:color w:val="auto"/>
          <w:sz w:val="18"/>
          <w:szCs w:val="18"/>
          <w:vertAlign w:val="subscript"/>
          <w:lang w:val="en-US" w:eastAsia="zh-CN"/>
        </w:rPr>
        <w:t>1</w:t>
      </w:r>
      <w:r>
        <w:rPr>
          <w:rFonts w:hint="eastAsia" w:ascii="宋体" w:hAnsi="宋体" w:cs="宋体"/>
          <w:color w:val="auto"/>
          <w:sz w:val="18"/>
          <w:szCs w:val="18"/>
          <w:lang w:val="en-US" w:eastAsia="zh-CN"/>
        </w:rPr>
        <w:t>/4且不大于150mm。</w:t>
      </w:r>
    </w:p>
    <w:p>
      <w:pPr>
        <w:numPr>
          <w:ilvl w:val="0"/>
          <w:numId w:val="0"/>
        </w:numPr>
        <w:ind w:firstLine="0" w:firstLineChars="0"/>
        <w:rPr>
          <w:rFonts w:hint="eastAsia" w:ascii="宋体" w:hAnsi="宋体" w:cs="宋体"/>
          <w:color w:val="auto"/>
          <w:sz w:val="18"/>
          <w:szCs w:val="18"/>
        </w:rPr>
      </w:pPr>
      <w:r>
        <w:rPr>
          <w:rFonts w:hint="eastAsia" w:ascii="宋体" w:hAnsi="宋体" w:cs="宋体"/>
          <w:color w:val="auto"/>
          <w:sz w:val="18"/>
          <w:szCs w:val="18"/>
          <w:lang w:val="en-US" w:eastAsia="zh-CN"/>
        </w:rPr>
        <w:t>四、</w:t>
      </w:r>
      <w:r>
        <w:rPr>
          <w:rFonts w:hint="eastAsia" w:ascii="宋体" w:hAnsi="宋体" w:cs="宋体"/>
          <w:color w:val="auto"/>
          <w:sz w:val="18"/>
          <w:szCs w:val="18"/>
        </w:rPr>
        <w:t>桩基检测：</w:t>
      </w:r>
    </w:p>
    <w:p>
      <w:pPr>
        <w:numPr>
          <w:ilvl w:val="0"/>
          <w:numId w:val="0"/>
        </w:numPr>
        <w:ind w:firstLine="360" w:firstLineChars="200"/>
        <w:rPr>
          <w:rFonts w:hint="eastAsia" w:ascii="宋体" w:hAnsi="宋体" w:cs="宋体"/>
          <w:color w:val="auto"/>
          <w:sz w:val="18"/>
          <w:szCs w:val="18"/>
        </w:rPr>
      </w:pPr>
      <w:r>
        <w:rPr>
          <w:rFonts w:hint="eastAsia" w:ascii="宋体" w:hAnsi="宋体" w:cs="宋体"/>
          <w:color w:val="auto"/>
          <w:sz w:val="18"/>
          <w:szCs w:val="18"/>
          <w:lang w:val="en-US" w:eastAsia="zh-CN"/>
        </w:rPr>
        <w:t>1、</w:t>
      </w:r>
      <w:r>
        <w:rPr>
          <w:rFonts w:hint="eastAsia" w:ascii="宋体" w:hAnsi="宋体" w:cs="宋体"/>
          <w:color w:val="auto"/>
          <w:sz w:val="18"/>
          <w:szCs w:val="18"/>
        </w:rPr>
        <w:t>单桩竖向抗压承载力采用静载试验检测，检测桩数量不少于桩总数的1%,且不少于3根。当工程桩总数小于50根时，检测数量不应少于2根。</w:t>
      </w:r>
    </w:p>
    <w:p>
      <w:pPr>
        <w:pStyle w:val="56"/>
        <w:ind w:firstLine="0" w:firstLineChars="0"/>
        <w:sectPr>
          <w:headerReference r:id="rId21" w:type="default"/>
          <w:footerReference r:id="rId23" w:type="default"/>
          <w:headerReference r:id="rId22" w:type="even"/>
          <w:footerReference r:id="rId24" w:type="even"/>
          <w:pgSz w:w="11906" w:h="16838"/>
          <w:pgMar w:top="1928" w:right="1134" w:bottom="1134" w:left="1134" w:header="1418" w:footer="1134" w:gutter="284"/>
          <w:cols w:space="425" w:num="1"/>
          <w:formProt w:val="0"/>
          <w:docGrid w:type="lines" w:linePitch="312" w:charSpace="0"/>
        </w:sectPr>
      </w:pPr>
      <w:r>
        <w:rPr>
          <w:rFonts w:hint="eastAsia" w:ascii="宋体" w:hAnsi="宋体" w:cs="宋体"/>
          <w:color w:val="auto"/>
          <w:sz w:val="18"/>
          <w:szCs w:val="18"/>
          <w:lang w:val="en-US" w:eastAsia="zh-CN"/>
        </w:rPr>
        <w:t>2、工程桩应进行桩身完整性检测。采用低应变法进行检测;检测桩数不少于总桩数的30%，且不得少于20根。</w:t>
      </w:r>
      <w:r>
        <w:rPr>
          <w:rFonts w:hint="eastAsia" w:ascii="宋体" w:hAnsi="宋体" w:cs="宋体"/>
          <w:color w:val="auto"/>
          <w:sz w:val="18"/>
          <w:szCs w:val="18"/>
        </w:rPr>
        <w:t>动测检验按《建筑基桩检测技术规范》JGJ 106执行。</w:t>
      </w:r>
    </w:p>
    <w:bookmarkEnd w:id="204"/>
    <w:p>
      <w:pPr>
        <w:pStyle w:val="76"/>
        <w:spacing w:after="156"/>
        <w:rPr>
          <w:rFonts w:hint="eastAsia"/>
        </w:rPr>
      </w:pPr>
      <w:bookmarkStart w:id="215" w:name="_Toc25308"/>
      <w:r>
        <w:br w:type="textWrapping"/>
      </w:r>
      <w:r>
        <w:rPr>
          <w:rFonts w:hint="eastAsia"/>
        </w:rPr>
        <w:t>（资料性）</w:t>
      </w:r>
      <w:r>
        <w:br w:type="textWrapping"/>
      </w:r>
      <w:r>
        <w:rPr>
          <w:rFonts w:hint="eastAsia" w:ascii="宋体" w:hAnsi="宋体" w:cs="宋体"/>
          <w:color w:val="auto"/>
          <w:sz w:val="21"/>
          <w:szCs w:val="21"/>
        </w:rPr>
        <w:t>螺杆灌注桩复合地基设计说明</w:t>
      </w:r>
      <w:bookmarkEnd w:id="215"/>
    </w:p>
    <w:p>
      <w:pPr>
        <w:pStyle w:val="198"/>
        <w:numPr>
          <w:ilvl w:val="0"/>
          <w:numId w:val="0"/>
        </w:numPr>
        <w:jc w:val="both"/>
        <w:rPr>
          <w:rFonts w:hint="eastAsia"/>
          <w:vanish w:val="0"/>
        </w:rPr>
      </w:pPr>
    </w:p>
    <w:p>
      <w:pPr>
        <w:jc w:val="both"/>
        <w:rPr>
          <w:rFonts w:hint="eastAsia" w:ascii="宋体" w:hAnsi="宋体" w:cs="宋体"/>
          <w:b/>
          <w:bCs/>
          <w:color w:val="auto"/>
          <w:sz w:val="18"/>
          <w:szCs w:val="18"/>
        </w:rPr>
      </w:pPr>
      <w:r>
        <w:rPr>
          <w:rFonts w:hint="eastAsia" w:ascii="宋体" w:hAnsi="宋体" w:cs="宋体"/>
          <w:b/>
          <w:bCs/>
          <w:color w:val="auto"/>
          <w:sz w:val="18"/>
          <w:szCs w:val="18"/>
        </w:rPr>
        <w:t>设计说明</w:t>
      </w:r>
    </w:p>
    <w:p>
      <w:pPr>
        <w:rPr>
          <w:rFonts w:hint="eastAsia" w:ascii="宋体" w:hAnsi="宋体" w:cs="宋体"/>
          <w:color w:val="auto"/>
          <w:sz w:val="18"/>
          <w:szCs w:val="18"/>
        </w:rPr>
      </w:pPr>
      <w:r>
        <w:rPr>
          <w:rFonts w:hint="eastAsia" w:ascii="宋体" w:hAnsi="宋体" w:cs="宋体"/>
          <w:color w:val="auto"/>
          <w:sz w:val="18"/>
          <w:szCs w:val="18"/>
          <w:lang w:eastAsia="zh-CN"/>
        </w:rPr>
        <w:t>一、</w:t>
      </w:r>
      <w:r>
        <w:rPr>
          <w:rFonts w:hint="eastAsia" w:ascii="宋体" w:hAnsi="宋体" w:cs="宋体"/>
          <w:color w:val="auto"/>
          <w:sz w:val="18"/>
          <w:szCs w:val="18"/>
        </w:rPr>
        <w:t>设计依据：</w:t>
      </w:r>
    </w:p>
    <w:p>
      <w:pPr>
        <w:numPr>
          <w:ilvl w:val="0"/>
          <w:numId w:val="0"/>
        </w:numPr>
        <w:rPr>
          <w:rFonts w:hint="eastAsia" w:ascii="宋体" w:hAnsi="宋体" w:cs="宋体"/>
          <w:color w:val="auto"/>
          <w:sz w:val="18"/>
          <w:szCs w:val="18"/>
        </w:rPr>
      </w:pPr>
      <w:r>
        <w:rPr>
          <w:rFonts w:hint="eastAsia" w:ascii="宋体" w:hAnsi="宋体" w:cs="宋体"/>
          <w:color w:val="auto"/>
          <w:sz w:val="18"/>
          <w:szCs w:val="18"/>
          <w:lang w:val="en-US" w:eastAsia="zh-CN"/>
        </w:rPr>
        <w:t>1、</w:t>
      </w:r>
      <w:r>
        <w:rPr>
          <w:rFonts w:hint="eastAsia" w:ascii="宋体" w:hAnsi="宋体" w:cs="宋体"/>
          <w:color w:val="auto"/>
          <w:sz w:val="18"/>
          <w:szCs w:val="18"/>
        </w:rPr>
        <w:t>XXXX勘察院提供的《XXXX岩土工程勘察报告》（工程编号：XXXX)</w:t>
      </w:r>
    </w:p>
    <w:p>
      <w:pPr>
        <w:numPr>
          <w:ilvl w:val="0"/>
          <w:numId w:val="0"/>
        </w:numPr>
        <w:rPr>
          <w:rFonts w:hint="eastAsia" w:ascii="宋体" w:hAnsi="宋体" w:cs="宋体"/>
          <w:color w:val="auto"/>
          <w:sz w:val="18"/>
          <w:szCs w:val="18"/>
        </w:rPr>
      </w:pPr>
      <w:r>
        <w:rPr>
          <w:rFonts w:hint="eastAsia" w:ascii="宋体" w:hAnsi="宋体" w:cs="宋体"/>
          <w:color w:val="auto"/>
          <w:sz w:val="18"/>
          <w:szCs w:val="18"/>
          <w:lang w:val="en-US" w:eastAsia="zh-CN"/>
        </w:rPr>
        <w:t>2、湖北省工程建设地方标准</w:t>
      </w:r>
      <w:r>
        <w:rPr>
          <w:rFonts w:hint="eastAsia" w:ascii="宋体" w:hAnsi="宋体" w:cs="宋体"/>
          <w:color w:val="auto"/>
          <w:sz w:val="18"/>
          <w:szCs w:val="18"/>
        </w:rPr>
        <w:t>《螺杆灌注桩技术</w:t>
      </w:r>
      <w:r>
        <w:rPr>
          <w:rFonts w:hint="eastAsia" w:ascii="宋体" w:hAnsi="宋体" w:cs="宋体"/>
          <w:color w:val="auto"/>
          <w:sz w:val="18"/>
          <w:szCs w:val="18"/>
          <w:lang w:eastAsia="zh-CN"/>
        </w:rPr>
        <w:t>标准</w:t>
      </w:r>
      <w:r>
        <w:rPr>
          <w:rFonts w:hint="eastAsia" w:ascii="宋体" w:hAnsi="宋体" w:cs="宋体"/>
          <w:color w:val="auto"/>
          <w:sz w:val="18"/>
          <w:szCs w:val="18"/>
        </w:rPr>
        <w:t>》</w:t>
      </w:r>
      <w:r>
        <w:rPr>
          <w:rFonts w:hint="eastAsia" w:ascii="宋体" w:hAnsi="宋体" w:cs="宋体"/>
          <w:color w:val="auto"/>
          <w:sz w:val="18"/>
          <w:szCs w:val="18"/>
          <w:lang w:val="en-US" w:eastAsia="zh-CN"/>
        </w:rPr>
        <w:t>XXXXX</w:t>
      </w:r>
      <w:r>
        <w:rPr>
          <w:rFonts w:hint="eastAsia" w:ascii="宋体" w:hAnsi="宋体" w:cs="宋体"/>
          <w:color w:val="auto"/>
          <w:sz w:val="18"/>
          <w:szCs w:val="18"/>
        </w:rPr>
        <w:t>-XXX-XXXX</w:t>
      </w:r>
      <w:r>
        <w:rPr>
          <w:rFonts w:hint="eastAsia" w:ascii="宋体" w:hAnsi="宋体" w:cs="宋体"/>
          <w:color w:val="auto"/>
          <w:sz w:val="18"/>
          <w:szCs w:val="18"/>
          <w:lang w:eastAsia="zh-CN"/>
        </w:rPr>
        <w:t>；</w:t>
      </w:r>
    </w:p>
    <w:p>
      <w:pPr>
        <w:numPr>
          <w:ilvl w:val="0"/>
          <w:numId w:val="0"/>
        </w:numPr>
        <w:rPr>
          <w:rFonts w:hint="eastAsia" w:ascii="宋体" w:hAnsi="宋体" w:eastAsia="宋体" w:cs="宋体"/>
          <w:color w:val="auto"/>
          <w:sz w:val="18"/>
          <w:szCs w:val="18"/>
          <w:lang w:eastAsia="zh-CN"/>
        </w:rPr>
      </w:pPr>
      <w:r>
        <w:rPr>
          <w:rFonts w:hint="eastAsia" w:ascii="宋体" w:hAnsi="宋体" w:cs="宋体"/>
          <w:color w:val="auto"/>
          <w:sz w:val="18"/>
          <w:szCs w:val="18"/>
          <w:lang w:val="en-US" w:eastAsia="zh-CN"/>
        </w:rPr>
        <w:t>3、</w:t>
      </w:r>
      <w:r>
        <w:rPr>
          <w:rFonts w:hint="eastAsia" w:ascii="宋体" w:hAnsi="宋体" w:cs="宋体"/>
          <w:color w:val="auto"/>
          <w:sz w:val="18"/>
          <w:szCs w:val="18"/>
        </w:rPr>
        <w:t>《建筑地基基础设计规范》GB 50007-XXXX</w:t>
      </w:r>
      <w:r>
        <w:rPr>
          <w:rFonts w:hint="eastAsia" w:ascii="宋体" w:hAnsi="宋体" w:cs="宋体"/>
          <w:color w:val="auto"/>
          <w:sz w:val="18"/>
          <w:szCs w:val="18"/>
          <w:lang w:eastAsia="zh-CN"/>
        </w:rPr>
        <w:t>；</w:t>
      </w:r>
    </w:p>
    <w:p>
      <w:pPr>
        <w:numPr>
          <w:ilvl w:val="0"/>
          <w:numId w:val="0"/>
        </w:numPr>
        <w:rPr>
          <w:rFonts w:hint="eastAsia" w:ascii="宋体" w:hAnsi="宋体" w:cs="宋体"/>
          <w:color w:val="auto"/>
          <w:sz w:val="18"/>
          <w:szCs w:val="18"/>
          <w:lang w:eastAsia="zh-CN"/>
        </w:rPr>
      </w:pPr>
      <w:r>
        <w:rPr>
          <w:rFonts w:hint="eastAsia" w:ascii="宋体" w:hAnsi="宋体" w:cs="宋体"/>
          <w:color w:val="auto"/>
          <w:sz w:val="18"/>
          <w:szCs w:val="18"/>
          <w:lang w:val="en-US" w:eastAsia="zh-CN"/>
        </w:rPr>
        <w:t>4、</w:t>
      </w:r>
      <w:r>
        <w:rPr>
          <w:rFonts w:hint="eastAsia" w:ascii="宋体" w:hAnsi="宋体" w:cs="宋体"/>
          <w:color w:val="auto"/>
          <w:sz w:val="18"/>
          <w:szCs w:val="18"/>
        </w:rPr>
        <w:t>《建筑地基处理技术规范》JGJ</w:t>
      </w:r>
      <w:r>
        <w:rPr>
          <w:rFonts w:hint="eastAsia" w:ascii="宋体" w:hAnsi="宋体" w:cs="宋体"/>
          <w:color w:val="auto"/>
          <w:sz w:val="18"/>
          <w:szCs w:val="18"/>
          <w:lang w:val="en-US" w:eastAsia="zh-CN"/>
        </w:rPr>
        <w:t xml:space="preserve"> </w:t>
      </w:r>
      <w:r>
        <w:rPr>
          <w:rFonts w:hint="eastAsia" w:ascii="宋体" w:hAnsi="宋体" w:cs="宋体"/>
          <w:color w:val="auto"/>
          <w:sz w:val="18"/>
          <w:szCs w:val="18"/>
        </w:rPr>
        <w:t>79</w:t>
      </w:r>
      <w:r>
        <w:rPr>
          <w:rFonts w:hint="eastAsia" w:ascii="宋体" w:hAnsi="宋体" w:cs="宋体"/>
          <w:color w:val="auto"/>
          <w:sz w:val="18"/>
          <w:szCs w:val="18"/>
          <w:lang w:val="en-US" w:eastAsia="zh-CN"/>
        </w:rPr>
        <w:t>-</w:t>
      </w:r>
      <w:r>
        <w:rPr>
          <w:rFonts w:hint="eastAsia" w:ascii="宋体" w:hAnsi="宋体" w:cs="宋体"/>
          <w:color w:val="auto"/>
          <w:sz w:val="18"/>
          <w:szCs w:val="18"/>
        </w:rPr>
        <w:t>XXXX</w:t>
      </w:r>
      <w:r>
        <w:rPr>
          <w:rFonts w:hint="eastAsia" w:ascii="宋体" w:hAnsi="宋体" w:cs="宋体"/>
          <w:color w:val="auto"/>
          <w:sz w:val="18"/>
          <w:szCs w:val="18"/>
          <w:lang w:eastAsia="zh-CN"/>
        </w:rPr>
        <w:t>；</w:t>
      </w:r>
    </w:p>
    <w:p>
      <w:pPr>
        <w:numPr>
          <w:ilvl w:val="0"/>
          <w:numId w:val="0"/>
        </w:numPr>
        <w:rPr>
          <w:rFonts w:hint="eastAsia" w:ascii="宋体" w:hAnsi="宋体" w:cs="宋体"/>
          <w:color w:val="auto"/>
          <w:sz w:val="18"/>
          <w:szCs w:val="18"/>
          <w:lang w:eastAsia="zh-CN"/>
        </w:rPr>
      </w:pPr>
      <w:r>
        <w:rPr>
          <w:rFonts w:hint="eastAsia" w:ascii="宋体" w:hAnsi="宋体" w:cs="宋体"/>
          <w:color w:val="auto"/>
          <w:sz w:val="18"/>
          <w:szCs w:val="18"/>
          <w:lang w:val="en-US" w:eastAsia="zh-CN"/>
        </w:rPr>
        <w:t>5、</w:t>
      </w:r>
      <w:r>
        <w:rPr>
          <w:rFonts w:hint="eastAsia" w:ascii="宋体" w:hAnsi="宋体" w:cs="宋体"/>
          <w:color w:val="auto"/>
          <w:sz w:val="18"/>
          <w:szCs w:val="18"/>
        </w:rPr>
        <w:t>《建筑桩基技术规范》 JGJ 94-XXXX</w:t>
      </w:r>
      <w:r>
        <w:rPr>
          <w:rFonts w:hint="eastAsia" w:ascii="宋体" w:hAnsi="宋体" w:cs="宋体"/>
          <w:color w:val="auto"/>
          <w:sz w:val="18"/>
          <w:szCs w:val="18"/>
          <w:lang w:eastAsia="zh-CN"/>
        </w:rPr>
        <w:t>。</w:t>
      </w:r>
    </w:p>
    <w:p>
      <w:pPr>
        <w:numPr>
          <w:ilvl w:val="0"/>
          <w:numId w:val="0"/>
        </w:numPr>
        <w:rPr>
          <w:rFonts w:hint="eastAsia" w:ascii="宋体" w:hAnsi="宋体" w:cs="宋体"/>
          <w:color w:val="auto"/>
          <w:sz w:val="18"/>
          <w:szCs w:val="18"/>
        </w:rPr>
      </w:pPr>
      <w:r>
        <w:rPr>
          <w:rFonts w:hint="eastAsia" w:ascii="宋体" w:hAnsi="宋体" w:cs="宋体"/>
          <w:color w:val="auto"/>
          <w:sz w:val="18"/>
          <w:szCs w:val="18"/>
          <w:lang w:eastAsia="zh-CN"/>
        </w:rPr>
        <w:t>二、设计要求</w:t>
      </w:r>
      <w:r>
        <w:rPr>
          <w:rFonts w:hint="eastAsia" w:ascii="宋体" w:hAnsi="宋体" w:cs="宋体"/>
          <w:color w:val="auto"/>
          <w:sz w:val="18"/>
          <w:szCs w:val="18"/>
        </w:rPr>
        <w:t>：</w:t>
      </w:r>
    </w:p>
    <w:p>
      <w:pPr>
        <w:numPr>
          <w:ilvl w:val="0"/>
          <w:numId w:val="0"/>
        </w:numP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 xml:space="preserve">1、本工程复合地基承载力特征值不小于    kPa； </w:t>
      </w:r>
    </w:p>
    <w:p>
      <w:pPr>
        <w:numPr>
          <w:ilvl w:val="0"/>
          <w:numId w:val="0"/>
        </w:numP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 xml:space="preserve">2、建筑物最大最终沉降量不超过     mm。 </w:t>
      </w:r>
    </w:p>
    <w:p>
      <w:pPr>
        <w:numPr>
          <w:ilvl w:val="0"/>
          <w:numId w:val="0"/>
        </w:numP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三、地基处理技术方案</w:t>
      </w:r>
    </w:p>
    <w:p>
      <w:pPr>
        <w:numPr>
          <w:ilvl w:val="0"/>
          <w:numId w:val="0"/>
        </w:numPr>
        <w:rPr>
          <w:rFonts w:hint="default" w:ascii="宋体" w:hAnsi="宋体" w:cs="宋体"/>
          <w:color w:val="auto"/>
          <w:sz w:val="18"/>
          <w:szCs w:val="18"/>
          <w:lang w:val="en-US" w:eastAsia="zh-CN"/>
        </w:rPr>
      </w:pPr>
      <w:r>
        <w:rPr>
          <w:rFonts w:hint="default" w:ascii="宋体" w:hAnsi="宋体" w:cs="宋体"/>
          <w:color w:val="auto"/>
          <w:sz w:val="18"/>
          <w:szCs w:val="18"/>
          <w:lang w:val="en-US" w:eastAsia="zh-CN"/>
        </w:rPr>
        <w:t>1、本工程±0.000绝对标高为</w:t>
      </w:r>
      <w:r>
        <w:rPr>
          <w:rFonts w:hint="eastAsia" w:ascii="宋体" w:hAnsi="宋体" w:cs="宋体"/>
          <w:color w:val="auto"/>
          <w:sz w:val="18"/>
          <w:szCs w:val="18"/>
          <w:lang w:val="en-US" w:eastAsia="zh-CN"/>
        </w:rPr>
        <w:t xml:space="preserve">     m</w:t>
      </w:r>
      <w:r>
        <w:rPr>
          <w:rFonts w:hint="default" w:ascii="宋体" w:hAnsi="宋体" w:cs="宋体"/>
          <w:color w:val="auto"/>
          <w:sz w:val="18"/>
          <w:szCs w:val="18"/>
          <w:lang w:val="en-US" w:eastAsia="zh-CN"/>
        </w:rPr>
        <w:t>，采用螺杆灌注桩复合地基处理；</w:t>
      </w:r>
    </w:p>
    <w:p>
      <w:pPr>
        <w:numPr>
          <w:ilvl w:val="0"/>
          <w:numId w:val="0"/>
        </w:numPr>
        <w:rPr>
          <w:rFonts w:hint="eastAsia" w:ascii="宋体" w:hAnsi="宋体" w:cs="宋体"/>
          <w:color w:val="auto"/>
          <w:sz w:val="18"/>
          <w:szCs w:val="18"/>
          <w:lang w:val="en-US" w:eastAsia="zh-CN"/>
        </w:rPr>
      </w:pPr>
      <w:r>
        <w:rPr>
          <w:rFonts w:hint="default" w:ascii="宋体" w:hAnsi="宋体" w:cs="宋体"/>
          <w:color w:val="auto"/>
          <w:sz w:val="18"/>
          <w:szCs w:val="18"/>
          <w:lang w:val="en-US" w:eastAsia="zh-CN"/>
        </w:rPr>
        <w:t>2、本工程刚性桩采用:螺杆灌注桩</w:t>
      </w:r>
      <w:r>
        <w:rPr>
          <w:rFonts w:hint="eastAsia" w:ascii="宋体" w:hAnsi="宋体" w:cs="宋体"/>
          <w:color w:val="auto"/>
          <w:sz w:val="18"/>
          <w:szCs w:val="18"/>
          <w:lang w:val="en-US" w:eastAsia="zh-CN"/>
        </w:rPr>
        <w:t>；</w:t>
      </w:r>
    </w:p>
    <w:p>
      <w:pPr>
        <w:numPr>
          <w:ilvl w:val="0"/>
          <w:numId w:val="0"/>
        </w:numP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3、本工程螺杆灌注桩桩径  mm,桩顶设计标高   m，有效桩长  m，单桩承载力特征值     kN，桩矩形布置,平均桩间距            m，共      根桩；</w:t>
      </w:r>
    </w:p>
    <w:p>
      <w:pPr>
        <w:numPr>
          <w:ilvl w:val="0"/>
          <w:numId w:val="0"/>
        </w:numP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4、本工程基底持力层为第   层   层，地基土承载力为   kPa，桩端持力层为第    层      层；</w:t>
      </w:r>
    </w:p>
    <w:p>
      <w:pPr>
        <w:numPr>
          <w:ilvl w:val="0"/>
          <w:numId w:val="0"/>
        </w:numPr>
        <w:ind w:left="0"/>
        <w:rPr>
          <w:rFonts w:hint="eastAsia" w:ascii="宋体" w:hAnsi="宋体" w:cs="宋体"/>
          <w:color w:val="auto"/>
          <w:sz w:val="18"/>
          <w:szCs w:val="18"/>
          <w:lang w:eastAsia="zh-CN"/>
        </w:rPr>
      </w:pPr>
      <w:r>
        <w:rPr>
          <w:rFonts w:hint="eastAsia" w:ascii="宋体" w:hAnsi="宋体" w:cs="宋体"/>
          <w:color w:val="auto"/>
          <w:sz w:val="18"/>
          <w:szCs w:val="18"/>
        </w:rPr>
        <w:t>5、桩身材料采用C</w:t>
      </w:r>
      <w:r>
        <w:rPr>
          <w:rFonts w:hint="eastAsia" w:ascii="宋体" w:hAnsi="宋体" w:cs="宋体"/>
          <w:color w:val="auto"/>
          <w:sz w:val="18"/>
          <w:szCs w:val="18"/>
          <w:lang w:val="en-US" w:eastAsia="zh-CN"/>
        </w:rPr>
        <w:t xml:space="preserve">   </w:t>
      </w:r>
      <w:r>
        <w:rPr>
          <w:rFonts w:hint="eastAsia" w:ascii="宋体" w:hAnsi="宋体" w:cs="宋体"/>
          <w:color w:val="auto"/>
          <w:sz w:val="18"/>
          <w:szCs w:val="18"/>
        </w:rPr>
        <w:t>预拌混凝土。专利桩机旋转挤压成孔，管内泵送混凝土成桩施工，坍落度</w:t>
      </w:r>
      <w:r>
        <w:rPr>
          <w:rFonts w:hint="eastAsia" w:ascii="宋体" w:hAnsi="宋体" w:cs="宋体"/>
          <w:color w:val="auto"/>
          <w:sz w:val="18"/>
          <w:szCs w:val="18"/>
          <w:lang w:val="en-US" w:eastAsia="zh-CN"/>
        </w:rPr>
        <w:t xml:space="preserve">     </w:t>
      </w:r>
      <w:r>
        <w:rPr>
          <w:rFonts w:hint="eastAsia" w:ascii="宋体" w:hAnsi="宋体" w:cs="宋体"/>
          <w:color w:val="auto"/>
          <w:sz w:val="18"/>
          <w:szCs w:val="18"/>
        </w:rPr>
        <w:t>mm，混合料配比由试验室配合比确定</w:t>
      </w:r>
      <w:r>
        <w:rPr>
          <w:rFonts w:hint="eastAsia" w:ascii="宋体" w:hAnsi="宋体" w:cs="宋体"/>
          <w:color w:val="auto"/>
          <w:sz w:val="18"/>
          <w:szCs w:val="18"/>
          <w:lang w:eastAsia="zh-CN"/>
        </w:rPr>
        <w:t>；</w:t>
      </w:r>
    </w:p>
    <w:p>
      <w:pPr>
        <w:numPr>
          <w:ilvl w:val="0"/>
          <w:numId w:val="0"/>
        </w:numPr>
        <w:ind w:left="0"/>
        <w:rPr>
          <w:rFonts w:hint="eastAsia" w:ascii="宋体" w:hAnsi="宋体" w:cs="宋体"/>
          <w:color w:val="auto"/>
          <w:sz w:val="18"/>
          <w:szCs w:val="18"/>
        </w:rPr>
      </w:pPr>
      <w:r>
        <w:rPr>
          <w:rFonts w:hint="eastAsia" w:ascii="宋体" w:hAnsi="宋体" w:cs="宋体"/>
          <w:color w:val="auto"/>
          <w:sz w:val="18"/>
          <w:szCs w:val="18"/>
        </w:rPr>
        <w:t>6、在基础底板下与螺杆灌注桩桩顶之间铺设</w:t>
      </w:r>
      <w:r>
        <w:rPr>
          <w:rFonts w:hint="eastAsia" w:ascii="宋体" w:hAnsi="宋体" w:cs="宋体"/>
          <w:color w:val="auto"/>
          <w:sz w:val="18"/>
          <w:szCs w:val="18"/>
          <w:lang w:val="en-US" w:eastAsia="zh-CN"/>
        </w:rPr>
        <w:t xml:space="preserve">    </w:t>
      </w:r>
      <w:r>
        <w:rPr>
          <w:rFonts w:hint="eastAsia" w:ascii="宋体" w:hAnsi="宋体" w:cs="宋体"/>
          <w:color w:val="auto"/>
          <w:sz w:val="18"/>
          <w:szCs w:val="18"/>
        </w:rPr>
        <w:t>mm厚的褥垫层，铺设尺寸为基础外边线外扩250mm，褥垫层材料采用粒径5～16mm的碎石,褥垫层压实后的厚度与虚铺厚度之比不大于0.9，褥垫层技术是复合地基的核心技术，应对褥垫层进行检查验收并满足设计要求后方可进行下道工序。</w:t>
      </w:r>
    </w:p>
    <w:p>
      <w:pPr>
        <w:numPr>
          <w:ilvl w:val="0"/>
          <w:numId w:val="0"/>
        </w:numP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四、施工说明</w:t>
      </w:r>
    </w:p>
    <w:p>
      <w:pPr>
        <w:numPr>
          <w:ilvl w:val="0"/>
          <w:numId w:val="0"/>
        </w:numP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1、施工桩顶标高应高出设计桩顶标高不少于0.5m。清土和截桩时，应至少预留0.5m用人工清除，以免造成桩顶标高以下桩身断裂和扰动桩间土；</w:t>
      </w:r>
    </w:p>
    <w:p>
      <w:pPr>
        <w:numPr>
          <w:ilvl w:val="0"/>
          <w:numId w:val="0"/>
        </w:numP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2、混凝土必须连续泵送，泵机采用60B泵或80泵，混凝土塌落度     mm；</w:t>
      </w:r>
    </w:p>
    <w:p>
      <w:pPr>
        <w:numPr>
          <w:ilvl w:val="0"/>
          <w:numId w:val="0"/>
        </w:numP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3、桩身混凝土充盈系数不小于1.10;</w:t>
      </w:r>
    </w:p>
    <w:p>
      <w:pPr>
        <w:numPr>
          <w:ilvl w:val="0"/>
          <w:numId w:val="0"/>
        </w:numP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4、褥垫层的施工以夯填度控制；</w:t>
      </w:r>
    </w:p>
    <w:p>
      <w:pPr>
        <w:numPr>
          <w:ilvl w:val="0"/>
          <w:numId w:val="0"/>
        </w:numPr>
        <w:rPr>
          <w:rFonts w:hint="default" w:ascii="宋体" w:hAnsi="宋体" w:cs="宋体"/>
          <w:color w:val="auto"/>
          <w:sz w:val="18"/>
          <w:szCs w:val="18"/>
          <w:lang w:val="en-US" w:eastAsia="zh-CN"/>
        </w:rPr>
      </w:pPr>
      <w:r>
        <w:rPr>
          <w:rFonts w:hint="default" w:ascii="宋体" w:hAnsi="宋体" w:cs="宋体"/>
          <w:color w:val="auto"/>
          <w:sz w:val="18"/>
          <w:szCs w:val="18"/>
          <w:lang w:val="en-US" w:eastAsia="zh-CN"/>
        </w:rPr>
        <w:t>5、成桩过程中，抽样做混凝土试块，每台机械一天应做一组(3块)试块(边长为150mm的立方体),标准养护，测定其立方体抗压强度；</w:t>
      </w:r>
    </w:p>
    <w:p>
      <w:pPr>
        <w:numPr>
          <w:ilvl w:val="0"/>
          <w:numId w:val="0"/>
        </w:numPr>
        <w:rPr>
          <w:rFonts w:hint="default" w:ascii="宋体" w:hAnsi="宋体" w:cs="宋体"/>
          <w:color w:val="auto"/>
          <w:sz w:val="18"/>
          <w:szCs w:val="18"/>
          <w:lang w:val="en-US" w:eastAsia="zh-CN"/>
        </w:rPr>
      </w:pPr>
      <w:r>
        <w:rPr>
          <w:rFonts w:hint="default" w:ascii="宋体" w:hAnsi="宋体" w:cs="宋体"/>
          <w:color w:val="auto"/>
          <w:sz w:val="18"/>
          <w:szCs w:val="18"/>
          <w:lang w:val="en-US" w:eastAsia="zh-CN"/>
        </w:rPr>
        <w:t>6、施工桩体垂直度允许偏差为1%，桩位允许偏差为桩径的0.40倍。</w:t>
      </w:r>
    </w:p>
    <w:p>
      <w:pPr>
        <w:numPr>
          <w:ilvl w:val="0"/>
          <w:numId w:val="0"/>
        </w:numP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五、检测要求</w:t>
      </w:r>
    </w:p>
    <w:p>
      <w:pPr>
        <w:numPr>
          <w:ilvl w:val="0"/>
          <w:numId w:val="0"/>
        </w:numP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1、承载力检验应采用复合地基载荷试验和单桩静载荷试验；</w:t>
      </w:r>
    </w:p>
    <w:p>
      <w:pPr>
        <w:numPr>
          <w:ilvl w:val="0"/>
          <w:numId w:val="0"/>
        </w:numP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2、复合地基试验荷载为    kPa,单桩静载试验荷载为     kN；</w:t>
      </w:r>
    </w:p>
    <w:p>
      <w:pPr>
        <w:numPr>
          <w:ilvl w:val="0"/>
          <w:numId w:val="0"/>
        </w:numP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3、承载力检验宜在施工结束28d后进行，其桩身强度应满足试验荷载条件；复合地基静载荷试验和单桩静载荷试验的数量不应少于总桩数的1%，且每个单体工程的复合地基静载荷试验的试验数量不应少于3点，达不到设计要求时应及时通知有关单位采取补救措施；</w:t>
      </w:r>
    </w:p>
    <w:p>
      <w:pPr>
        <w:numPr>
          <w:ilvl w:val="0"/>
          <w:numId w:val="0"/>
        </w:numP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4、采用低应变动力试验检测桩身完整性，检查数量不低于总桩数的10%。</w:t>
      </w:r>
    </w:p>
    <w:p>
      <w:pPr>
        <w:numPr>
          <w:ilvl w:val="0"/>
          <w:numId w:val="0"/>
        </w:numP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六、其它</w:t>
      </w:r>
    </w:p>
    <w:p>
      <w:pPr>
        <w:numPr>
          <w:ilvl w:val="0"/>
          <w:numId w:val="0"/>
        </w:numP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1、其它未尽事宜详见相应规范。</w:t>
      </w: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snapToGrid w:val="0"/>
        <w:spacing w:line="360" w:lineRule="auto"/>
        <w:jc w:val="center"/>
        <w:rPr>
          <w:rFonts w:hint="eastAsia" w:ascii="黑体" w:hAnsi="黑体" w:eastAsia="黑体"/>
          <w:sz w:val="36"/>
          <w:szCs w:val="36"/>
        </w:rPr>
      </w:pPr>
    </w:p>
    <w:p>
      <w:pPr>
        <w:pStyle w:val="2"/>
        <w:rPr>
          <w:rFonts w:hint="eastAsia" w:ascii="黑体" w:hAnsi="黑体" w:eastAsia="黑体"/>
          <w:sz w:val="36"/>
          <w:szCs w:val="36"/>
        </w:rPr>
      </w:pPr>
    </w:p>
    <w:p>
      <w:pPr>
        <w:pStyle w:val="2"/>
        <w:rPr>
          <w:rFonts w:hint="eastAsia" w:ascii="黑体" w:hAnsi="黑体" w:eastAsia="黑体"/>
          <w:sz w:val="36"/>
          <w:szCs w:val="36"/>
        </w:rPr>
      </w:pPr>
    </w:p>
    <w:p>
      <w:pPr>
        <w:pStyle w:val="2"/>
        <w:rPr>
          <w:rFonts w:hint="eastAsia" w:ascii="黑体" w:hAnsi="黑体" w:eastAsia="黑体"/>
          <w:sz w:val="36"/>
          <w:szCs w:val="36"/>
        </w:rPr>
      </w:pPr>
    </w:p>
    <w:p>
      <w:pPr>
        <w:pStyle w:val="2"/>
        <w:rPr>
          <w:rFonts w:hint="eastAsia" w:ascii="黑体" w:hAnsi="黑体" w:eastAsia="黑体"/>
          <w:sz w:val="36"/>
          <w:szCs w:val="36"/>
        </w:rPr>
      </w:pPr>
    </w:p>
    <w:p>
      <w:pPr>
        <w:snapToGrid w:val="0"/>
        <w:spacing w:line="360" w:lineRule="auto"/>
        <w:jc w:val="center"/>
        <w:rPr>
          <w:rFonts w:hint="eastAsia" w:ascii="黑体" w:hAnsi="黑体" w:eastAsia="黑体"/>
          <w:sz w:val="36"/>
          <w:szCs w:val="36"/>
        </w:rPr>
      </w:pPr>
    </w:p>
    <w:p>
      <w:pPr>
        <w:snapToGrid w:val="0"/>
        <w:spacing w:line="360" w:lineRule="auto"/>
        <w:jc w:val="center"/>
        <w:rPr>
          <w:rFonts w:hint="eastAsia" w:ascii="黑体" w:hAnsi="黑体" w:eastAsia="黑体"/>
          <w:b w:val="0"/>
          <w:bCs w:val="0"/>
          <w:sz w:val="36"/>
          <w:szCs w:val="36"/>
        </w:rPr>
      </w:pPr>
    </w:p>
    <w:p>
      <w:pPr>
        <w:snapToGrid w:val="0"/>
        <w:spacing w:line="360" w:lineRule="auto"/>
        <w:jc w:val="center"/>
        <w:rPr>
          <w:rFonts w:ascii="黑体" w:hAnsi="宋体" w:eastAsia="黑体"/>
          <w:b w:val="0"/>
          <w:bCs w:val="0"/>
          <w:sz w:val="36"/>
          <w:szCs w:val="36"/>
        </w:rPr>
      </w:pPr>
      <w:r>
        <w:rPr>
          <w:rFonts w:hint="eastAsia" w:ascii="黑体" w:hAnsi="黑体" w:eastAsia="黑体"/>
          <w:b w:val="0"/>
          <w:bCs w:val="0"/>
          <w:sz w:val="36"/>
          <w:szCs w:val="36"/>
        </w:rPr>
        <w:t>湖北省地方标准</w:t>
      </w:r>
    </w:p>
    <w:p>
      <w:pPr>
        <w:snapToGrid w:val="0"/>
        <w:spacing w:line="360" w:lineRule="auto"/>
        <w:jc w:val="center"/>
        <w:rPr>
          <w:rFonts w:ascii="Times New Roman" w:hAnsi="Times New Roman" w:eastAsia="黑体"/>
          <w:b w:val="0"/>
          <w:bCs w:val="0"/>
          <w:sz w:val="32"/>
          <w:szCs w:val="32"/>
        </w:rPr>
      </w:pPr>
    </w:p>
    <w:p>
      <w:pPr>
        <w:snapToGrid w:val="0"/>
        <w:spacing w:line="360" w:lineRule="auto"/>
        <w:jc w:val="center"/>
        <w:rPr>
          <w:rFonts w:ascii="黑体" w:eastAsia="黑体"/>
          <w:b w:val="0"/>
          <w:bCs w:val="0"/>
          <w:spacing w:val="-8"/>
          <w:sz w:val="36"/>
          <w:szCs w:val="36"/>
        </w:rPr>
      </w:pPr>
      <w:r>
        <w:rPr>
          <w:rFonts w:hint="eastAsia" w:ascii="黑体" w:hAnsi="黑体" w:eastAsia="黑体"/>
          <w:b w:val="0"/>
          <w:bCs w:val="0"/>
          <w:spacing w:val="-8"/>
          <w:sz w:val="36"/>
          <w:szCs w:val="36"/>
          <w:lang w:eastAsia="zh-CN"/>
        </w:rPr>
        <w:t>螺杆灌注桩</w:t>
      </w:r>
      <w:r>
        <w:rPr>
          <w:rFonts w:hint="eastAsia" w:ascii="黑体" w:hAnsi="黑体" w:eastAsia="黑体"/>
          <w:b w:val="0"/>
          <w:bCs w:val="0"/>
          <w:spacing w:val="-8"/>
          <w:sz w:val="36"/>
          <w:szCs w:val="36"/>
        </w:rPr>
        <w:t>技术规程</w:t>
      </w:r>
    </w:p>
    <w:p>
      <w:pPr>
        <w:snapToGrid w:val="0"/>
        <w:spacing w:line="360" w:lineRule="auto"/>
        <w:jc w:val="center"/>
        <w:rPr>
          <w:rFonts w:ascii="黑体" w:hAnsi="宋体" w:eastAsia="黑体"/>
          <w:sz w:val="44"/>
          <w:szCs w:val="44"/>
        </w:rPr>
      </w:pPr>
    </w:p>
    <w:p>
      <w:pPr>
        <w:snapToGrid w:val="0"/>
        <w:spacing w:line="360" w:lineRule="auto"/>
        <w:jc w:val="center"/>
        <w:rPr>
          <w:rFonts w:ascii="Times New Roman" w:hAnsi="Times New Roman" w:eastAsia="黑体"/>
          <w:b/>
          <w:bCs/>
          <w:sz w:val="32"/>
          <w:szCs w:val="32"/>
        </w:rPr>
      </w:pPr>
    </w:p>
    <w:p>
      <w:pPr>
        <w:snapToGrid w:val="0"/>
        <w:spacing w:line="360" w:lineRule="auto"/>
        <w:jc w:val="center"/>
        <w:rPr>
          <w:rFonts w:hint="eastAsia" w:ascii="黑体" w:hAnsi="黑体" w:eastAsia="黑体" w:cs="黑体"/>
          <w:b w:val="0"/>
          <w:bCs w:val="0"/>
          <w:sz w:val="32"/>
          <w:szCs w:val="32"/>
        </w:rPr>
      </w:pPr>
      <w:r>
        <w:rPr>
          <w:rFonts w:hint="eastAsia" w:ascii="黑体" w:hAnsi="黑体" w:eastAsia="黑体" w:cs="黑体"/>
          <w:b w:val="0"/>
          <w:bCs w:val="0"/>
          <w:sz w:val="32"/>
          <w:szCs w:val="32"/>
        </w:rPr>
        <w:t>DB 42/T XXX-2022</w:t>
      </w:r>
    </w:p>
    <w:p>
      <w:pPr>
        <w:snapToGrid w:val="0"/>
        <w:spacing w:line="360" w:lineRule="auto"/>
        <w:jc w:val="center"/>
        <w:rPr>
          <w:rFonts w:ascii="黑体" w:hAnsi="宋体" w:eastAsia="黑体"/>
          <w:sz w:val="44"/>
          <w:szCs w:val="44"/>
        </w:rPr>
      </w:pPr>
    </w:p>
    <w:p>
      <w:pPr>
        <w:pStyle w:val="3"/>
        <w:spacing w:before="156" w:after="156"/>
        <w:jc w:val="center"/>
        <w:rPr>
          <w:rFonts w:ascii="Times New Roman" w:hAnsi="Times New Roman" w:eastAsia="黑体"/>
          <w:sz w:val="32"/>
          <w:szCs w:val="32"/>
        </w:rPr>
      </w:pPr>
      <w:bookmarkStart w:id="216" w:name="_Toc92715101"/>
      <w:bookmarkStart w:id="217" w:name="_Toc92712602"/>
      <w:bookmarkStart w:id="218" w:name="_Toc17015"/>
      <w:bookmarkStart w:id="219" w:name="_Toc19657"/>
      <w:r>
        <w:rPr>
          <w:rFonts w:hint="eastAsia" w:ascii="黑体" w:hAnsi="黑体"/>
          <w:b w:val="0"/>
          <w:bCs w:val="0"/>
          <w:sz w:val="32"/>
          <w:szCs w:val="32"/>
        </w:rPr>
        <w:t>条文说明</w:t>
      </w:r>
      <w:bookmarkEnd w:id="216"/>
      <w:bookmarkEnd w:id="217"/>
      <w:bookmarkEnd w:id="218"/>
      <w:bookmarkEnd w:id="219"/>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pStyle w:val="56"/>
        <w:rPr>
          <w:rFonts w:hint="eastAsia"/>
          <w:vanish w:val="0"/>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snapToGrid w:val="0"/>
          <w:color w:val="auto"/>
          <w:sz w:val="32"/>
          <w:szCs w:val="32"/>
          <w:lang w:eastAsia="zh-CN"/>
        </w:rPr>
      </w:pPr>
      <w:r>
        <w:rPr>
          <w:rFonts w:hint="eastAsia" w:ascii="黑体" w:hAnsi="黑体" w:eastAsia="黑体" w:cs="黑体"/>
          <w:b w:val="0"/>
          <w:bCs/>
          <w:snapToGrid w:val="0"/>
          <w:color w:val="auto"/>
          <w:sz w:val="32"/>
          <w:szCs w:val="32"/>
          <w:lang w:eastAsia="zh-CN"/>
        </w:rPr>
        <w:t>螺杆灌注桩技术规程</w:t>
      </w:r>
    </w:p>
    <w:p>
      <w:pPr>
        <w:pStyle w:val="2"/>
        <w:rPr>
          <w:rFonts w:hint="eastAsia" w:ascii="黑体" w:hAnsi="黑体" w:eastAsia="黑体" w:cs="黑体"/>
          <w:b w:val="0"/>
          <w:bCs/>
          <w:snapToGrid w:val="0"/>
          <w:color w:val="auto"/>
          <w:sz w:val="32"/>
          <w:szCs w:val="32"/>
          <w:lang w:eastAsia="zh-CN"/>
        </w:rPr>
      </w:pPr>
    </w:p>
    <w:p>
      <w:pPr>
        <w:pStyle w:val="2"/>
        <w:ind w:left="0" w:leftChars="0" w:firstLine="0" w:firstLineChars="0"/>
        <w:rPr>
          <w:rFonts w:hint="eastAsia" w:ascii="黑体" w:hAnsi="黑体" w:eastAsia="黑体" w:cs="黑体"/>
          <w:b w:val="0"/>
          <w:bCs/>
          <w:snapToGrid w:val="0"/>
          <w:color w:val="auto"/>
          <w:sz w:val="21"/>
          <w:szCs w:val="21"/>
          <w:lang w:val="en-US" w:eastAsia="zh-CN"/>
        </w:rPr>
      </w:pPr>
      <w:r>
        <w:rPr>
          <w:rFonts w:hint="eastAsia" w:ascii="黑体" w:hAnsi="黑体" w:eastAsia="黑体" w:cs="黑体"/>
          <w:b w:val="0"/>
          <w:bCs/>
          <w:snapToGrid w:val="0"/>
          <w:color w:val="auto"/>
          <w:sz w:val="21"/>
          <w:szCs w:val="21"/>
          <w:lang w:val="en-US" w:eastAsia="zh-CN"/>
        </w:rPr>
        <w:t>1范围</w:t>
      </w:r>
    </w:p>
    <w:p>
      <w:pPr>
        <w:pStyle w:val="2"/>
        <w:ind w:left="0" w:leftChars="0" w:firstLine="0" w:firstLineChars="0"/>
        <w:rPr>
          <w:rFonts w:hint="default" w:ascii="黑体" w:hAnsi="黑体" w:eastAsia="黑体" w:cs="黑体"/>
          <w:b w:val="0"/>
          <w:bCs/>
          <w:snapToGrid w:val="0"/>
          <w:color w:val="auto"/>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黑体" w:hAnsi="黑体" w:eastAsia="黑体" w:cs="黑体"/>
          <w:b w:val="0"/>
          <w:bCs w:val="0"/>
          <w:color w:val="auto"/>
          <w:sz w:val="21"/>
          <w:szCs w:val="21"/>
          <w:lang w:eastAsia="zh-CN"/>
        </w:rPr>
      </w:pPr>
      <w:r>
        <w:rPr>
          <w:rFonts w:hint="eastAsia" w:ascii="黑体" w:hAnsi="黑体" w:eastAsia="黑体" w:cs="黑体"/>
          <w:b w:val="0"/>
          <w:bCs w:val="0"/>
          <w:color w:val="auto"/>
          <w:sz w:val="21"/>
          <w:szCs w:val="21"/>
        </w:rPr>
        <w:t>螺杆灌注桩技术原称“半螺丝桩技术”，由于这种技术在应用时可根据实际需要调整“螺”与“杆”的比例，“半螺丝桩”的叫法有一定局限性，现已统称为</w:t>
      </w:r>
      <w:r>
        <w:rPr>
          <w:rFonts w:hint="eastAsia" w:ascii="黑体" w:hAnsi="黑体" w:eastAsia="黑体" w:cs="黑体"/>
          <w:b w:val="0"/>
          <w:bCs w:val="0"/>
          <w:color w:val="auto"/>
          <w:sz w:val="21"/>
          <w:szCs w:val="21"/>
          <w:lang w:eastAsia="zh-CN"/>
        </w:rPr>
        <w:t>“</w:t>
      </w:r>
      <w:r>
        <w:rPr>
          <w:rFonts w:hint="eastAsia" w:ascii="黑体" w:hAnsi="黑体" w:eastAsia="黑体" w:cs="黑体"/>
          <w:b w:val="0"/>
          <w:bCs w:val="0"/>
          <w:color w:val="auto"/>
          <w:sz w:val="21"/>
          <w:szCs w:val="21"/>
        </w:rPr>
        <w:t>螺杆灌注桩</w:t>
      </w:r>
      <w:r>
        <w:rPr>
          <w:rFonts w:hint="eastAsia" w:ascii="黑体" w:hAnsi="黑体" w:eastAsia="黑体" w:cs="黑体"/>
          <w:b w:val="0"/>
          <w:bCs w:val="0"/>
          <w:color w:val="auto"/>
          <w:sz w:val="21"/>
          <w:szCs w:val="21"/>
          <w:lang w:eastAsia="zh-CN"/>
        </w:rPr>
        <w:t>”</w:t>
      </w:r>
      <w:r>
        <w:rPr>
          <w:rFonts w:hint="eastAsia" w:ascii="黑体" w:hAnsi="黑体" w:eastAsia="黑体" w:cs="黑体"/>
          <w:b w:val="0"/>
          <w:bCs w:val="0"/>
          <w:color w:val="auto"/>
          <w:sz w:val="21"/>
          <w:szCs w:val="21"/>
        </w:rPr>
        <w:t>，主要用于以承受竖向</w:t>
      </w:r>
      <w:r>
        <w:rPr>
          <w:rFonts w:hint="eastAsia" w:ascii="黑体" w:hAnsi="黑体" w:eastAsia="黑体" w:cs="黑体"/>
          <w:b w:val="0"/>
          <w:bCs w:val="0"/>
          <w:color w:val="auto"/>
          <w:sz w:val="21"/>
          <w:szCs w:val="21"/>
          <w:lang w:eastAsia="zh-CN"/>
        </w:rPr>
        <w:t>抗压及抗拔</w:t>
      </w:r>
      <w:r>
        <w:rPr>
          <w:rFonts w:hint="eastAsia" w:ascii="黑体" w:hAnsi="黑体" w:eastAsia="黑体" w:cs="黑体"/>
          <w:b w:val="0"/>
          <w:bCs w:val="0"/>
          <w:color w:val="auto"/>
          <w:sz w:val="21"/>
          <w:szCs w:val="21"/>
        </w:rPr>
        <w:t>为主的基桩或复合地基增强体</w:t>
      </w:r>
      <w:r>
        <w:rPr>
          <w:rFonts w:hint="eastAsia" w:ascii="黑体" w:hAnsi="黑体" w:eastAsia="黑体" w:cs="黑体"/>
          <w:b w:val="0"/>
          <w:bCs w:val="0"/>
          <w:color w:val="auto"/>
          <w:sz w:val="21"/>
          <w:szCs w:val="21"/>
          <w:lang w:eastAsia="zh-CN"/>
        </w:rPr>
        <w:t>。</w:t>
      </w:r>
      <w:r>
        <w:rPr>
          <w:rFonts w:hint="eastAsia" w:ascii="黑体" w:hAnsi="黑体" w:eastAsia="黑体" w:cs="黑体"/>
          <w:b w:val="0"/>
          <w:bCs w:val="0"/>
          <w:color w:val="auto"/>
          <w:sz w:val="21"/>
          <w:szCs w:val="21"/>
        </w:rPr>
        <w:t>螺杆灌注桩技术专利名称</w:t>
      </w:r>
      <w:r>
        <w:rPr>
          <w:rFonts w:hint="eastAsia" w:ascii="黑体" w:hAnsi="黑体" w:eastAsia="黑体" w:cs="黑体"/>
          <w:b w:val="0"/>
          <w:bCs w:val="0"/>
          <w:color w:val="auto"/>
          <w:sz w:val="21"/>
          <w:szCs w:val="21"/>
          <w:lang w:eastAsia="zh-CN"/>
        </w:rPr>
        <w:t>包含</w:t>
      </w:r>
      <w:r>
        <w:rPr>
          <w:rFonts w:hint="eastAsia" w:ascii="黑体" w:hAnsi="黑体" w:eastAsia="黑体" w:cs="黑体"/>
          <w:b w:val="0"/>
          <w:bCs w:val="0"/>
          <w:color w:val="auto"/>
          <w:sz w:val="21"/>
          <w:szCs w:val="21"/>
        </w:rPr>
        <w:t>《半螺丝桩及其成桩工法》（专利号03128265.2）、《螺杆桩、螺纹桩成桩设备及成桩工法》（专利号200610019756.6）</w:t>
      </w:r>
      <w:r>
        <w:rPr>
          <w:rFonts w:hint="eastAsia" w:ascii="黑体" w:hAnsi="黑体" w:eastAsia="黑体" w:cs="黑体"/>
          <w:b w:val="0"/>
          <w:bCs w:val="0"/>
          <w:color w:val="auto"/>
          <w:sz w:val="21"/>
          <w:szCs w:val="21"/>
          <w:lang w:eastAsia="zh-CN"/>
        </w:rPr>
        <w:t>、《一种正反向等径螺杆桩和钻具及其成桩工法》（专利号201810349449.7）、《一种螺杆桩和组合式钻具》（专利号201820415803.7）</w:t>
      </w:r>
      <w:r>
        <w:rPr>
          <w:rFonts w:hint="eastAsia" w:ascii="黑体" w:hAnsi="黑体" w:eastAsia="黑体" w:cs="黑体"/>
          <w:b w:val="0"/>
          <w:bCs w:val="0"/>
          <w:color w:val="auto"/>
          <w:sz w:val="21"/>
          <w:szCs w:val="21"/>
        </w:rPr>
        <w:t>。目前，</w:t>
      </w:r>
      <w:r>
        <w:rPr>
          <w:rFonts w:hint="eastAsia" w:ascii="黑体" w:hAnsi="黑体" w:eastAsia="黑体" w:cs="黑体"/>
          <w:b w:val="0"/>
          <w:bCs w:val="0"/>
          <w:color w:val="auto"/>
          <w:sz w:val="21"/>
          <w:szCs w:val="21"/>
          <w:lang w:eastAsia="zh-CN"/>
        </w:rPr>
        <w:t>在螺杆灌注桩基础上已衍生了一系列桩型及其工法，形</w:t>
      </w:r>
      <w:r>
        <w:rPr>
          <w:rFonts w:hint="eastAsia" w:ascii="黑体" w:hAnsi="黑体" w:eastAsia="黑体" w:cs="黑体"/>
          <w:b w:val="0"/>
          <w:bCs w:val="0"/>
          <w:color w:val="auto"/>
          <w:sz w:val="21"/>
          <w:szCs w:val="21"/>
        </w:rPr>
        <w:t>成螺杆灌注桩</w:t>
      </w:r>
      <w:r>
        <w:rPr>
          <w:rFonts w:hint="eastAsia" w:ascii="黑体" w:hAnsi="黑体" w:eastAsia="黑体" w:cs="黑体"/>
          <w:b w:val="0"/>
          <w:bCs w:val="0"/>
          <w:color w:val="auto"/>
          <w:sz w:val="21"/>
          <w:szCs w:val="21"/>
          <w:lang w:eastAsia="zh-CN"/>
        </w:rPr>
        <w:t>成套技术体系。</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螺杆</w:t>
      </w:r>
      <w:r>
        <w:rPr>
          <w:rFonts w:hint="eastAsia" w:ascii="黑体" w:hAnsi="黑体" w:eastAsia="黑体" w:cs="黑体"/>
          <w:b w:val="0"/>
          <w:bCs w:val="0"/>
          <w:color w:val="auto"/>
          <w:sz w:val="21"/>
          <w:szCs w:val="21"/>
          <w:lang w:eastAsia="zh-CN"/>
        </w:rPr>
        <w:t>灌注</w:t>
      </w:r>
      <w:r>
        <w:rPr>
          <w:rFonts w:hint="eastAsia" w:ascii="黑体" w:hAnsi="黑体" w:eastAsia="黑体" w:cs="黑体"/>
          <w:b w:val="0"/>
          <w:bCs w:val="0"/>
          <w:color w:val="auto"/>
          <w:sz w:val="21"/>
          <w:szCs w:val="21"/>
        </w:rPr>
        <w:t>桩是一种带螺牙的异形混凝土灌注桩，它采用带自控装置的螺杆桩机施工,通过特制的</w:t>
      </w:r>
      <w:r>
        <w:rPr>
          <w:rFonts w:hint="eastAsia" w:ascii="黑体" w:hAnsi="黑体" w:eastAsia="黑体" w:cs="黑体"/>
          <w:b w:val="0"/>
          <w:bCs w:val="0"/>
          <w:color w:val="auto"/>
          <w:sz w:val="21"/>
          <w:szCs w:val="21"/>
          <w:lang w:eastAsia="zh-CN"/>
        </w:rPr>
        <w:t>组合式</w:t>
      </w:r>
      <w:r>
        <w:rPr>
          <w:rFonts w:hint="eastAsia" w:ascii="黑体" w:hAnsi="黑体" w:eastAsia="黑体" w:cs="黑体"/>
          <w:b w:val="0"/>
          <w:bCs w:val="0"/>
          <w:color w:val="auto"/>
          <w:sz w:val="21"/>
          <w:szCs w:val="21"/>
        </w:rPr>
        <w:t>齿状螺纹钻具钻进，自控系统严格控制钻杆提升速度与旋转速度同步，钻至设计深度在土体中形成带螺纹的钻孔后，混凝土由高压泵输送至空心螺纹钻杆由钻头泵出，在孔中填实形成桩侧带</w:t>
      </w:r>
      <w:r>
        <w:rPr>
          <w:rFonts w:hint="eastAsia" w:ascii="黑体" w:hAnsi="黑体" w:eastAsia="黑体" w:cs="黑体"/>
          <w:b w:val="0"/>
          <w:bCs w:val="0"/>
          <w:color w:val="auto"/>
          <w:sz w:val="21"/>
          <w:szCs w:val="21"/>
          <w:lang w:eastAsia="zh-CN"/>
        </w:rPr>
        <w:t>正反</w:t>
      </w:r>
      <w:r>
        <w:rPr>
          <w:rFonts w:hint="eastAsia" w:ascii="黑体" w:hAnsi="黑体" w:eastAsia="黑体" w:cs="黑体"/>
          <w:b w:val="0"/>
          <w:bCs w:val="0"/>
          <w:color w:val="auto"/>
          <w:sz w:val="21"/>
          <w:szCs w:val="21"/>
        </w:rPr>
        <w:t>螺</w:t>
      </w:r>
      <w:r>
        <w:rPr>
          <w:rFonts w:hint="eastAsia" w:ascii="黑体" w:hAnsi="黑体" w:eastAsia="黑体" w:cs="黑体"/>
          <w:b w:val="0"/>
          <w:bCs w:val="0"/>
          <w:color w:val="auto"/>
          <w:sz w:val="21"/>
          <w:szCs w:val="21"/>
          <w:lang w:eastAsia="zh-CN"/>
        </w:rPr>
        <w:t>纹</w:t>
      </w:r>
      <w:r>
        <w:rPr>
          <w:rFonts w:hint="eastAsia" w:ascii="黑体" w:hAnsi="黑体" w:eastAsia="黑体" w:cs="黑体"/>
          <w:b w:val="0"/>
          <w:bCs w:val="0"/>
          <w:color w:val="auto"/>
          <w:sz w:val="21"/>
          <w:szCs w:val="21"/>
        </w:rPr>
        <w:t>的混凝土桩基。该技术具有单桩承载力高、成桩速度快、</w:t>
      </w:r>
      <w:r>
        <w:rPr>
          <w:rFonts w:hint="eastAsia" w:ascii="黑体" w:hAnsi="黑体" w:eastAsia="黑体" w:cs="黑体"/>
          <w:b w:val="0"/>
          <w:bCs w:val="0"/>
          <w:color w:val="auto"/>
          <w:sz w:val="21"/>
          <w:szCs w:val="21"/>
          <w:lang w:eastAsia="zh-CN"/>
        </w:rPr>
        <w:t>不坍孔</w:t>
      </w:r>
      <w:r>
        <w:rPr>
          <w:rFonts w:hint="eastAsia" w:ascii="黑体" w:hAnsi="黑体" w:eastAsia="黑体" w:cs="黑体"/>
          <w:b w:val="0"/>
          <w:bCs w:val="0"/>
          <w:color w:val="auto"/>
          <w:sz w:val="21"/>
          <w:szCs w:val="21"/>
        </w:rPr>
        <w:t>、</w:t>
      </w:r>
      <w:r>
        <w:rPr>
          <w:rFonts w:hint="eastAsia" w:ascii="黑体" w:hAnsi="黑体" w:eastAsia="黑体" w:cs="黑体"/>
          <w:b w:val="0"/>
          <w:bCs w:val="0"/>
          <w:color w:val="auto"/>
          <w:sz w:val="21"/>
          <w:szCs w:val="21"/>
          <w:lang w:eastAsia="zh-CN"/>
        </w:rPr>
        <w:t>无沉渣、</w:t>
      </w:r>
      <w:r>
        <w:rPr>
          <w:rFonts w:hint="eastAsia" w:ascii="黑体" w:hAnsi="黑体" w:eastAsia="黑体" w:cs="黑体"/>
          <w:b w:val="0"/>
          <w:bCs w:val="0"/>
          <w:color w:val="auto"/>
          <w:sz w:val="21"/>
          <w:szCs w:val="21"/>
        </w:rPr>
        <w:t>无噪音、无泥浆排放及整体造价低的特点。</w:t>
      </w:r>
    </w:p>
    <w:p>
      <w:pPr>
        <w:ind w:firstLine="420" w:firstLineChars="200"/>
        <w:rPr>
          <w:rFonts w:hint="eastAsia" w:ascii="黑体" w:hAnsi="黑体" w:eastAsia="黑体" w:cs="黑体"/>
          <w:b w:val="0"/>
          <w:bCs w:val="0"/>
          <w:color w:val="auto"/>
          <w:sz w:val="21"/>
          <w:szCs w:val="21"/>
          <w:lang w:val="en-US" w:eastAsia="zh-CN"/>
        </w:rPr>
      </w:pPr>
      <w:r>
        <w:rPr>
          <w:rFonts w:hint="eastAsia" w:ascii="黑体" w:hAnsi="黑体" w:eastAsia="黑体" w:cs="黑体"/>
          <w:b w:val="0"/>
          <w:bCs w:val="0"/>
          <w:color w:val="auto"/>
          <w:sz w:val="21"/>
          <w:szCs w:val="21"/>
          <w:lang w:eastAsia="zh-CN"/>
        </w:rPr>
        <w:t>近年来，螺杆灌注桩已在湖北省及全国近</w:t>
      </w:r>
      <w:r>
        <w:rPr>
          <w:rFonts w:hint="eastAsia" w:ascii="黑体" w:hAnsi="黑体" w:eastAsia="黑体" w:cs="黑体"/>
          <w:b w:val="0"/>
          <w:bCs w:val="0"/>
          <w:color w:val="auto"/>
          <w:sz w:val="21"/>
          <w:szCs w:val="21"/>
          <w:lang w:val="en-US" w:eastAsia="zh-CN"/>
        </w:rPr>
        <w:t>20个省市自治区及多个行业推广应用，主要应用于高层和超高层建筑。螺杆灌注桩在湖北、海南、广东、广西、四川、重庆、陕西等成功实现了桩身带扩大体的螺杆灌注桩，并写入了新的地方规程。某项目直径600mm螺杆灌注桩，桩长26米，桩端持力层为硬塑粉质粘土，在螺杆灌注桩桩端及中部（粗砂层）共设置了两个扩大体，经现场单桩静载试验，加载至8000kN时，沉降14.45mm。</w:t>
      </w:r>
    </w:p>
    <w:p>
      <w:pPr>
        <w:pStyle w:val="56"/>
        <w:ind w:left="0" w:leftChars="0" w:firstLine="0" w:firstLineChars="0"/>
        <w:rPr>
          <w:rFonts w:hint="eastAsia" w:ascii="黑体" w:hAnsi="黑体" w:eastAsia="黑体" w:cs="黑体"/>
          <w:b w:val="0"/>
          <w:bCs w:val="0"/>
          <w:vanish w:val="0"/>
          <w:sz w:val="21"/>
          <w:szCs w:val="21"/>
        </w:rPr>
      </w:pPr>
    </w:p>
    <w:p>
      <w:pPr>
        <w:pStyle w:val="56"/>
        <w:ind w:left="0" w:leftChars="0" w:firstLine="0" w:firstLineChars="0"/>
        <w:rPr>
          <w:rFonts w:hint="eastAsia" w:ascii="黑体" w:hAnsi="黑体" w:eastAsia="黑体" w:cs="黑体"/>
          <w:b w:val="0"/>
          <w:bCs w:val="0"/>
          <w:vanish w:val="0"/>
          <w:sz w:val="21"/>
          <w:szCs w:val="21"/>
        </w:rPr>
      </w:pPr>
    </w:p>
    <w:p>
      <w:pPr>
        <w:pStyle w:val="2"/>
        <w:ind w:left="0" w:leftChars="0" w:firstLine="0" w:firstLineChars="0"/>
        <w:rPr>
          <w:rFonts w:hint="eastAsia" w:ascii="黑体" w:hAnsi="黑体" w:eastAsia="黑体" w:cs="黑体"/>
          <w:b w:val="0"/>
          <w:bCs/>
          <w:snapToGrid w:val="0"/>
          <w:color w:val="auto"/>
          <w:sz w:val="21"/>
          <w:szCs w:val="21"/>
          <w:lang w:val="en-US" w:eastAsia="zh-CN"/>
        </w:rPr>
      </w:pPr>
      <w:r>
        <w:rPr>
          <w:rFonts w:hint="eastAsia" w:ascii="黑体" w:hAnsi="黑体" w:eastAsia="黑体" w:cs="黑体"/>
          <w:b w:val="0"/>
          <w:bCs/>
          <w:snapToGrid w:val="0"/>
          <w:color w:val="auto"/>
          <w:sz w:val="21"/>
          <w:szCs w:val="21"/>
          <w:lang w:val="en-US" w:eastAsia="zh-CN"/>
        </w:rPr>
        <w:t>3术语和符号</w:t>
      </w:r>
    </w:p>
    <w:p>
      <w:pPr>
        <w:pStyle w:val="2"/>
        <w:ind w:left="0" w:leftChars="0" w:firstLine="0" w:firstLineChars="0"/>
        <w:rPr>
          <w:rFonts w:hint="eastAsia" w:ascii="黑体" w:hAnsi="黑体" w:eastAsia="黑体" w:cs="黑体"/>
          <w:b w:val="0"/>
          <w:bCs/>
          <w:snapToGrid w:val="0"/>
          <w:color w:val="auto"/>
          <w:sz w:val="21"/>
          <w:szCs w:val="21"/>
          <w:lang w:val="en-US" w:eastAsia="zh-CN"/>
        </w:rPr>
      </w:pPr>
      <w:r>
        <w:rPr>
          <w:rFonts w:hint="eastAsia" w:ascii="黑体" w:hAnsi="黑体" w:eastAsia="黑体" w:cs="黑体"/>
          <w:b w:val="0"/>
          <w:bCs/>
          <w:snapToGrid w:val="0"/>
          <w:color w:val="auto"/>
          <w:sz w:val="21"/>
          <w:szCs w:val="21"/>
          <w:lang w:val="en-US" w:eastAsia="zh-CN"/>
        </w:rPr>
        <w:t>3.1术语</w:t>
      </w:r>
    </w:p>
    <w:p>
      <w:pPr>
        <w:pStyle w:val="236"/>
        <w:spacing w:line="240" w:lineRule="auto"/>
        <w:rPr>
          <w:rFonts w:hint="eastAsia" w:ascii="黑体" w:hAnsi="黑体" w:eastAsia="黑体" w:cs="黑体"/>
          <w:b w:val="0"/>
          <w:bCs w:val="0"/>
          <w:color w:val="auto"/>
          <w:sz w:val="21"/>
          <w:szCs w:val="21"/>
          <w:lang w:val="en-US" w:eastAsia="zh-CN"/>
        </w:rPr>
      </w:pPr>
      <w:r>
        <w:rPr>
          <w:rFonts w:hint="eastAsia" w:ascii="黑体" w:hAnsi="黑体" w:eastAsia="黑体" w:cs="黑体"/>
          <w:b w:val="0"/>
          <w:bCs w:val="0"/>
          <w:color w:val="auto"/>
          <w:sz w:val="21"/>
          <w:szCs w:val="21"/>
          <w:lang w:val="en-US" w:eastAsia="zh-CN"/>
        </w:rPr>
        <w:t>3.1.1  螺杆灌注桩系列技术不仅在外形上包含了上部直杆、螺纹与直杆并存的桩身构造，即当前为业界广泛熟知的“螺杆桩”；更重要的是，在施工方法上采用专用的螺杆桩成桩设备与组合式齿状螺纹钻具（见附录C），顺时针旋转成孔成形至设计深度，利用泵机挤压混凝土，从钻杆底压出混凝土，并正向或反向旋转提钻杆、保持钻杆内与土体周边介质的压力差，不得中断混凝土，逆时针旋转提升混凝土，通过挤压了形成下部螺丝型结构部分。经过多年的工程实践以及桩工机械效能的跨代提升，现在已可实现在桩身任意部分形成桩身扩大体的“膨胀螺丝”构造手段，并形成正反等径螺纹形状，通过大扭矩旋转挤压成型保证桩侧地基土剪切滑动面的完整或基本完整，从而大幅提升单桩承载力。</w:t>
      </w:r>
    </w:p>
    <w:p>
      <w:pPr>
        <w:pStyle w:val="236"/>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螺纹的成型方式可分为两大类：</w:t>
      </w:r>
    </w:p>
    <w:p>
      <w:pPr>
        <w:pStyle w:val="236"/>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第一类，剪切成型；</w:t>
      </w:r>
    </w:p>
    <w:p>
      <w:pPr>
        <w:pStyle w:val="236"/>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第二类，挤压成型。</w:t>
      </w:r>
    </w:p>
    <w:p>
      <w:pPr>
        <w:pStyle w:val="236"/>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黑体" w:hAnsi="黑体" w:eastAsia="黑体" w:cs="黑体"/>
          <w:b w:val="0"/>
          <w:bCs w:val="0"/>
          <w:color w:val="auto"/>
          <w:sz w:val="21"/>
          <w:szCs w:val="21"/>
          <w:lang w:eastAsia="zh-CN"/>
        </w:rPr>
      </w:pPr>
      <w:r>
        <w:rPr>
          <w:rFonts w:hint="eastAsia" w:ascii="黑体" w:hAnsi="黑体" w:eastAsia="黑体" w:cs="黑体"/>
          <w:b w:val="0"/>
          <w:bCs w:val="0"/>
          <w:color w:val="auto"/>
          <w:sz w:val="21"/>
          <w:szCs w:val="21"/>
        </w:rPr>
        <w:t>剪切成型工艺所形成的螺纹，仅仅是改变了桩与土之间的接触状态，即增大了桩与土之间的摩擦系数，而且在剪切过程中对原状土进行了扰动，因而对桩承载力的提升作用有限；而挤压成型工艺所形成的螺纹，通过严格的正反旋同步和介质压力，保持并提升了原状土的力学性状，在理论上桩承载力的本质是土的剪切强度，尽管本</w:t>
      </w:r>
      <w:r>
        <w:rPr>
          <w:rFonts w:hint="eastAsia" w:ascii="黑体" w:hAnsi="黑体" w:eastAsia="黑体" w:cs="黑体"/>
          <w:b w:val="0"/>
          <w:bCs w:val="0"/>
          <w:color w:val="auto"/>
          <w:sz w:val="21"/>
          <w:szCs w:val="21"/>
          <w:lang w:eastAsia="zh-CN"/>
        </w:rPr>
        <w:t>标准</w:t>
      </w:r>
      <w:r>
        <w:rPr>
          <w:rFonts w:hint="eastAsia" w:ascii="黑体" w:hAnsi="黑体" w:eastAsia="黑体" w:cs="黑体"/>
          <w:b w:val="0"/>
          <w:bCs w:val="0"/>
          <w:color w:val="auto"/>
          <w:sz w:val="21"/>
          <w:szCs w:val="21"/>
        </w:rPr>
        <w:t>仍将其简化为侧阻</w:t>
      </w:r>
      <w:r>
        <w:rPr>
          <w:rFonts w:hint="eastAsia" w:ascii="黑体" w:hAnsi="黑体" w:eastAsia="黑体" w:cs="黑体"/>
          <w:b w:val="0"/>
          <w:bCs w:val="0"/>
          <w:color w:val="auto"/>
          <w:sz w:val="21"/>
          <w:szCs w:val="21"/>
          <w:lang w:eastAsia="zh-CN"/>
        </w:rPr>
        <w:t>增强</w:t>
      </w:r>
      <w:r>
        <w:rPr>
          <w:rFonts w:hint="eastAsia" w:ascii="黑体" w:hAnsi="黑体" w:eastAsia="黑体" w:cs="黑体"/>
          <w:b w:val="0"/>
          <w:bCs w:val="0"/>
          <w:color w:val="auto"/>
          <w:sz w:val="21"/>
          <w:szCs w:val="21"/>
        </w:rPr>
        <w:t>系数，但挤压成型螺杆</w:t>
      </w:r>
      <w:r>
        <w:rPr>
          <w:rFonts w:hint="eastAsia" w:ascii="黑体" w:hAnsi="黑体" w:eastAsia="黑体" w:cs="黑体"/>
          <w:b w:val="0"/>
          <w:bCs w:val="0"/>
          <w:color w:val="auto"/>
          <w:sz w:val="21"/>
          <w:szCs w:val="21"/>
          <w:lang w:eastAsia="zh-CN"/>
        </w:rPr>
        <w:t>灌注</w:t>
      </w:r>
      <w:r>
        <w:rPr>
          <w:rFonts w:hint="eastAsia" w:ascii="黑体" w:hAnsi="黑体" w:eastAsia="黑体" w:cs="黑体"/>
          <w:b w:val="0"/>
          <w:bCs w:val="0"/>
          <w:color w:val="auto"/>
          <w:sz w:val="21"/>
          <w:szCs w:val="21"/>
        </w:rPr>
        <w:t>桩的侧阻</w:t>
      </w:r>
      <w:r>
        <w:rPr>
          <w:rFonts w:hint="eastAsia" w:ascii="黑体" w:hAnsi="黑体" w:eastAsia="黑体" w:cs="黑体"/>
          <w:b w:val="0"/>
          <w:bCs w:val="0"/>
          <w:color w:val="auto"/>
          <w:sz w:val="21"/>
          <w:szCs w:val="21"/>
          <w:lang w:eastAsia="zh-CN"/>
        </w:rPr>
        <w:t>增强</w:t>
      </w:r>
      <w:r>
        <w:rPr>
          <w:rFonts w:hint="eastAsia" w:ascii="黑体" w:hAnsi="黑体" w:eastAsia="黑体" w:cs="黑体"/>
          <w:b w:val="0"/>
          <w:bCs w:val="0"/>
          <w:color w:val="auto"/>
          <w:sz w:val="21"/>
          <w:szCs w:val="21"/>
        </w:rPr>
        <w:t>系数要高于和有别于其他剪切成型的螺纹桩。</w:t>
      </w:r>
    </w:p>
    <w:p>
      <w:pPr>
        <w:jc w:val="left"/>
        <w:rPr>
          <w:rFonts w:hint="eastAsia" w:ascii="黑体" w:hAnsi="黑体" w:eastAsia="黑体" w:cs="黑体"/>
          <w:b w:val="0"/>
          <w:bCs w:val="0"/>
          <w:color w:val="auto"/>
          <w:sz w:val="21"/>
          <w:szCs w:val="21"/>
          <w:lang w:val="en-US" w:eastAsia="zh-CN"/>
        </w:rPr>
      </w:pPr>
      <w:r>
        <w:rPr>
          <w:rFonts w:hint="eastAsia" w:ascii="黑体" w:hAnsi="黑体" w:eastAsia="黑体" w:cs="黑体"/>
          <w:b w:val="0"/>
          <w:bCs w:val="0"/>
          <w:color w:val="auto"/>
          <w:kern w:val="2"/>
          <w:sz w:val="21"/>
          <w:szCs w:val="21"/>
          <w:u w:val="none"/>
          <w:shd w:val="clear" w:color="auto" w:fill="auto"/>
          <w:lang w:val="en-US" w:eastAsia="zh-CN" w:bidi="zh-TW"/>
        </w:rPr>
        <w:t xml:space="preserve">3.1.2-3.1.4  </w:t>
      </w:r>
      <w:r>
        <w:rPr>
          <w:rFonts w:hint="eastAsia" w:ascii="黑体" w:hAnsi="黑体" w:eastAsia="黑体" w:cs="黑体"/>
          <w:b w:val="0"/>
          <w:bCs w:val="0"/>
          <w:color w:val="auto"/>
          <w:sz w:val="21"/>
          <w:szCs w:val="21"/>
        </w:rPr>
        <w:t>同步技术和非同步技术是通过螺杆灌注桩机高精度自控系统实现，</w:t>
      </w:r>
      <w:r>
        <w:rPr>
          <w:rFonts w:hint="eastAsia" w:ascii="黑体" w:hAnsi="黑体" w:eastAsia="黑体" w:cs="黑体"/>
          <w:b w:val="0"/>
          <w:bCs w:val="0"/>
          <w:color w:val="auto"/>
          <w:sz w:val="21"/>
          <w:szCs w:val="21"/>
          <w:lang w:eastAsia="zh-CN"/>
        </w:rPr>
        <w:t>使</w:t>
      </w:r>
      <w:r>
        <w:rPr>
          <w:rFonts w:hint="eastAsia" w:ascii="黑体" w:hAnsi="黑体" w:eastAsia="黑体" w:cs="黑体"/>
          <w:b w:val="0"/>
          <w:bCs w:val="0"/>
          <w:color w:val="auto"/>
          <w:sz w:val="21"/>
          <w:szCs w:val="21"/>
        </w:rPr>
        <w:t>钻具旋转速度和主卷扬</w:t>
      </w:r>
      <w:r>
        <w:rPr>
          <w:rFonts w:hint="eastAsia" w:ascii="黑体" w:hAnsi="黑体" w:eastAsia="黑体" w:cs="黑体"/>
          <w:b w:val="0"/>
          <w:bCs w:val="0"/>
          <w:color w:val="auto"/>
          <w:sz w:val="21"/>
          <w:szCs w:val="21"/>
          <w:lang w:eastAsia="zh-CN"/>
        </w:rPr>
        <w:t>（为动力头和钻具提供竖向力卷扬器）</w:t>
      </w:r>
      <w:r>
        <w:rPr>
          <w:rFonts w:hint="eastAsia" w:ascii="黑体" w:hAnsi="黑体" w:eastAsia="黑体" w:cs="黑体"/>
          <w:b w:val="0"/>
          <w:bCs w:val="0"/>
          <w:color w:val="auto"/>
          <w:sz w:val="21"/>
          <w:szCs w:val="21"/>
        </w:rPr>
        <w:t>竖向位移速度按照自控系统预定参数而形成相应比例关系的一种控制技术。</w:t>
      </w:r>
      <w:r>
        <w:rPr>
          <w:rFonts w:hint="eastAsia" w:ascii="黑体" w:hAnsi="黑体" w:eastAsia="黑体" w:cs="黑体"/>
          <w:b w:val="0"/>
          <w:bCs w:val="0"/>
          <w:color w:val="auto"/>
          <w:sz w:val="21"/>
          <w:szCs w:val="21"/>
          <w:lang w:eastAsia="zh-CN"/>
        </w:rPr>
        <w:t>需要指出的是，实现同步技术的关键是桩机需要具备加压装置。</w:t>
      </w:r>
    </w:p>
    <w:p>
      <w:pPr>
        <w:pStyle w:val="236"/>
        <w:spacing w:line="240" w:lineRule="auto"/>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lang w:val="en-US" w:eastAsia="zh-CN"/>
        </w:rPr>
        <w:t xml:space="preserve">3.1.5-3.1.11  </w:t>
      </w:r>
      <w:r>
        <w:rPr>
          <w:rFonts w:hint="eastAsia" w:ascii="黑体" w:hAnsi="黑体" w:eastAsia="黑体" w:cs="黑体"/>
          <w:b w:val="0"/>
          <w:bCs w:val="0"/>
          <w:color w:val="auto"/>
          <w:sz w:val="21"/>
          <w:szCs w:val="21"/>
        </w:rPr>
        <w:t>螺杆</w:t>
      </w:r>
      <w:r>
        <w:rPr>
          <w:rFonts w:hint="eastAsia" w:ascii="黑体" w:hAnsi="黑体" w:eastAsia="黑体" w:cs="黑体"/>
          <w:b w:val="0"/>
          <w:bCs w:val="0"/>
          <w:color w:val="auto"/>
          <w:sz w:val="21"/>
          <w:szCs w:val="21"/>
          <w:lang w:eastAsia="zh-CN"/>
        </w:rPr>
        <w:t>灌注</w:t>
      </w:r>
      <w:r>
        <w:rPr>
          <w:rFonts w:hint="eastAsia" w:ascii="黑体" w:hAnsi="黑体" w:eastAsia="黑体" w:cs="黑体"/>
          <w:b w:val="0"/>
          <w:bCs w:val="0"/>
          <w:color w:val="auto"/>
          <w:sz w:val="21"/>
          <w:szCs w:val="21"/>
        </w:rPr>
        <w:t>桩桩身结构具有一定的特殊性，比普通灌注桩更为复杂。螺杆</w:t>
      </w:r>
      <w:r>
        <w:rPr>
          <w:rFonts w:hint="eastAsia" w:ascii="黑体" w:hAnsi="黑体" w:eastAsia="黑体" w:cs="黑体"/>
          <w:b w:val="0"/>
          <w:bCs w:val="0"/>
          <w:color w:val="auto"/>
          <w:sz w:val="21"/>
          <w:szCs w:val="21"/>
          <w:lang w:eastAsia="zh-CN"/>
        </w:rPr>
        <w:t>灌注</w:t>
      </w:r>
      <w:r>
        <w:rPr>
          <w:rFonts w:hint="eastAsia" w:ascii="黑体" w:hAnsi="黑体" w:eastAsia="黑体" w:cs="黑体"/>
          <w:b w:val="0"/>
          <w:bCs w:val="0"/>
          <w:color w:val="auto"/>
          <w:sz w:val="21"/>
          <w:szCs w:val="21"/>
        </w:rPr>
        <w:t>桩内径、螺杆</w:t>
      </w:r>
      <w:r>
        <w:rPr>
          <w:rFonts w:hint="eastAsia" w:ascii="黑体" w:hAnsi="黑体" w:eastAsia="黑体" w:cs="黑体"/>
          <w:b w:val="0"/>
          <w:bCs w:val="0"/>
          <w:color w:val="auto"/>
          <w:sz w:val="21"/>
          <w:szCs w:val="21"/>
          <w:lang w:eastAsia="zh-CN"/>
        </w:rPr>
        <w:t>灌注</w:t>
      </w:r>
      <w:r>
        <w:rPr>
          <w:rFonts w:hint="eastAsia" w:ascii="黑体" w:hAnsi="黑体" w:eastAsia="黑体" w:cs="黑体"/>
          <w:b w:val="0"/>
          <w:bCs w:val="0"/>
          <w:color w:val="auto"/>
          <w:sz w:val="21"/>
          <w:szCs w:val="21"/>
        </w:rPr>
        <w:t>桩外径、螺牙厚度、螺牙宽度、 螺距的大小，都直接影响螺杆桩的受力机理、承载力与稳定性。</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黑体" w:eastAsia="黑体" w:cs="黑体"/>
          <w:b w:val="0"/>
          <w:bCs w:val="0"/>
          <w:color w:val="auto"/>
          <w:szCs w:val="21"/>
        </w:rPr>
      </w:pPr>
      <w:r>
        <w:rPr>
          <w:rFonts w:hint="eastAsia" w:ascii="黑体" w:hAnsi="黑体" w:eastAsia="黑体" w:cs="黑体"/>
          <w:b w:val="0"/>
          <w:bCs w:val="0"/>
          <w:color w:val="auto"/>
          <w:szCs w:val="21"/>
        </w:rPr>
        <w:t>螺杆</w:t>
      </w:r>
      <w:r>
        <w:rPr>
          <w:rFonts w:hint="eastAsia" w:ascii="黑体" w:hAnsi="黑体" w:eastAsia="黑体" w:cs="黑体"/>
          <w:b w:val="0"/>
          <w:bCs w:val="0"/>
          <w:color w:val="auto"/>
          <w:szCs w:val="21"/>
          <w:lang w:eastAsia="zh-CN"/>
        </w:rPr>
        <w:t>灌注</w:t>
      </w:r>
      <w:r>
        <w:rPr>
          <w:rFonts w:hint="eastAsia" w:ascii="黑体" w:hAnsi="黑体" w:eastAsia="黑体" w:cs="黑体"/>
          <w:b w:val="0"/>
          <w:bCs w:val="0"/>
          <w:color w:val="auto"/>
          <w:szCs w:val="21"/>
        </w:rPr>
        <w:t>桩受力较为特殊，螺牙宽度、螺纹间距和深度不同，其承载力机理发挥也不同，但为方便设计，假定螺杆桩承载力由端承力和按螺杆</w:t>
      </w:r>
      <w:r>
        <w:rPr>
          <w:rFonts w:hint="eastAsia" w:ascii="黑体" w:hAnsi="黑体" w:eastAsia="黑体" w:cs="黑体"/>
          <w:b w:val="0"/>
          <w:bCs w:val="0"/>
          <w:color w:val="auto"/>
          <w:sz w:val="21"/>
          <w:szCs w:val="21"/>
          <w:lang w:eastAsia="zh-CN"/>
        </w:rPr>
        <w:t>灌注</w:t>
      </w:r>
      <w:r>
        <w:rPr>
          <w:rFonts w:hint="eastAsia" w:ascii="黑体" w:hAnsi="黑体" w:eastAsia="黑体" w:cs="黑体"/>
          <w:b w:val="0"/>
          <w:bCs w:val="0"/>
          <w:color w:val="auto"/>
          <w:szCs w:val="21"/>
        </w:rPr>
        <w:t>桩外径形成的侧面提供的侧阻力提供，提出了等效侧阻的概念。等效侧阻就是桩侧提供的承载力除以桩侧的面积。</w:t>
      </w:r>
    </w:p>
    <w:p>
      <w:pPr>
        <w:pStyle w:val="2"/>
        <w:ind w:left="0" w:leftChars="0" w:firstLine="0" w:firstLineChars="0"/>
        <w:rPr>
          <w:rFonts w:hint="eastAsia" w:ascii="黑体" w:hAnsi="黑体" w:eastAsia="黑体" w:cs="黑体"/>
          <w:b w:val="0"/>
          <w:bCs w:val="0"/>
          <w:snapToGrid w:val="0"/>
          <w:color w:val="auto"/>
          <w:sz w:val="21"/>
          <w:szCs w:val="21"/>
          <w:lang w:val="en-US" w:eastAsia="zh-CN"/>
        </w:rPr>
      </w:pPr>
      <w:r>
        <w:rPr>
          <w:rFonts w:hint="eastAsia" w:ascii="黑体" w:hAnsi="黑体" w:eastAsia="黑体" w:cs="黑体"/>
          <w:b w:val="0"/>
          <w:bCs w:val="0"/>
          <w:color w:val="auto"/>
          <w:kern w:val="2"/>
          <w:sz w:val="21"/>
          <w:szCs w:val="21"/>
          <w:u w:val="none"/>
          <w:shd w:val="clear" w:color="auto" w:fill="auto"/>
          <w:lang w:val="en-US" w:eastAsia="zh-CN" w:bidi="zh-TW"/>
        </w:rPr>
        <w:t xml:space="preserve">3.1.12   </w:t>
      </w:r>
      <w:r>
        <w:rPr>
          <w:rFonts w:hint="eastAsia" w:ascii="黑体" w:hAnsi="黑体" w:eastAsia="黑体" w:cs="黑体"/>
          <w:b w:val="0"/>
          <w:bCs w:val="0"/>
          <w:color w:val="auto"/>
          <w:sz w:val="21"/>
          <w:szCs w:val="21"/>
          <w:lang w:eastAsia="zh-CN"/>
        </w:rPr>
        <w:t>螺杆灌注桩桩身扩大体是在桩身较硬土层部分和桩端通过专用螺杆桩机钻具重复压灌混凝土形成扩大腔体，同时对扩大体周围土层进行挤密，提高了桩的整体承载力。</w:t>
      </w:r>
    </w:p>
    <w:p>
      <w:pPr>
        <w:pStyle w:val="56"/>
        <w:ind w:left="0" w:leftChars="0" w:firstLine="0" w:firstLineChars="0"/>
        <w:rPr>
          <w:rFonts w:hint="eastAsia" w:ascii="黑体" w:hAnsi="黑体" w:eastAsia="黑体" w:cs="黑体"/>
          <w:b w:val="0"/>
          <w:bCs w:val="0"/>
          <w:vanish w:val="0"/>
          <w:sz w:val="21"/>
          <w:szCs w:val="21"/>
        </w:rPr>
      </w:pPr>
    </w:p>
    <w:p>
      <w:pPr>
        <w:pStyle w:val="104"/>
        <w:numPr>
          <w:ilvl w:val="1"/>
          <w:numId w:val="0"/>
        </w:numPr>
        <w:spacing w:before="312" w:after="312"/>
        <w:ind w:leftChars="0"/>
        <w:rPr>
          <w:rFonts w:hint="eastAsia" w:hAnsi="黑体" w:cs="黑体"/>
          <w:szCs w:val="21"/>
        </w:rPr>
      </w:pPr>
      <w:bookmarkStart w:id="220" w:name="_Toc13131"/>
      <w:r>
        <w:rPr>
          <w:rFonts w:hint="eastAsia" w:hAnsi="黑体" w:cs="黑体"/>
          <w:szCs w:val="21"/>
          <w:lang w:val="en-US" w:eastAsia="zh-CN"/>
        </w:rPr>
        <w:t>4</w:t>
      </w:r>
      <w:r>
        <w:rPr>
          <w:rFonts w:hint="eastAsia" w:hAnsi="黑体" w:cs="黑体"/>
          <w:szCs w:val="21"/>
        </w:rPr>
        <w:t xml:space="preserve"> 基本规定</w:t>
      </w:r>
      <w:bookmarkEnd w:id="220"/>
    </w:p>
    <w:p>
      <w:pPr>
        <w:rPr>
          <w:rFonts w:hint="eastAsia" w:ascii="黑体" w:hAnsi="黑体" w:eastAsia="黑体" w:cs="黑体"/>
          <w:b w:val="0"/>
          <w:bCs w:val="0"/>
          <w:color w:val="auto"/>
        </w:rPr>
      </w:pPr>
      <w:r>
        <w:rPr>
          <w:rFonts w:hint="eastAsia" w:ascii="黑体" w:hAnsi="黑体" w:eastAsia="黑体" w:cs="黑体"/>
          <w:b w:val="0"/>
          <w:bCs w:val="0"/>
          <w:color w:val="auto"/>
          <w:lang w:val="en-US" w:eastAsia="zh-CN"/>
        </w:rPr>
        <w:t xml:space="preserve">4.2  </w:t>
      </w:r>
      <w:r>
        <w:rPr>
          <w:rFonts w:hint="eastAsia" w:ascii="黑体" w:hAnsi="黑体" w:eastAsia="黑体" w:cs="黑体"/>
          <w:b w:val="0"/>
          <w:bCs w:val="0"/>
          <w:color w:val="auto"/>
        </w:rPr>
        <w:t>场地内存在流塑状淤泥或其他挤土效应明显的饱和软土时，应优先考虑采用跳打施工，在试桩时分别进行不同间距条件下的施工，得出合理施工间距。如跳打施工难以实施，可采用附录</w:t>
      </w:r>
      <w:r>
        <w:rPr>
          <w:rFonts w:hint="eastAsia" w:ascii="黑体" w:hAnsi="黑体" w:eastAsia="黑体" w:cs="黑体"/>
          <w:b w:val="0"/>
          <w:bCs w:val="0"/>
          <w:color w:val="auto"/>
          <w:lang w:val="en-US" w:eastAsia="zh-CN"/>
        </w:rPr>
        <w:t>F</w:t>
      </w:r>
      <w:r>
        <w:rPr>
          <w:rFonts w:hint="eastAsia" w:ascii="黑体" w:hAnsi="黑体" w:eastAsia="黑体" w:cs="黑体"/>
          <w:b w:val="0"/>
          <w:bCs w:val="0"/>
          <w:color w:val="auto"/>
        </w:rPr>
        <w:t>所示屏障技术进行施工，但由于该方法对工效影响较大，对混凝土缓凝的要求也较严格，因此当挤土效应非常明显才考虑使用本方法，如工期允许，宜先将场地软土硬化后再施工，其整体经济性优于屏障技术。</w:t>
      </w:r>
    </w:p>
    <w:p>
      <w:pPr>
        <w:rPr>
          <w:rFonts w:hint="eastAsia" w:ascii="黑体" w:hAnsi="黑体" w:eastAsia="黑体" w:cs="黑体"/>
          <w:b w:val="0"/>
          <w:bCs w:val="0"/>
          <w:color w:val="auto"/>
          <w:lang w:val="en-US" w:eastAsia="zh-CN"/>
        </w:rPr>
      </w:pPr>
      <w:r>
        <w:rPr>
          <w:rFonts w:hint="eastAsia" w:ascii="黑体" w:hAnsi="黑体" w:eastAsia="黑体" w:cs="黑体"/>
          <w:b w:val="0"/>
          <w:bCs w:val="0"/>
          <w:color w:val="auto"/>
          <w:lang w:val="en-US" w:eastAsia="zh-CN"/>
        </w:rPr>
        <w:t>4.3  复合地基是指由地基土、竖向增强体、褥垫层等组成，可以共同承担荷载的人工地基。螺杆灌注桩可用于复合地基中的增强体。当地基土为欠固结土、可液化土等特殊性土，采用螺杆灌注桩复合地基时，设计时综合考虑土体的特殊性质，采取相应的技术措施，以保证处理后的地基土和增强体共同承担荷载。</w:t>
      </w:r>
    </w:p>
    <w:p>
      <w:pPr>
        <w:pStyle w:val="56"/>
        <w:ind w:left="0" w:leftChars="0" w:firstLine="0" w:firstLineChars="0"/>
      </w:pPr>
    </w:p>
    <w:p>
      <w:pPr>
        <w:pStyle w:val="104"/>
        <w:numPr>
          <w:ilvl w:val="1"/>
          <w:numId w:val="0"/>
        </w:numPr>
        <w:spacing w:before="312" w:after="312"/>
        <w:ind w:leftChars="0"/>
        <w:rPr>
          <w:rFonts w:hint="eastAsia" w:hAnsi="黑体" w:cs="黑体"/>
          <w:szCs w:val="21"/>
          <w:lang w:val="en-US" w:eastAsia="zh-CN"/>
        </w:rPr>
      </w:pPr>
      <w:bookmarkStart w:id="221" w:name="_Toc21080"/>
      <w:r>
        <w:rPr>
          <w:rFonts w:hint="eastAsia" w:hAnsi="黑体" w:cs="黑体"/>
          <w:szCs w:val="21"/>
          <w:lang w:val="en-US" w:eastAsia="zh-CN"/>
        </w:rPr>
        <w:t>5勘察</w:t>
      </w:r>
      <w:bookmarkEnd w:id="221"/>
    </w:p>
    <w:p>
      <w:pPr>
        <w:rPr>
          <w:rFonts w:hint="eastAsia" w:ascii="黑体" w:hAnsi="黑体" w:eastAsia="黑体" w:cs="黑体"/>
          <w:b w:val="0"/>
          <w:bCs w:val="0"/>
          <w:color w:val="auto"/>
        </w:rPr>
      </w:pPr>
      <w:r>
        <w:rPr>
          <w:rFonts w:hint="eastAsia" w:ascii="黑体" w:hAnsi="黑体" w:eastAsia="黑体" w:cs="黑体"/>
          <w:b w:val="0"/>
          <w:bCs w:val="0"/>
          <w:color w:val="auto"/>
          <w:lang w:val="en-US" w:eastAsia="zh-CN"/>
        </w:rPr>
        <w:t xml:space="preserve">5.4  </w:t>
      </w:r>
      <w:r>
        <w:rPr>
          <w:rFonts w:hint="eastAsia" w:ascii="黑体" w:hAnsi="黑体" w:eastAsia="黑体" w:cs="黑体"/>
          <w:b w:val="0"/>
          <w:bCs w:val="0"/>
          <w:color w:val="auto"/>
          <w:lang w:eastAsia="zh-CN"/>
        </w:rPr>
        <w:t>螺杆灌注桩成孔、成桩施工受周边环境、地层条件、基坑开挖顺序、桩的施工顺序及机械施工能力等因素的制约。螺杆灌注桩在饱和土体中成桩会产生一定的超孔隙水压力，故应在掌握可靠资料的基础上，综合分析成桩可能性及对周围环境的影响，防止对场地内已成桩和周边建筑物、地下管线产生危害</w:t>
      </w:r>
      <w:r>
        <w:rPr>
          <w:rFonts w:hint="eastAsia" w:ascii="黑体" w:hAnsi="黑体" w:eastAsia="黑体" w:cs="黑体"/>
          <w:b w:val="0"/>
          <w:bCs w:val="0"/>
          <w:color w:val="auto"/>
        </w:rPr>
        <w:t>。</w:t>
      </w:r>
    </w:p>
    <w:p>
      <w:pPr>
        <w:pStyle w:val="104"/>
        <w:numPr>
          <w:ilvl w:val="1"/>
          <w:numId w:val="0"/>
        </w:numPr>
        <w:spacing w:before="312" w:after="312"/>
        <w:ind w:leftChars="0"/>
        <w:rPr>
          <w:rFonts w:hint="eastAsia" w:hAnsi="黑体" w:cs="黑体"/>
          <w:szCs w:val="21"/>
          <w:lang w:val="en-US" w:eastAsia="zh-CN"/>
        </w:rPr>
      </w:pPr>
      <w:bookmarkStart w:id="222" w:name="_Toc32546"/>
      <w:r>
        <w:rPr>
          <w:rFonts w:hint="eastAsia" w:hAnsi="黑体" w:cs="黑体"/>
          <w:szCs w:val="21"/>
          <w:lang w:val="en-US" w:eastAsia="zh-CN"/>
        </w:rPr>
        <w:t>6桩基设计</w:t>
      </w:r>
      <w:bookmarkEnd w:id="222"/>
    </w:p>
    <w:p>
      <w:pPr>
        <w:pStyle w:val="56"/>
        <w:ind w:left="0" w:leftChars="0" w:firstLine="0" w:firstLineChars="0"/>
        <w:rPr>
          <w:rFonts w:hint="eastAsia" w:ascii="黑体" w:hAnsi="黑体" w:eastAsia="黑体" w:cs="黑体"/>
          <w:b w:val="0"/>
          <w:bCs w:val="0"/>
          <w:szCs w:val="21"/>
          <w:lang w:val="en-US" w:eastAsia="zh-CN"/>
        </w:rPr>
      </w:pPr>
      <w:r>
        <w:rPr>
          <w:rFonts w:hint="eastAsia" w:ascii="黑体" w:hAnsi="黑体" w:eastAsia="黑体" w:cs="黑体"/>
          <w:b w:val="0"/>
          <w:bCs w:val="0"/>
          <w:szCs w:val="21"/>
          <w:lang w:val="en-US" w:eastAsia="zh-CN"/>
        </w:rPr>
        <w:t>6.1一般规定</w:t>
      </w:r>
    </w:p>
    <w:p>
      <w:pPr>
        <w:rPr>
          <w:rFonts w:hint="eastAsia" w:ascii="黑体" w:hAnsi="黑体" w:eastAsia="黑体" w:cs="黑体"/>
          <w:b w:val="0"/>
          <w:bCs w:val="0"/>
          <w:color w:val="auto"/>
        </w:rPr>
      </w:pPr>
      <w:r>
        <w:rPr>
          <w:rFonts w:hint="eastAsia" w:ascii="黑体" w:hAnsi="黑体" w:eastAsia="黑体" w:cs="黑体"/>
          <w:b w:val="0"/>
          <w:bCs w:val="0"/>
          <w:color w:val="auto"/>
          <w:lang w:val="en-US" w:eastAsia="zh-CN"/>
        </w:rPr>
        <w:t>6.1.4  螺杆灌注桩扩大体的设置原则，一是选择设置扩大体的土层地基承载力高、地层结构稳定且符合设置扩大体持力层的厚度要求；二是设置扩大体的土层具有比较高的压缩模量和内摩擦角，如中密、密实的砂土和粉土。</w:t>
      </w:r>
    </w:p>
    <w:p>
      <w:pPr>
        <w:ind w:firstLine="420" w:firstLineChars="200"/>
        <w:rPr>
          <w:rFonts w:hint="eastAsia" w:ascii="黑体" w:hAnsi="黑体" w:eastAsia="黑体" w:cs="黑体"/>
          <w:b w:val="0"/>
          <w:bCs w:val="0"/>
          <w:color w:val="auto"/>
          <w:lang w:val="en-US" w:eastAsia="zh-CN"/>
        </w:rPr>
      </w:pPr>
      <w:r>
        <w:rPr>
          <w:rFonts w:hint="eastAsia" w:ascii="黑体" w:hAnsi="黑体" w:eastAsia="黑体" w:cs="黑体"/>
          <w:b w:val="0"/>
          <w:bCs w:val="0"/>
          <w:color w:val="auto"/>
          <w:lang w:val="en-US" w:eastAsia="zh-CN"/>
        </w:rPr>
        <w:t>螺杆灌注桩根据不同的地质情况和不同的设计要求，桩身构造可多样化：在承载力较高土层，桩身可不设扩大体；可以桩身全长设置扩大体，形成大直径复合“粗桩”，大幅度提高单桩承载能力；在液化土层中可增加复打和复灌次数，增大扩大体长度及直径，固化液化土层，提高基桩抗震能力；通过机械扩孔钻具形成带螺纹的扩大体，进一步提高桩身侧摩阻力。</w:t>
      </w:r>
    </w:p>
    <w:p>
      <w:pPr>
        <w:pStyle w:val="56"/>
        <w:ind w:left="0" w:leftChars="0" w:firstLine="0" w:firstLineChars="0"/>
        <w:rPr>
          <w:rFonts w:hint="eastAsia" w:ascii="黑体" w:hAnsi="黑体" w:eastAsia="黑体" w:cs="黑体"/>
          <w:b w:val="0"/>
          <w:bCs w:val="0"/>
          <w:szCs w:val="21"/>
          <w:lang w:val="en-US" w:eastAsia="zh-CN"/>
        </w:rPr>
      </w:pPr>
    </w:p>
    <w:p>
      <w:pPr>
        <w:pStyle w:val="56"/>
        <w:ind w:left="0" w:leftChars="0" w:firstLine="0" w:firstLineChars="0"/>
        <w:rPr>
          <w:rFonts w:hint="eastAsia" w:ascii="黑体" w:hAnsi="黑体" w:eastAsia="黑体" w:cs="黑体"/>
          <w:b w:val="0"/>
          <w:bCs w:val="0"/>
          <w:szCs w:val="21"/>
          <w:lang w:val="en-US" w:eastAsia="zh-CN"/>
        </w:rPr>
      </w:pPr>
      <w:r>
        <w:rPr>
          <w:rFonts w:hint="eastAsia" w:ascii="黑体" w:hAnsi="黑体" w:eastAsia="黑体" w:cs="黑体"/>
          <w:b w:val="0"/>
          <w:bCs w:val="0"/>
          <w:szCs w:val="21"/>
          <w:lang w:val="en-US" w:eastAsia="zh-CN"/>
        </w:rPr>
        <w:t>6.2 基桩构造</w:t>
      </w:r>
    </w:p>
    <w:p>
      <w:pPr>
        <w:rPr>
          <w:rFonts w:hint="eastAsia" w:ascii="黑体" w:hAnsi="黑体" w:eastAsia="黑体" w:cs="黑体"/>
          <w:b w:val="0"/>
          <w:bCs w:val="0"/>
          <w:color w:val="auto"/>
        </w:rPr>
      </w:pPr>
      <w:r>
        <w:rPr>
          <w:rFonts w:hint="eastAsia" w:ascii="黑体" w:hAnsi="黑体" w:eastAsia="黑体" w:cs="黑体"/>
          <w:b w:val="0"/>
          <w:bCs w:val="0"/>
          <w:color w:val="auto"/>
          <w:lang w:val="en-US" w:eastAsia="zh-CN"/>
        </w:rPr>
        <w:t>6</w:t>
      </w:r>
      <w:r>
        <w:rPr>
          <w:rFonts w:hint="eastAsia" w:ascii="黑体" w:hAnsi="黑体" w:eastAsia="黑体" w:cs="黑体"/>
          <w:b w:val="0"/>
          <w:bCs w:val="0"/>
          <w:color w:val="auto"/>
        </w:rPr>
        <w:t>.2.1</w:t>
      </w:r>
      <w:r>
        <w:rPr>
          <w:rFonts w:hint="eastAsia" w:ascii="黑体" w:hAnsi="黑体" w:eastAsia="黑体" w:cs="黑体"/>
          <w:b w:val="0"/>
          <w:bCs w:val="0"/>
          <w:color w:val="auto"/>
          <w:lang w:val="en-US" w:eastAsia="zh-CN"/>
        </w:rPr>
        <w:t xml:space="preserve">  </w:t>
      </w:r>
      <w:r>
        <w:rPr>
          <w:rFonts w:hint="eastAsia" w:ascii="黑体" w:hAnsi="黑体" w:eastAsia="黑体" w:cs="黑体"/>
          <w:b w:val="0"/>
          <w:bCs w:val="0"/>
          <w:color w:val="auto"/>
        </w:rPr>
        <w:t>螺杆灌注桩以外径为设计桩径，</w:t>
      </w:r>
      <w:r>
        <w:rPr>
          <w:rFonts w:hint="eastAsia" w:ascii="黑体" w:hAnsi="黑体" w:eastAsia="黑体" w:cs="黑体"/>
          <w:b w:val="0"/>
          <w:bCs w:val="0"/>
          <w:color w:val="auto"/>
          <w:lang w:eastAsia="zh-CN"/>
        </w:rPr>
        <w:t>螺杆灌注桩外径尺寸与直杆段外径一致。</w:t>
      </w:r>
    </w:p>
    <w:p>
      <w:pPr>
        <w:rPr>
          <w:rFonts w:hint="eastAsia" w:ascii="黑体" w:hAnsi="黑体" w:eastAsia="黑体" w:cs="黑体"/>
          <w:b w:val="0"/>
          <w:bCs w:val="0"/>
          <w:color w:val="auto"/>
        </w:rPr>
      </w:pPr>
      <w:r>
        <w:rPr>
          <w:rFonts w:hint="eastAsia" w:ascii="黑体" w:hAnsi="黑体" w:eastAsia="黑体" w:cs="黑体"/>
          <w:b w:val="0"/>
          <w:bCs w:val="0"/>
          <w:color w:val="auto"/>
          <w:lang w:val="en-US" w:eastAsia="zh-CN"/>
        </w:rPr>
        <w:t>6</w:t>
      </w:r>
      <w:r>
        <w:rPr>
          <w:rFonts w:hint="eastAsia" w:ascii="黑体" w:hAnsi="黑体" w:eastAsia="黑体" w:cs="黑体"/>
          <w:b w:val="0"/>
          <w:bCs w:val="0"/>
          <w:color w:val="auto"/>
        </w:rPr>
        <w:t>.2.</w:t>
      </w:r>
      <w:r>
        <w:rPr>
          <w:rFonts w:hint="eastAsia" w:ascii="黑体" w:hAnsi="黑体" w:eastAsia="黑体" w:cs="黑体"/>
          <w:b w:val="0"/>
          <w:bCs w:val="0"/>
          <w:color w:val="auto"/>
          <w:lang w:val="en-US" w:eastAsia="zh-CN"/>
        </w:rPr>
        <w:t>2  目前</w:t>
      </w:r>
      <w:r>
        <w:rPr>
          <w:rFonts w:hint="eastAsia" w:ascii="黑体" w:hAnsi="黑体" w:eastAsia="黑体" w:cs="黑体"/>
          <w:b w:val="0"/>
          <w:bCs w:val="0"/>
          <w:color w:val="auto"/>
        </w:rPr>
        <w:t>螺杆桩机采用的钻具标准内径有φ273、φ299和φ340三种规格，施工时可对钻头进行改造，将内径加大至设计要求。</w:t>
      </w:r>
    </w:p>
    <w:p>
      <w:pPr>
        <w:rPr>
          <w:rFonts w:hint="eastAsia" w:ascii="黑体" w:hAnsi="黑体" w:eastAsia="黑体" w:cs="黑体"/>
          <w:b w:val="0"/>
          <w:bCs w:val="0"/>
          <w:color w:val="auto"/>
        </w:rPr>
      </w:pPr>
      <w:r>
        <w:rPr>
          <w:rFonts w:hint="eastAsia" w:ascii="黑体" w:hAnsi="黑体" w:eastAsia="黑体" w:cs="黑体"/>
          <w:b w:val="0"/>
          <w:bCs w:val="0"/>
          <w:color w:val="auto"/>
          <w:lang w:val="en-US" w:eastAsia="zh-CN"/>
        </w:rPr>
        <w:t>6</w:t>
      </w:r>
      <w:r>
        <w:rPr>
          <w:rFonts w:hint="eastAsia" w:ascii="黑体" w:hAnsi="黑体" w:eastAsia="黑体" w:cs="黑体"/>
          <w:b w:val="0"/>
          <w:bCs w:val="0"/>
          <w:color w:val="auto"/>
        </w:rPr>
        <w:t>.2.</w:t>
      </w:r>
      <w:r>
        <w:rPr>
          <w:rFonts w:hint="eastAsia" w:ascii="黑体" w:hAnsi="黑体" w:eastAsia="黑体" w:cs="黑体"/>
          <w:b w:val="0"/>
          <w:bCs w:val="0"/>
          <w:color w:val="auto"/>
          <w:lang w:val="en-US" w:eastAsia="zh-CN"/>
        </w:rPr>
        <w:t xml:space="preserve">3  </w:t>
      </w:r>
      <w:r>
        <w:rPr>
          <w:rFonts w:hint="eastAsia" w:ascii="黑体" w:hAnsi="黑体" w:eastAsia="黑体" w:cs="黑体"/>
          <w:b w:val="0"/>
          <w:bCs w:val="0"/>
          <w:color w:val="auto"/>
        </w:rPr>
        <w:t>螺杆灌注桩是在全螺纹灌注桩基础上发展而来的技术，</w:t>
      </w:r>
      <w:r>
        <w:rPr>
          <w:rFonts w:hint="eastAsia" w:ascii="黑体" w:hAnsi="黑体" w:eastAsia="黑体" w:cs="黑体"/>
          <w:b w:val="0"/>
          <w:bCs w:val="0"/>
          <w:color w:val="auto"/>
          <w:lang w:eastAsia="zh-CN"/>
        </w:rPr>
        <w:t>由于作用于桩身的轴向压力随着深度的增加而逐渐减小，</w:t>
      </w:r>
      <w:r>
        <w:rPr>
          <w:rFonts w:hint="eastAsia" w:ascii="黑体" w:hAnsi="黑体" w:eastAsia="黑体" w:cs="黑体"/>
          <w:b w:val="0"/>
          <w:bCs w:val="0"/>
          <w:color w:val="auto"/>
        </w:rPr>
        <w:t>与全螺纹灌注桩相比，螺杆灌注桩上部的直杆段具有比螺纹段更大的截面积，用于承受桩上部所受的较大荷载，为下部螺纹段发挥作用提供了缓冲和保障。</w:t>
      </w:r>
    </w:p>
    <w:p>
      <w:pPr>
        <w:rPr>
          <w:rFonts w:hint="eastAsia" w:ascii="黑体" w:hAnsi="黑体" w:eastAsia="黑体" w:cs="黑体"/>
          <w:b w:val="0"/>
          <w:bCs w:val="0"/>
          <w:color w:val="auto"/>
          <w:lang w:val="en-US" w:eastAsia="zh-CN"/>
        </w:rPr>
      </w:pPr>
      <w:r>
        <w:rPr>
          <w:rFonts w:hint="eastAsia" w:ascii="黑体" w:hAnsi="黑体" w:eastAsia="黑体" w:cs="黑体"/>
          <w:b w:val="0"/>
          <w:bCs w:val="0"/>
          <w:color w:val="auto"/>
          <w:lang w:eastAsia="zh-CN"/>
        </w:rPr>
        <w:t>合理选取螺杆灌注桩直杆段与螺纹段长度，既能充分发挥螺纹段对桩侧阻力的增大作用，又不至于因螺纹段截面面积的减小影响桩身受压承载力。根据现有工程实践经验，螺杆灌注桩螺纹段长度宜为桩长的</w:t>
      </w:r>
      <w:r>
        <w:rPr>
          <w:rFonts w:hint="eastAsia" w:ascii="黑体" w:hAnsi="黑体" w:eastAsia="黑体" w:cs="黑体"/>
          <w:b w:val="0"/>
          <w:bCs w:val="0"/>
          <w:color w:val="auto"/>
          <w:lang w:val="en-US" w:eastAsia="zh-CN"/>
        </w:rPr>
        <w:t>2/3。</w:t>
      </w:r>
    </w:p>
    <w:p>
      <w:pPr>
        <w:ind w:firstLine="420" w:firstLineChars="200"/>
        <w:rPr>
          <w:rFonts w:hint="eastAsia" w:ascii="黑体" w:hAnsi="黑体" w:eastAsia="黑体" w:cs="黑体"/>
          <w:b w:val="0"/>
          <w:bCs w:val="0"/>
          <w:color w:val="auto"/>
          <w:lang w:val="en-US" w:eastAsia="zh-CN"/>
        </w:rPr>
      </w:pPr>
      <w:r>
        <w:rPr>
          <w:rFonts w:hint="eastAsia" w:ascii="黑体" w:hAnsi="黑体" w:eastAsia="黑体" w:cs="黑体"/>
          <w:b w:val="0"/>
          <w:bCs w:val="0"/>
          <w:color w:val="auto"/>
          <w:lang w:val="en-US" w:eastAsia="zh-CN"/>
        </w:rPr>
        <w:t>螺杆灌注桩螺纹段对侧阻力有增大作用，螺纹段不能设置在可能产生负摩阻力的地层（如填土、欠固结土、液化土等）。</w:t>
      </w:r>
    </w:p>
    <w:p>
      <w:pPr>
        <w:ind w:firstLine="0" w:firstLineChars="0"/>
        <w:rPr>
          <w:rFonts w:hint="eastAsia" w:ascii="黑体" w:hAnsi="黑体" w:eastAsia="黑体" w:cs="黑体"/>
          <w:b w:val="0"/>
          <w:bCs w:val="0"/>
          <w:color w:val="auto"/>
          <w:sz w:val="21"/>
          <w:szCs w:val="21"/>
          <w:lang w:val="en-US" w:eastAsia="zh-CN"/>
        </w:rPr>
      </w:pPr>
      <w:r>
        <w:rPr>
          <w:rFonts w:hint="eastAsia" w:ascii="黑体" w:hAnsi="黑体" w:eastAsia="黑体" w:cs="黑体"/>
          <w:b w:val="0"/>
          <w:bCs w:val="0"/>
          <w:color w:val="auto"/>
          <w:szCs w:val="21"/>
          <w:lang w:val="en-US" w:eastAsia="zh-CN"/>
        </w:rPr>
        <w:t xml:space="preserve">6.2.4  </w:t>
      </w:r>
      <w:r>
        <w:rPr>
          <w:rFonts w:hint="eastAsia" w:ascii="黑体" w:hAnsi="黑体" w:eastAsia="黑体" w:cs="黑体"/>
          <w:b w:val="0"/>
          <w:bCs w:val="0"/>
          <w:color w:val="auto"/>
          <w:sz w:val="21"/>
          <w:szCs w:val="21"/>
          <w:lang w:eastAsia="zh-CN"/>
        </w:rPr>
        <w:t>螺杆灌注桩形成扩大体技术</w:t>
      </w:r>
      <w:r>
        <w:rPr>
          <w:rFonts w:hint="eastAsia" w:ascii="黑体" w:hAnsi="黑体" w:eastAsia="黑体" w:cs="黑体"/>
          <w:b w:val="0"/>
          <w:bCs w:val="0"/>
          <w:color w:val="auto"/>
          <w:sz w:val="21"/>
          <w:szCs w:val="21"/>
          <w:lang w:val="en-US" w:eastAsia="zh-CN"/>
        </w:rPr>
        <w:t>已在在海南、广东、广西、四川、重庆、陕西等省市成功实施。在四川某项目，经现场开挖测量，在形成扩大体段土层复打复灌时，扩大范围灌注了原桩身两倍以上的混凝土方量，所以扩大体段的截面积也相应了增加了两倍以上。</w:t>
      </w:r>
    </w:p>
    <w:p>
      <w:pPr>
        <w:ind w:firstLine="420"/>
        <w:rPr>
          <w:rFonts w:hint="eastAsia" w:ascii="黑体" w:hAnsi="黑体" w:eastAsia="黑体" w:cs="黑体"/>
          <w:b w:val="0"/>
          <w:bCs w:val="0"/>
          <w:color w:val="auto"/>
          <w:sz w:val="21"/>
          <w:szCs w:val="21"/>
          <w:lang w:val="en-US" w:eastAsia="zh-CN"/>
        </w:rPr>
      </w:pPr>
      <w:r>
        <w:rPr>
          <w:rFonts w:hint="eastAsia" w:ascii="黑体" w:hAnsi="黑体" w:eastAsia="黑体" w:cs="黑体"/>
          <w:b w:val="0"/>
          <w:bCs w:val="0"/>
          <w:color w:val="auto"/>
          <w:sz w:val="21"/>
          <w:szCs w:val="21"/>
          <w:lang w:val="en-US" w:eastAsia="zh-CN"/>
        </w:rPr>
        <w:t>另外，扩大体几何尺寸对扩径体端阻力也有一定的影响，桩顶施加荷载后，扩大体产生楔子效应，扩大体实体核向四周对称外挤，产生了很大的水平力，扩大体处土体变形受到很大的约束，对提高桩端承载力、减小沉降变形也有一定的作用。</w:t>
      </w:r>
    </w:p>
    <w:p>
      <w:pPr>
        <w:rPr>
          <w:rFonts w:hint="eastAsia" w:ascii="黑体" w:hAnsi="黑体" w:eastAsia="黑体" w:cs="黑体"/>
          <w:b w:val="0"/>
          <w:bCs w:val="0"/>
          <w:color w:val="auto"/>
        </w:rPr>
      </w:pPr>
      <w:r>
        <w:rPr>
          <w:rFonts w:hint="eastAsia" w:ascii="黑体" w:hAnsi="黑体" w:eastAsia="黑体" w:cs="黑体"/>
          <w:b w:val="0"/>
          <w:bCs w:val="0"/>
          <w:color w:val="auto"/>
          <w:lang w:val="en-US" w:eastAsia="zh-CN"/>
        </w:rPr>
        <w:t>6</w:t>
      </w:r>
      <w:r>
        <w:rPr>
          <w:rFonts w:hint="eastAsia" w:ascii="黑体" w:hAnsi="黑体" w:eastAsia="黑体" w:cs="黑体"/>
          <w:b w:val="0"/>
          <w:bCs w:val="0"/>
          <w:color w:val="auto"/>
        </w:rPr>
        <w:t>.2.</w:t>
      </w:r>
      <w:r>
        <w:rPr>
          <w:rFonts w:hint="eastAsia" w:ascii="黑体" w:hAnsi="黑体" w:eastAsia="黑体" w:cs="黑体"/>
          <w:b w:val="0"/>
          <w:bCs w:val="0"/>
          <w:color w:val="auto"/>
          <w:lang w:val="en-US" w:eastAsia="zh-CN"/>
        </w:rPr>
        <w:t xml:space="preserve">10  </w:t>
      </w:r>
      <w:r>
        <w:rPr>
          <w:rFonts w:hint="eastAsia" w:ascii="黑体" w:hAnsi="黑体" w:eastAsia="黑体" w:cs="黑体"/>
          <w:b w:val="0"/>
          <w:bCs w:val="0"/>
          <w:color w:val="auto"/>
        </w:rPr>
        <w:t>螺杆灌注桩属于摩擦桩型，根据现行JGJ94的规定，可以部分配筋，但不小于桩长的2/3。</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黑体" w:eastAsia="黑体" w:cs="黑体"/>
          <w:b w:val="0"/>
          <w:bCs w:val="0"/>
          <w:color w:val="auto"/>
        </w:rPr>
      </w:pPr>
      <w:r>
        <w:rPr>
          <w:rFonts w:hint="eastAsia" w:ascii="黑体" w:hAnsi="黑体" w:eastAsia="黑体" w:cs="黑体"/>
          <w:b w:val="0"/>
          <w:bCs w:val="0"/>
          <w:color w:val="auto"/>
        </w:rPr>
        <w:t>在8度以上抗震地区，需要通长配筋时，可将钢筋笼设计为分段变径形式，分别满足直杆段和螺纹段的主筋保护层厚度要求，同时应采用有效措施保证钢筋笼的垂直度和偏移量在允许范围内。</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黑体" w:hAnsi="黑体" w:eastAsia="黑体" w:cs="黑体"/>
          <w:b w:val="0"/>
          <w:bCs w:val="0"/>
          <w:color w:val="auto"/>
        </w:rPr>
      </w:pPr>
      <w:r>
        <w:rPr>
          <w:rFonts w:hint="eastAsia" w:ascii="黑体" w:hAnsi="黑体" w:eastAsia="黑体" w:cs="黑体"/>
          <w:b w:val="0"/>
          <w:bCs w:val="0"/>
          <w:color w:val="auto"/>
          <w:lang w:val="en-US" w:eastAsia="zh-CN"/>
        </w:rPr>
        <w:t xml:space="preserve">6.2.11  </w:t>
      </w:r>
      <w:r>
        <w:rPr>
          <w:rFonts w:hint="eastAsia" w:ascii="黑体" w:hAnsi="黑体" w:eastAsia="黑体" w:cs="黑体"/>
          <w:b w:val="0"/>
          <w:bCs w:val="0"/>
          <w:color w:val="auto"/>
        </w:rPr>
        <w:t>现行JGJ94要求桩径为300</w:t>
      </w:r>
      <w:r>
        <w:rPr>
          <w:rFonts w:hint="eastAsia" w:ascii="黑体" w:hAnsi="黑体" w:eastAsia="黑体" w:cs="黑体"/>
          <w:b w:val="0"/>
          <w:bCs w:val="0"/>
          <w:color w:val="auto"/>
          <w:lang w:val="en-US" w:eastAsia="zh-CN"/>
        </w:rPr>
        <w:t>mm</w:t>
      </w:r>
      <w:r>
        <w:rPr>
          <w:rFonts w:hint="eastAsia" w:ascii="黑体" w:hAnsi="黑体" w:eastAsia="黑体" w:cs="黑体"/>
          <w:b w:val="0"/>
          <w:bCs w:val="0"/>
          <w:color w:val="auto"/>
        </w:rPr>
        <w:t>～2000mm的灌注桩正截面构造配筋率为0.2</w:t>
      </w:r>
      <w:r>
        <w:rPr>
          <w:rFonts w:hint="eastAsia" w:ascii="黑体" w:hAnsi="黑体" w:eastAsia="黑体" w:cs="黑体"/>
          <w:b w:val="0"/>
          <w:bCs w:val="0"/>
          <w:color w:val="auto"/>
          <w:lang w:val="en-US" w:eastAsia="zh-CN"/>
        </w:rPr>
        <w:t>%</w:t>
      </w:r>
      <w:r>
        <w:rPr>
          <w:rFonts w:hint="eastAsia" w:ascii="黑体" w:hAnsi="黑体" w:eastAsia="黑体" w:cs="黑体"/>
          <w:b w:val="0"/>
          <w:bCs w:val="0"/>
          <w:color w:val="auto"/>
        </w:rPr>
        <w:t>～0.65%，但对于小桩径应取高值，螺杆灌注桩桩径为300</w:t>
      </w:r>
      <w:r>
        <w:rPr>
          <w:rFonts w:hint="eastAsia" w:ascii="黑体" w:hAnsi="黑体" w:eastAsia="黑体" w:cs="黑体"/>
          <w:b w:val="0"/>
          <w:bCs w:val="0"/>
          <w:color w:val="auto"/>
          <w:lang w:val="en-US" w:eastAsia="zh-CN"/>
        </w:rPr>
        <w:t>mm</w:t>
      </w:r>
      <w:r>
        <w:rPr>
          <w:rFonts w:hint="eastAsia" w:ascii="黑体" w:hAnsi="黑体" w:eastAsia="黑体" w:cs="黑体"/>
          <w:b w:val="0"/>
          <w:bCs w:val="0"/>
          <w:color w:val="auto"/>
        </w:rPr>
        <w:t>～</w:t>
      </w:r>
      <w:r>
        <w:rPr>
          <w:rFonts w:hint="eastAsia" w:ascii="黑体" w:hAnsi="黑体" w:eastAsia="黑体" w:cs="黑体"/>
          <w:b w:val="0"/>
          <w:bCs w:val="0"/>
          <w:color w:val="auto"/>
          <w:lang w:val="en-US" w:eastAsia="zh-CN"/>
        </w:rPr>
        <w:t>10</w:t>
      </w:r>
      <w:r>
        <w:rPr>
          <w:rFonts w:hint="eastAsia" w:ascii="黑体" w:hAnsi="黑体" w:eastAsia="黑体" w:cs="黑体"/>
          <w:b w:val="0"/>
          <w:bCs w:val="0"/>
          <w:color w:val="auto"/>
        </w:rPr>
        <w:t>00mm，因此将螺杆灌注桩正截面构造配筋率提高为0.</w:t>
      </w:r>
      <w:r>
        <w:rPr>
          <w:rFonts w:hint="eastAsia" w:ascii="黑体" w:hAnsi="黑体" w:eastAsia="黑体" w:cs="黑体"/>
          <w:b w:val="0"/>
          <w:bCs w:val="0"/>
          <w:color w:val="auto"/>
          <w:lang w:val="en-US" w:eastAsia="zh-CN"/>
        </w:rPr>
        <w:t>3</w:t>
      </w:r>
      <w:r>
        <w:rPr>
          <w:rFonts w:hint="eastAsia" w:ascii="黑体" w:hAnsi="黑体" w:eastAsia="黑体" w:cs="黑体"/>
          <w:b w:val="0"/>
          <w:bCs w:val="0"/>
          <w:color w:val="auto"/>
        </w:rPr>
        <w:t>～0.65%</w:t>
      </w:r>
      <w:r>
        <w:rPr>
          <w:rFonts w:hint="eastAsia" w:ascii="黑体" w:hAnsi="黑体" w:eastAsia="黑体" w:cs="黑体"/>
          <w:b w:val="0"/>
          <w:bCs w:val="0"/>
          <w:color w:val="auto"/>
          <w:lang w:eastAsia="zh-CN"/>
        </w:rPr>
        <w:t>。</w:t>
      </w:r>
    </w:p>
    <w:p>
      <w:pPr>
        <w:rPr>
          <w:rFonts w:hint="eastAsia" w:ascii="黑体" w:hAnsi="黑体" w:eastAsia="黑体" w:cs="黑体"/>
          <w:b w:val="0"/>
          <w:bCs w:val="0"/>
          <w:color w:val="auto"/>
        </w:rPr>
      </w:pPr>
      <w:r>
        <w:rPr>
          <w:rFonts w:hint="eastAsia" w:ascii="黑体" w:hAnsi="黑体" w:eastAsia="黑体" w:cs="黑体"/>
          <w:b w:val="0"/>
          <w:bCs w:val="0"/>
          <w:color w:val="auto"/>
          <w:lang w:val="en-US" w:eastAsia="zh-CN"/>
        </w:rPr>
        <w:t>6</w:t>
      </w:r>
      <w:r>
        <w:rPr>
          <w:rFonts w:hint="eastAsia" w:ascii="黑体" w:hAnsi="黑体" w:eastAsia="黑体" w:cs="黑体"/>
          <w:b w:val="0"/>
          <w:bCs w:val="0"/>
          <w:color w:val="auto"/>
        </w:rPr>
        <w:t>.2.</w:t>
      </w:r>
      <w:r>
        <w:rPr>
          <w:rFonts w:hint="eastAsia" w:ascii="黑体" w:hAnsi="黑体" w:eastAsia="黑体" w:cs="黑体"/>
          <w:b w:val="0"/>
          <w:bCs w:val="0"/>
          <w:color w:val="auto"/>
          <w:lang w:val="en-US" w:eastAsia="zh-CN"/>
        </w:rPr>
        <w:t xml:space="preserve">7  </w:t>
      </w:r>
      <w:r>
        <w:rPr>
          <w:rFonts w:hint="eastAsia" w:ascii="黑体" w:hAnsi="黑体" w:eastAsia="黑体" w:cs="黑体"/>
          <w:b w:val="0"/>
          <w:bCs w:val="0"/>
          <w:color w:val="auto"/>
        </w:rPr>
        <w:t>表</w:t>
      </w:r>
      <w:r>
        <w:rPr>
          <w:rFonts w:hint="eastAsia" w:ascii="黑体" w:hAnsi="黑体" w:eastAsia="黑体" w:cs="黑体"/>
          <w:b w:val="0"/>
          <w:bCs w:val="0"/>
          <w:color w:val="auto"/>
          <w:lang w:val="en-US" w:eastAsia="zh-CN"/>
        </w:rPr>
        <w:t>3</w:t>
      </w:r>
      <w:r>
        <w:rPr>
          <w:rFonts w:hint="eastAsia" w:ascii="黑体" w:hAnsi="黑体" w:eastAsia="黑体" w:cs="黑体"/>
          <w:b w:val="0"/>
          <w:bCs w:val="0"/>
          <w:color w:val="auto"/>
        </w:rPr>
        <w:t>与现行</w:t>
      </w:r>
      <w:r>
        <w:rPr>
          <w:rFonts w:hint="eastAsia" w:ascii="黑体" w:hAnsi="黑体" w:eastAsia="黑体" w:cs="黑体"/>
          <w:b w:val="0"/>
          <w:bCs w:val="0"/>
          <w:color w:val="auto"/>
          <w:lang w:val="en-US" w:eastAsia="zh-CN"/>
        </w:rPr>
        <w:t>JGJ94表</w:t>
      </w:r>
      <w:r>
        <w:rPr>
          <w:rFonts w:hint="eastAsia" w:ascii="黑体" w:hAnsi="黑体" w:eastAsia="黑体" w:cs="黑体"/>
          <w:b w:val="0"/>
          <w:bCs w:val="0"/>
          <w:color w:val="auto"/>
        </w:rPr>
        <w:t>3.3.3中部分挤土桩数据相同，适用于一般的可以挤压的土层；施工间距过小时，在淤泥、硬粘土等土层会发生变形、缩径、断桩、偏斜等事故，在饱和粉土、饱和粉细砂等土层成桩时，可能会导致未初凝邻桩中的水泥浆渗漏，从而引发夹泥、缩径、断桩等事故。应尽可能选择大桩距，必要时还应采用跳打方案和屏障技术施工。</w:t>
      </w:r>
    </w:p>
    <w:p>
      <w:pPr>
        <w:pStyle w:val="56"/>
        <w:ind w:left="0" w:leftChars="0" w:firstLine="0" w:firstLineChars="0"/>
        <w:rPr>
          <w:rFonts w:hint="eastAsia" w:ascii="黑体" w:hAnsi="黑体" w:eastAsia="黑体" w:cs="黑体"/>
          <w:b w:val="0"/>
          <w:bCs w:val="0"/>
          <w:color w:val="auto"/>
          <w:lang w:eastAsia="zh-CN"/>
        </w:rPr>
      </w:pPr>
      <w:r>
        <w:rPr>
          <w:rFonts w:hint="eastAsia" w:ascii="黑体" w:hAnsi="黑体" w:eastAsia="黑体" w:cs="黑体"/>
          <w:b w:val="0"/>
          <w:bCs w:val="0"/>
          <w:color w:val="auto"/>
          <w:lang w:val="en-US" w:eastAsia="zh-CN"/>
        </w:rPr>
        <w:t xml:space="preserve">6.2.8  </w:t>
      </w:r>
      <w:r>
        <w:rPr>
          <w:rFonts w:hint="eastAsia" w:ascii="黑体" w:hAnsi="黑体" w:eastAsia="黑体" w:cs="黑体"/>
          <w:b w:val="0"/>
          <w:bCs w:val="0"/>
          <w:color w:val="auto"/>
        </w:rPr>
        <w:t>屏障技术是在上部为饱和软土，下部为较好土层时采用的一种消除挤土效应的方法，可理解为在套管中进行钻孔成桩，饱和软土的侧向位移被套管阻断，只能通过套管上部的空间被钻杆带出地面，从而在饱和软土中形成取土型桩。进入较好土层后，套管留在原位，钻杆继续钻进并挤土成桩，需要指出，如采用屏障技术，应适当增加直杆段长度，避免因荷载过大导致桩身破坏，详附录E</w:t>
      </w:r>
      <w:r>
        <w:rPr>
          <w:rFonts w:hint="eastAsia" w:ascii="黑体" w:hAnsi="黑体" w:eastAsia="黑体" w:cs="黑体"/>
          <w:b w:val="0"/>
          <w:bCs w:val="0"/>
          <w:color w:val="auto"/>
          <w:lang w:eastAsia="zh-CN"/>
        </w:rPr>
        <w:t>。</w:t>
      </w:r>
    </w:p>
    <w:p>
      <w:pPr>
        <w:pStyle w:val="56"/>
        <w:ind w:left="0" w:leftChars="0" w:firstLine="0" w:firstLineChars="0"/>
        <w:rPr>
          <w:rFonts w:hint="eastAsia" w:ascii="黑体" w:hAnsi="黑体" w:eastAsia="黑体" w:cs="黑体"/>
          <w:b w:val="0"/>
          <w:bCs w:val="0"/>
          <w:color w:val="auto"/>
          <w:lang w:eastAsia="zh-CN"/>
        </w:rPr>
      </w:pPr>
    </w:p>
    <w:p>
      <w:pPr>
        <w:pStyle w:val="56"/>
        <w:ind w:left="0" w:leftChars="0" w:firstLine="0" w:firstLineChars="0"/>
        <w:rPr>
          <w:rFonts w:hint="eastAsia" w:ascii="黑体" w:hAnsi="黑体" w:eastAsia="黑体" w:cs="黑体"/>
          <w:b w:val="0"/>
          <w:bCs w:val="0"/>
          <w:szCs w:val="21"/>
          <w:lang w:val="en-US" w:eastAsia="zh-CN"/>
        </w:rPr>
      </w:pPr>
      <w:r>
        <w:rPr>
          <w:rFonts w:hint="eastAsia" w:ascii="黑体" w:hAnsi="黑体" w:eastAsia="黑体" w:cs="黑体"/>
          <w:b w:val="0"/>
          <w:bCs w:val="0"/>
          <w:szCs w:val="21"/>
          <w:lang w:val="en-US" w:eastAsia="zh-CN"/>
        </w:rPr>
        <w:t xml:space="preserve">6.3 </w:t>
      </w:r>
      <w:r>
        <w:rPr>
          <w:rFonts w:hint="eastAsia" w:ascii="黑体" w:hAnsi="黑体" w:eastAsia="黑体" w:cs="黑体"/>
          <w:b w:val="0"/>
          <w:bCs w:val="0"/>
          <w:color w:val="auto"/>
          <w:lang w:val="en-US" w:eastAsia="zh-CN"/>
        </w:rPr>
        <w:t>螺杆灌注桩单桩竖向极限承载力</w:t>
      </w:r>
    </w:p>
    <w:p>
      <w:pPr>
        <w:pStyle w:val="236"/>
        <w:spacing w:line="240" w:lineRule="auto"/>
        <w:rPr>
          <w:rFonts w:hint="eastAsia" w:ascii="黑体" w:hAnsi="黑体" w:eastAsia="黑体" w:cs="黑体"/>
          <w:b w:val="0"/>
          <w:bCs w:val="0"/>
          <w:color w:val="auto"/>
          <w:kern w:val="2"/>
          <w:sz w:val="21"/>
          <w:szCs w:val="21"/>
          <w:u w:val="none"/>
          <w:shd w:val="clear" w:color="auto" w:fill="auto"/>
          <w:lang w:val="en-US" w:eastAsia="zh-CN" w:bidi="ar-SA"/>
        </w:rPr>
      </w:pPr>
      <w:r>
        <w:rPr>
          <w:rFonts w:hint="eastAsia" w:ascii="黑体" w:hAnsi="黑体" w:eastAsia="黑体" w:cs="黑体"/>
          <w:b w:val="0"/>
          <w:bCs w:val="0"/>
          <w:color w:val="auto"/>
          <w:sz w:val="21"/>
          <w:szCs w:val="21"/>
          <w:lang w:val="en-US" w:eastAsia="zh-CN"/>
        </w:rPr>
        <w:t xml:space="preserve">6.3.2  </w:t>
      </w:r>
      <w:r>
        <w:rPr>
          <w:rFonts w:hint="eastAsia" w:ascii="黑体" w:hAnsi="黑体" w:eastAsia="黑体" w:cs="黑体"/>
          <w:b w:val="0"/>
          <w:bCs w:val="0"/>
          <w:color w:val="auto"/>
          <w:kern w:val="2"/>
          <w:sz w:val="21"/>
          <w:szCs w:val="21"/>
          <w:u w:val="none"/>
          <w:shd w:val="clear" w:color="auto" w:fill="auto"/>
          <w:lang w:val="en-US" w:eastAsia="zh-CN" w:bidi="ar-SA"/>
        </w:rPr>
        <w:t>单桩竖向静载荷试验是确定单桩竖向极限承载力最可靠的方法，螺杆灌注桩在海南地区已成功运用于近两百栋建筑，但仍需积累经验，为慎重起见，本标准规定所有桩基设计等级的螺杆灌注桩的基桩承载力采用静载试验确定。初步设计时，可利用地质条件相同的试桩资料和原位测试及端阻力、侧阻力与土的物理指标的经验关系参数计算。</w:t>
      </w:r>
    </w:p>
    <w:p>
      <w:pPr>
        <w:pStyle w:val="236"/>
        <w:spacing w:line="240" w:lineRule="auto"/>
        <w:ind w:firstLine="420" w:firstLineChars="200"/>
        <w:rPr>
          <w:rFonts w:hint="eastAsia" w:ascii="黑体" w:hAnsi="黑体" w:eastAsia="黑体" w:cs="黑体"/>
          <w:b w:val="0"/>
          <w:bCs w:val="0"/>
          <w:color w:val="auto"/>
          <w:kern w:val="2"/>
          <w:sz w:val="21"/>
          <w:szCs w:val="21"/>
          <w:u w:val="none"/>
          <w:shd w:val="clear" w:color="auto" w:fill="auto"/>
          <w:lang w:val="en-US" w:eastAsia="zh-CN" w:bidi="ar-SA"/>
        </w:rPr>
      </w:pPr>
      <w:r>
        <w:rPr>
          <w:rFonts w:hint="eastAsia" w:ascii="黑体" w:hAnsi="黑体" w:eastAsia="黑体" w:cs="黑体"/>
          <w:b w:val="0"/>
          <w:bCs w:val="0"/>
          <w:color w:val="auto"/>
          <w:kern w:val="2"/>
          <w:sz w:val="21"/>
          <w:szCs w:val="21"/>
          <w:u w:val="none"/>
          <w:shd w:val="clear" w:color="auto" w:fill="auto"/>
          <w:lang w:val="en-US" w:eastAsia="zh-CN" w:bidi="ar-SA"/>
        </w:rPr>
        <w:t>螺杆灌注桩为挤土或部分挤土桩，在初步设计时，地勘中无经验参数的，桩的极限侧阻力标准值和和极限端阻力标准值取值可按本标准表4、表5选取，或参照地勘中预应力混凝土管桩取值，在施工图设计时选取的值根据现场单桩静载试验结果进行验证和调整。</w:t>
      </w:r>
    </w:p>
    <w:p>
      <w:pPr>
        <w:ind w:firstLine="420" w:firstLineChars="200"/>
        <w:rPr>
          <w:rFonts w:hint="eastAsia" w:ascii="黑体" w:hAnsi="黑体" w:eastAsia="黑体" w:cs="黑体"/>
          <w:b w:val="0"/>
          <w:bCs w:val="0"/>
          <w:color w:val="auto"/>
          <w:kern w:val="2"/>
          <w:sz w:val="21"/>
          <w:szCs w:val="21"/>
          <w:u w:val="none"/>
          <w:shd w:val="clear" w:color="auto" w:fill="auto"/>
          <w:lang w:val="en-US" w:eastAsia="zh-CN" w:bidi="ar-SA"/>
        </w:rPr>
      </w:pPr>
      <w:r>
        <w:rPr>
          <w:rFonts w:hint="eastAsia" w:ascii="黑体" w:hAnsi="黑体" w:eastAsia="黑体" w:cs="黑体"/>
          <w:b w:val="0"/>
          <w:bCs w:val="0"/>
          <w:color w:val="auto"/>
          <w:kern w:val="2"/>
          <w:sz w:val="21"/>
          <w:szCs w:val="21"/>
          <w:u w:val="none"/>
          <w:shd w:val="clear" w:color="auto" w:fill="auto"/>
          <w:lang w:val="en-US" w:eastAsia="zh-CN" w:bidi="ar-SA"/>
        </w:rPr>
        <w:t>英国科学家Tomlinson于1971年进行的螺纹桩承载力试验中，桩侧土体在形成螺纹式受力状态时，桩侧阻力最高可提高为5倍，但在淤泥土中桩侧阻力几乎没有提高，因此流塑~软塑粘土（淤泥或淤泥质土）的提高系数为1.0，在表6中没有列出。</w:t>
      </w:r>
    </w:p>
    <w:p>
      <w:pPr>
        <w:ind w:firstLine="420" w:firstLineChars="200"/>
        <w:rPr>
          <w:rFonts w:hint="eastAsia" w:ascii="黑体" w:hAnsi="黑体" w:eastAsia="黑体" w:cs="黑体"/>
          <w:b w:val="0"/>
          <w:bCs w:val="0"/>
          <w:color w:val="auto"/>
          <w:kern w:val="2"/>
          <w:sz w:val="21"/>
          <w:szCs w:val="21"/>
          <w:u w:val="none"/>
          <w:shd w:val="clear" w:color="auto" w:fill="auto"/>
          <w:lang w:val="en-US" w:eastAsia="zh-CN" w:bidi="ar-SA"/>
        </w:rPr>
      </w:pPr>
      <w:r>
        <w:rPr>
          <w:rFonts w:hint="eastAsia" w:ascii="黑体" w:hAnsi="黑体" w:eastAsia="黑体" w:cs="黑体"/>
          <w:b w:val="0"/>
          <w:bCs w:val="0"/>
          <w:color w:val="auto"/>
          <w:kern w:val="2"/>
          <w:sz w:val="21"/>
          <w:szCs w:val="21"/>
          <w:u w:val="none"/>
          <w:shd w:val="clear" w:color="auto" w:fill="auto"/>
          <w:lang w:val="en-US" w:eastAsia="zh-CN" w:bidi="ar-SA"/>
        </w:rPr>
        <w:t>普通桩和螺杆灌注桩最大区别在桩侧等效侧阻的发挥上，普通桩侧阻为桩土间的抗剪力，而螺杆灌注桩桩侧等效侧阻来源于螺牙间土体的抗剪强度，故螺杆灌注桩等效侧阻和普通桩侧阻的不同表现为土抗剪强度和桩土界面抗剪强度的不同，地基土的内摩擦角大于桩土间的摩擦角，因此本标准提出了螺杆灌注桩的螺纹段侧阻力增强系数</w:t>
      </w:r>
      <w:r>
        <w:rPr>
          <w:rFonts w:hint="eastAsia" w:ascii="黑体" w:hAnsi="黑体" w:eastAsia="黑体" w:cs="黑体"/>
          <w:b w:val="0"/>
          <w:bCs w:val="0"/>
          <w:color w:val="auto"/>
          <w:kern w:val="2"/>
          <w:sz w:val="21"/>
          <w:szCs w:val="21"/>
          <w:u w:val="none"/>
          <w:shd w:val="clear" w:color="auto" w:fill="auto"/>
          <w:lang w:val="en-US" w:eastAsia="zh-CN" w:bidi="ar-SA"/>
        </w:rPr>
        <w:object>
          <v:shape id="_x0000_i1052" o:spt="75" type="#_x0000_t75" style="height:18pt;width:13pt;" o:ole="t" filled="f" o:preferrelative="t" stroked="f" coordsize="21600,21600">
            <v:path/>
            <v:fill on="f" focussize="0,0"/>
            <v:stroke on="f"/>
            <v:imagedata r:id="rId161" o:title=""/>
            <o:lock v:ext="edit" aspectratio="t"/>
            <w10:wrap type="none"/>
            <w10:anchorlock/>
          </v:shape>
          <o:OLEObject Type="Embed" ProgID="Equation.KSEE3" ShapeID="_x0000_i1052" DrawAspect="Content" ObjectID="_1468075725" r:id="rId160">
            <o:LockedField>false</o:LockedField>
          </o:OLEObject>
        </w:object>
      </w:r>
      <w:r>
        <w:rPr>
          <w:rFonts w:hint="eastAsia" w:ascii="黑体" w:hAnsi="黑体" w:eastAsia="黑体" w:cs="黑体"/>
          <w:b w:val="0"/>
          <w:bCs w:val="0"/>
          <w:color w:val="auto"/>
          <w:kern w:val="2"/>
          <w:sz w:val="21"/>
          <w:szCs w:val="21"/>
          <w:u w:val="none"/>
          <w:shd w:val="clear" w:color="auto" w:fill="auto"/>
          <w:lang w:val="en-US" w:eastAsia="zh-CN" w:bidi="ar-SA"/>
        </w:rPr>
        <w:t>。</w:t>
      </w:r>
    </w:p>
    <w:p>
      <w:pPr>
        <w:pStyle w:val="236"/>
        <w:spacing w:line="240" w:lineRule="auto"/>
        <w:ind w:firstLine="420" w:firstLineChars="200"/>
        <w:rPr>
          <w:rFonts w:hint="eastAsia" w:ascii="黑体" w:hAnsi="黑体" w:eastAsia="黑体" w:cs="黑体"/>
          <w:b w:val="0"/>
          <w:bCs w:val="0"/>
          <w:color w:val="auto"/>
          <w:kern w:val="2"/>
          <w:sz w:val="21"/>
          <w:szCs w:val="21"/>
          <w:u w:val="none"/>
          <w:shd w:val="clear" w:color="auto" w:fill="auto"/>
          <w:lang w:val="en-US" w:eastAsia="zh-CN" w:bidi="ar-SA"/>
        </w:rPr>
      </w:pPr>
      <w:r>
        <w:rPr>
          <w:rFonts w:hint="eastAsia" w:ascii="黑体" w:hAnsi="黑体" w:eastAsia="黑体" w:cs="黑体"/>
          <w:b w:val="0"/>
          <w:bCs w:val="0"/>
          <w:color w:val="auto"/>
          <w:kern w:val="2"/>
          <w:sz w:val="21"/>
          <w:szCs w:val="21"/>
          <w:u w:val="none"/>
          <w:shd w:val="clear" w:color="auto" w:fill="auto"/>
          <w:lang w:val="en-US" w:eastAsia="zh-CN" w:bidi="ar-SA"/>
        </w:rPr>
        <w:t>表6中的数据来自各种地质条件下的试桩结果，包括深厚粘性土15项120根试桩、深厚回填土3项工程17根试桩、砂土13项工程56根试桩、碎石5项工程15根试桩、卵石1项工程3根试桩、强风化岩层2项工程14根试桩、中风化岩层16项工程144根试桩、深厚粉土3项工程9根试桩、岩溶地区2项工程33根试桩、风化岩上覆红黏土1项工程3根试桩，共计414根。</w:t>
      </w:r>
    </w:p>
    <w:p>
      <w:pPr>
        <w:pStyle w:val="236"/>
        <w:spacing w:line="240" w:lineRule="auto"/>
        <w:ind w:firstLine="420" w:firstLineChars="200"/>
        <w:rPr>
          <w:rFonts w:hint="eastAsia" w:ascii="黑体" w:hAnsi="黑体" w:eastAsia="黑体" w:cs="黑体"/>
          <w:b w:val="0"/>
          <w:bCs w:val="0"/>
          <w:color w:val="auto"/>
          <w:kern w:val="2"/>
          <w:sz w:val="21"/>
          <w:szCs w:val="21"/>
          <w:u w:val="none"/>
          <w:shd w:val="clear" w:color="auto" w:fill="auto"/>
          <w:lang w:val="en-US" w:eastAsia="zh-CN" w:bidi="ar-SA"/>
        </w:rPr>
      </w:pPr>
      <w:r>
        <w:rPr>
          <w:rFonts w:hint="eastAsia" w:ascii="黑体" w:hAnsi="黑体" w:eastAsia="黑体" w:cs="黑体"/>
          <w:b w:val="0"/>
          <w:bCs w:val="0"/>
          <w:color w:val="auto"/>
          <w:kern w:val="2"/>
          <w:sz w:val="21"/>
          <w:szCs w:val="21"/>
          <w:u w:val="none"/>
          <w:shd w:val="clear" w:color="auto" w:fill="auto"/>
          <w:lang w:val="en-US" w:eastAsia="zh-CN" w:bidi="ar-SA"/>
        </w:rPr>
        <w:t>计算螺纹段侧阻力时，应兼顾设计安全性和经济性，按表6取值时不应盲目取高修士，也不宜一味取低值，常用的方法是初步设计单桩承载力时取低值计算理论值，静载试验时取高值估算最大加载值。施工图设计时选用的</w:t>
      </w:r>
      <w:r>
        <w:rPr>
          <w:rFonts w:hint="eastAsia" w:ascii="黑体" w:hAnsi="黑体" w:eastAsia="黑体" w:cs="黑体"/>
          <w:b w:val="0"/>
          <w:bCs w:val="0"/>
          <w:color w:val="auto"/>
          <w:kern w:val="2"/>
          <w:sz w:val="21"/>
          <w:szCs w:val="21"/>
          <w:u w:val="none"/>
          <w:shd w:val="clear" w:color="auto" w:fill="auto"/>
          <w:lang w:val="en-US" w:eastAsia="zh-CN" w:bidi="ar-SA"/>
        </w:rPr>
        <w:object>
          <v:shape id="_x0000_i1053" o:spt="75" type="#_x0000_t75" style="height:18pt;width:13pt;" o:ole="t" filled="f" o:preferrelative="t" stroked="f" coordsize="21600,21600">
            <v:path/>
            <v:fill on="f" focussize="0,0"/>
            <v:stroke on="f"/>
            <v:imagedata r:id="rId161" o:title=""/>
            <o:lock v:ext="edit" aspectratio="t"/>
            <w10:wrap type="none"/>
            <w10:anchorlock/>
          </v:shape>
          <o:OLEObject Type="Embed" ProgID="Equation.KSEE3" ShapeID="_x0000_i1053" DrawAspect="Content" ObjectID="_1468075726" r:id="rId162">
            <o:LockedField>false</o:LockedField>
          </o:OLEObject>
        </w:object>
      </w:r>
      <w:r>
        <w:rPr>
          <w:rFonts w:hint="eastAsia" w:ascii="黑体" w:hAnsi="黑体" w:eastAsia="黑体" w:cs="黑体"/>
          <w:b w:val="0"/>
          <w:bCs w:val="0"/>
          <w:color w:val="auto"/>
          <w:kern w:val="2"/>
          <w:sz w:val="21"/>
          <w:szCs w:val="21"/>
          <w:u w:val="none"/>
          <w:shd w:val="clear" w:color="auto" w:fill="auto"/>
          <w:lang w:val="en-US" w:eastAsia="zh-CN" w:bidi="ar-SA"/>
        </w:rPr>
        <w:t>值根据现场单桩静载试验结果或已有试桩资料进行验证和调整。</w:t>
      </w:r>
    </w:p>
    <w:p>
      <w:pPr>
        <w:ind w:firstLine="420" w:firstLineChars="200"/>
        <w:rPr>
          <w:rFonts w:hint="eastAsia" w:ascii="黑体" w:hAnsi="黑体" w:eastAsia="黑体" w:cs="黑体"/>
          <w:b w:val="0"/>
          <w:bCs w:val="0"/>
          <w:color w:val="auto"/>
          <w:kern w:val="2"/>
          <w:sz w:val="21"/>
          <w:szCs w:val="21"/>
          <w:u w:val="none"/>
          <w:shd w:val="clear" w:color="auto" w:fill="auto"/>
          <w:lang w:val="en-US" w:eastAsia="zh-CN" w:bidi="ar-SA"/>
        </w:rPr>
      </w:pPr>
      <w:r>
        <w:rPr>
          <w:rFonts w:hint="eastAsia" w:ascii="黑体" w:hAnsi="黑体" w:eastAsia="黑体" w:cs="黑体"/>
          <w:b w:val="0"/>
          <w:bCs w:val="0"/>
          <w:color w:val="auto"/>
          <w:kern w:val="2"/>
          <w:sz w:val="21"/>
          <w:szCs w:val="21"/>
          <w:u w:val="none"/>
          <w:shd w:val="clear" w:color="auto" w:fill="auto"/>
          <w:lang w:val="en-US" w:eastAsia="zh-CN" w:bidi="ar-SA"/>
        </w:rPr>
        <w:t>此外，螺纹段侧阻力及端阻力计算时采用螺纹段外径。这里要作一个合理简化性假设——假设土体破坏面是直径等于螺纹段外径的圆柱面。这种假设是安全的，因为螺杆灌注桩的螺纹段将应力向土体传递和扩散，使得破坏面不是沿着桩身，而是在桩身外围包络柱整个桩身（即应力泡），实际破坏面积远比假设破坏面要大，见图2。定量地计算实际破坏面的面积非常困难，进行上述假设以简化计算过程，因此按6.3.2条计算螺纹段侧阻力及端阻力采用的均是螺纹段外径，计算结果是安全的。</w:t>
      </w:r>
    </w:p>
    <w:p>
      <w:pPr>
        <w:jc w:val="center"/>
        <w:rPr>
          <w:rFonts w:hint="eastAsia" w:ascii="黑体" w:hAnsi="黑体" w:eastAsia="黑体" w:cs="黑体"/>
          <w:b w:val="0"/>
          <w:bCs w:val="0"/>
          <w:color w:val="auto"/>
          <w:sz w:val="21"/>
          <w:szCs w:val="21"/>
          <w:shd w:val="clear" w:color="auto" w:fill="auto"/>
          <w:lang w:bidi="zh-TW"/>
        </w:rPr>
      </w:pPr>
      <w:r>
        <w:rPr>
          <w:rFonts w:hint="eastAsia" w:ascii="黑体" w:hAnsi="黑体" w:eastAsia="黑体" w:cs="黑体"/>
          <w:b w:val="0"/>
          <w:bCs w:val="0"/>
          <w:color w:val="auto"/>
          <w:sz w:val="21"/>
          <w:szCs w:val="21"/>
          <w:shd w:val="clear" w:color="auto" w:fill="auto"/>
          <w:lang w:bidi="zh-TW"/>
        </w:rPr>
        <w:drawing>
          <wp:anchor distT="0" distB="0" distL="114300" distR="114300" simplePos="0" relativeHeight="251664384" behindDoc="0" locked="0" layoutInCell="1" allowOverlap="1">
            <wp:simplePos x="0" y="0"/>
            <wp:positionH relativeFrom="column">
              <wp:posOffset>2039620</wp:posOffset>
            </wp:positionH>
            <wp:positionV relativeFrom="paragraph">
              <wp:posOffset>180975</wp:posOffset>
            </wp:positionV>
            <wp:extent cx="2011045" cy="2027555"/>
            <wp:effectExtent l="0" t="0" r="8255" b="10795"/>
            <wp:wrapTopAndBottom/>
            <wp:docPr id="367" name="图片 149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7" name="图片 1495"/>
                    <pic:cNvPicPr>
                      <a:picLocks noChangeAspect="true"/>
                    </pic:cNvPicPr>
                  </pic:nvPicPr>
                  <pic:blipFill>
                    <a:blip r:embed="rId163">
                      <a:lum bright="12000"/>
                    </a:blip>
                    <a:srcRect l="13603" r="16022" b="18231"/>
                    <a:stretch>
                      <a:fillRect/>
                    </a:stretch>
                  </pic:blipFill>
                  <pic:spPr>
                    <a:xfrm>
                      <a:off x="0" y="0"/>
                      <a:ext cx="2011045" cy="2027555"/>
                    </a:xfrm>
                    <a:prstGeom prst="rect">
                      <a:avLst/>
                    </a:prstGeom>
                    <a:noFill/>
                    <a:ln>
                      <a:noFill/>
                    </a:ln>
                  </pic:spPr>
                </pic:pic>
              </a:graphicData>
            </a:graphic>
          </wp:anchor>
        </w:drawing>
      </w:r>
      <w:r>
        <w:rPr>
          <w:rFonts w:hint="eastAsia" w:ascii="黑体" w:hAnsi="黑体" w:eastAsia="黑体" w:cs="黑体"/>
          <w:b w:val="0"/>
          <w:bCs w:val="0"/>
          <w:color w:val="auto"/>
          <w:sz w:val="21"/>
          <w:szCs w:val="21"/>
          <w:shd w:val="clear" w:color="auto" w:fill="auto"/>
          <w:lang w:val="en-US" w:eastAsia="zh-CN" w:bidi="zh-TW"/>
        </w:rPr>
        <w:t xml:space="preserve">  </w:t>
      </w:r>
    </w:p>
    <w:p>
      <w:pPr>
        <w:jc w:val="center"/>
        <w:rPr>
          <w:rFonts w:hint="eastAsia" w:ascii="黑体" w:hAnsi="黑体" w:eastAsia="黑体" w:cs="黑体"/>
          <w:b w:val="0"/>
          <w:bCs w:val="0"/>
          <w:color w:val="auto"/>
          <w:sz w:val="21"/>
          <w:szCs w:val="21"/>
          <w:shd w:val="clear" w:color="auto" w:fill="auto"/>
          <w:lang w:bidi="zh-TW"/>
        </w:rPr>
      </w:pPr>
      <w:r>
        <w:rPr>
          <w:rFonts w:hint="eastAsia" w:ascii="黑体" w:hAnsi="黑体" w:eastAsia="黑体" w:cs="黑体"/>
          <w:b w:val="0"/>
          <w:bCs w:val="0"/>
          <w:color w:val="auto"/>
          <w:sz w:val="21"/>
          <w:szCs w:val="21"/>
          <w:shd w:val="clear" w:color="auto" w:fill="auto"/>
          <w:lang w:bidi="zh-TW"/>
        </w:rPr>
        <w:t>图</w:t>
      </w:r>
      <w:r>
        <w:rPr>
          <w:rFonts w:hint="eastAsia" w:ascii="黑体" w:hAnsi="黑体" w:eastAsia="黑体" w:cs="黑体"/>
          <w:b w:val="0"/>
          <w:bCs w:val="0"/>
          <w:color w:val="auto"/>
          <w:sz w:val="21"/>
          <w:szCs w:val="21"/>
          <w:shd w:val="clear" w:color="auto" w:fill="auto"/>
          <w:lang w:val="en-US" w:eastAsia="zh-CN" w:bidi="zh-TW"/>
        </w:rPr>
        <w:t>2 螺杆灌注桩桩周土体中的“应力泡”</w:t>
      </w:r>
    </w:p>
    <w:p>
      <w:pPr>
        <w:keepNext w:val="0"/>
        <w:keepLines w:val="0"/>
        <w:pageBreakBefore w:val="0"/>
        <w:widowControl w:val="0"/>
        <w:kinsoku/>
        <w:wordWrap/>
        <w:overflowPunct/>
        <w:topLinePunct w:val="0"/>
        <w:autoSpaceDE/>
        <w:autoSpaceDN/>
        <w:bidi w:val="0"/>
        <w:adjustRightInd/>
        <w:snapToGrid/>
        <w:spacing w:before="313" w:beforeLines="100" w:after="313" w:afterLines="100"/>
        <w:jc w:val="both"/>
        <w:textAlignment w:val="auto"/>
        <w:outlineLvl w:val="1"/>
        <w:rPr>
          <w:rFonts w:hint="eastAsia" w:ascii="黑体" w:hAnsi="黑体" w:eastAsia="黑体" w:cs="黑体"/>
          <w:b w:val="0"/>
          <w:bCs w:val="0"/>
          <w:color w:val="auto"/>
          <w:sz w:val="21"/>
          <w:szCs w:val="21"/>
          <w:lang w:val="en-US" w:eastAsia="zh-CN"/>
        </w:rPr>
      </w:pPr>
      <w:bookmarkStart w:id="223" w:name="_Toc5901"/>
    </w:p>
    <w:p>
      <w:pPr>
        <w:pStyle w:val="56"/>
        <w:ind w:left="0" w:leftChars="0" w:firstLine="0" w:firstLineChars="0"/>
        <w:rPr>
          <w:rFonts w:hint="eastAsia" w:ascii="黑体" w:hAnsi="黑体" w:eastAsia="黑体" w:cs="黑体"/>
          <w:b w:val="0"/>
          <w:bCs w:val="0"/>
          <w:szCs w:val="21"/>
          <w:lang w:val="en-US" w:eastAsia="zh-CN"/>
        </w:rPr>
      </w:pPr>
      <w:r>
        <w:rPr>
          <w:rFonts w:hint="eastAsia" w:ascii="黑体" w:hAnsi="黑体" w:eastAsia="黑体" w:cs="黑体"/>
          <w:b w:val="0"/>
          <w:bCs w:val="0"/>
          <w:szCs w:val="21"/>
          <w:lang w:val="en-US" w:eastAsia="zh-CN"/>
        </w:rPr>
        <w:t>6.4  桩身承载力</w:t>
      </w:r>
      <w:bookmarkEnd w:id="223"/>
    </w:p>
    <w:p>
      <w:pPr>
        <w:pStyle w:val="56"/>
        <w:ind w:left="0" w:leftChars="0" w:firstLine="0" w:firstLineChars="0"/>
        <w:rPr>
          <w:rFonts w:hint="eastAsia" w:ascii="黑体" w:hAnsi="黑体" w:eastAsia="黑体" w:cs="黑体"/>
          <w:b w:val="0"/>
          <w:bCs w:val="0"/>
          <w:szCs w:val="21"/>
          <w:lang w:val="en-US" w:eastAsia="zh-CN"/>
        </w:rPr>
      </w:pPr>
      <w:r>
        <w:rPr>
          <w:rFonts w:hint="eastAsia" w:ascii="黑体" w:hAnsi="黑体" w:eastAsia="黑体" w:cs="黑体"/>
          <w:b w:val="0"/>
          <w:bCs w:val="0"/>
          <w:szCs w:val="21"/>
          <w:lang w:val="en-US" w:eastAsia="zh-CN"/>
        </w:rPr>
        <w:t>6.4.3  桩身受压承载力设计值</w:t>
      </w:r>
      <w:r>
        <w:rPr>
          <w:rFonts w:hint="eastAsia" w:ascii="黑体" w:hAnsi="黑体" w:eastAsia="黑体" w:cs="黑体"/>
          <w:b w:val="0"/>
          <w:bCs w:val="0"/>
          <w:szCs w:val="21"/>
          <w:lang w:val="en-US" w:eastAsia="zh-CN"/>
        </w:rPr>
        <w:object>
          <v:shape id="_x0000_i1054" o:spt="75" type="#_x0000_t75" style="height:19pt;width:16pt;" o:ole="t" filled="f" o:preferrelative="t" stroked="f" coordsize="21600,21600">
            <v:path/>
            <v:fill on="f" focussize="0,0"/>
            <v:stroke on="f"/>
            <v:imagedata r:id="rId165" o:title=""/>
            <o:lock v:ext="edit" aspectratio="t"/>
            <w10:wrap type="none"/>
            <w10:anchorlock/>
          </v:shape>
          <o:OLEObject Type="Embed" ProgID="Equation.KSEE3" ShapeID="_x0000_i1054" DrawAspect="Content" ObjectID="_1468075727" r:id="rId164">
            <o:LockedField>false</o:LockedField>
          </o:OLEObject>
        </w:object>
      </w:r>
      <w:r>
        <w:rPr>
          <w:rFonts w:hint="eastAsia" w:ascii="黑体" w:hAnsi="黑体" w:eastAsia="黑体" w:cs="黑体"/>
          <w:b w:val="0"/>
          <w:bCs w:val="0"/>
          <w:szCs w:val="21"/>
          <w:lang w:val="en-US" w:eastAsia="zh-CN"/>
        </w:rPr>
        <w:t>与桩身极限受压承载力计算值</w:t>
      </w:r>
      <w:r>
        <w:rPr>
          <w:rFonts w:hint="eastAsia" w:ascii="黑体" w:hAnsi="黑体" w:eastAsia="黑体" w:cs="黑体"/>
          <w:b w:val="0"/>
          <w:bCs w:val="0"/>
          <w:szCs w:val="21"/>
          <w:lang w:val="en-US" w:eastAsia="zh-CN"/>
        </w:rPr>
        <w:object>
          <v:shape id="_x0000_i1055" o:spt="75" type="#_x0000_t75" style="height:18pt;width:15pt;" o:ole="t" filled="f" o:preferrelative="t" stroked="f" coordsize="21600,21600">
            <v:path/>
            <v:fill on="f" focussize="0,0"/>
            <v:stroke on="f"/>
            <v:imagedata r:id="rId167" o:title=""/>
            <o:lock v:ext="edit" aspectratio="t"/>
            <w10:wrap type="none"/>
            <w10:anchorlock/>
          </v:shape>
          <o:OLEObject Type="Embed" ProgID="Equation.KSEE3" ShapeID="_x0000_i1055" DrawAspect="Content" ObjectID="_1468075728" r:id="rId166">
            <o:LockedField>false</o:LockedField>
          </o:OLEObject>
        </w:object>
      </w:r>
      <w:r>
        <w:rPr>
          <w:rFonts w:hint="eastAsia" w:ascii="黑体" w:hAnsi="黑体" w:eastAsia="黑体" w:cs="黑体"/>
          <w:b w:val="0"/>
          <w:bCs w:val="0"/>
          <w:szCs w:val="21"/>
          <w:lang w:val="en-US" w:eastAsia="zh-CN"/>
        </w:rPr>
        <w:t>二者的关系为</w:t>
      </w:r>
      <w:r>
        <w:rPr>
          <w:rFonts w:hint="eastAsia" w:ascii="黑体" w:hAnsi="黑体" w:eastAsia="黑体" w:cs="黑体"/>
          <w:b w:val="0"/>
          <w:bCs w:val="0"/>
          <w:szCs w:val="21"/>
          <w:lang w:val="en-US" w:eastAsia="zh-CN"/>
        </w:rPr>
        <w:object>
          <v:shape id="_x0000_i1056" o:spt="75" type="#_x0000_t75" style="height:19pt;width:74pt;" o:ole="t" filled="f" o:preferrelative="t" stroked="f" coordsize="21600,21600">
            <v:path/>
            <v:fill on="f" focussize="0,0"/>
            <v:stroke on="f"/>
            <v:imagedata r:id="rId169" o:title=""/>
            <o:lock v:ext="edit" aspectratio="t"/>
            <w10:wrap type="none"/>
            <w10:anchorlock/>
          </v:shape>
          <o:OLEObject Type="Embed" ProgID="Equation.KSEE3" ShapeID="_x0000_i1056" DrawAspect="Content" ObjectID="_1468075729" r:id="rId168">
            <o:LockedField>false</o:LockedField>
          </o:OLEObject>
        </w:object>
      </w:r>
      <w:r>
        <w:rPr>
          <w:rFonts w:hint="eastAsia" w:ascii="黑体" w:hAnsi="黑体" w:eastAsia="黑体" w:cs="黑体"/>
          <w:b w:val="0"/>
          <w:bCs w:val="0"/>
          <w:szCs w:val="21"/>
          <w:lang w:val="en-US" w:eastAsia="zh-CN"/>
        </w:rPr>
        <w:t>，即</w:t>
      </w:r>
      <w:r>
        <w:rPr>
          <w:rFonts w:hint="eastAsia" w:ascii="黑体" w:hAnsi="黑体" w:eastAsia="黑体" w:cs="黑体"/>
          <w:b w:val="0"/>
          <w:bCs w:val="0"/>
          <w:szCs w:val="21"/>
          <w:lang w:val="en-US" w:eastAsia="zh-CN"/>
        </w:rPr>
        <w:object>
          <v:shape id="_x0000_i1057" o:spt="75" type="#_x0000_t75" style="height:19pt;width:125pt;" o:ole="t" filled="f" o:preferrelative="t" stroked="f" coordsize="21600,21600">
            <v:path/>
            <v:fill on="f" focussize="0,0"/>
            <v:stroke on="f"/>
            <v:imagedata r:id="rId171" o:title=""/>
            <o:lock v:ext="edit" aspectratio="t"/>
            <w10:wrap type="none"/>
            <w10:anchorlock/>
          </v:shape>
          <o:OLEObject Type="Embed" ProgID="Equation.KSEE3" ShapeID="_x0000_i1057" DrawAspect="Content" ObjectID="_1468075730" r:id="rId170">
            <o:LockedField>false</o:LockedField>
          </o:OLEObject>
        </w:object>
      </w:r>
      <w:r>
        <w:rPr>
          <w:rFonts w:hint="eastAsia" w:ascii="黑体" w:hAnsi="黑体" w:eastAsia="黑体" w:cs="黑体"/>
          <w:b w:val="0"/>
          <w:bCs w:val="0"/>
          <w:szCs w:val="21"/>
          <w:lang w:val="en-US" w:eastAsia="zh-CN"/>
        </w:rPr>
        <w:t>，其中1.35系数为单桩承载力特征值与设计值的换算系数（综合荷载分项系数）。本标准式（15）中的0.675即由此来，将桩顶轴向压力设计值减去直杆段侧阻力设计值总值后，验算螺纹段桩身正截面受压承载力。</w:t>
      </w:r>
    </w:p>
    <w:p>
      <w:pPr>
        <w:pStyle w:val="56"/>
        <w:ind w:left="0" w:leftChars="0" w:firstLine="0" w:firstLineChars="0"/>
        <w:rPr>
          <w:rFonts w:hint="eastAsia" w:ascii="黑体" w:hAnsi="黑体" w:eastAsia="黑体" w:cs="黑体"/>
          <w:b w:val="0"/>
          <w:bCs w:val="0"/>
          <w:szCs w:val="21"/>
          <w:lang w:val="en-US" w:eastAsia="zh-CN"/>
        </w:rPr>
      </w:pPr>
    </w:p>
    <w:p>
      <w:pPr>
        <w:pStyle w:val="104"/>
        <w:numPr>
          <w:ilvl w:val="1"/>
          <w:numId w:val="0"/>
        </w:numPr>
        <w:spacing w:before="312" w:after="312"/>
        <w:ind w:leftChars="0"/>
        <w:rPr>
          <w:rFonts w:hint="eastAsia" w:hAnsi="黑体" w:cs="黑体"/>
          <w:szCs w:val="21"/>
          <w:lang w:val="en-US" w:eastAsia="zh-CN"/>
        </w:rPr>
      </w:pPr>
      <w:bookmarkStart w:id="224" w:name="_Toc5599"/>
      <w:r>
        <w:rPr>
          <w:rFonts w:hint="eastAsia" w:hAnsi="黑体" w:cs="黑体"/>
          <w:szCs w:val="21"/>
          <w:lang w:val="en-US" w:eastAsia="zh-CN"/>
        </w:rPr>
        <w:t>7 复合地基设计</w:t>
      </w:r>
      <w:bookmarkEnd w:id="224"/>
    </w:p>
    <w:p>
      <w:pPr>
        <w:rPr>
          <w:rFonts w:hint="eastAsia" w:ascii="黑体" w:hAnsi="黑体" w:eastAsia="黑体" w:cs="黑体"/>
          <w:b w:val="0"/>
          <w:bCs w:val="0"/>
          <w:color w:val="auto"/>
          <w:kern w:val="2"/>
          <w:sz w:val="21"/>
          <w:szCs w:val="21"/>
          <w:u w:val="none"/>
          <w:shd w:val="clear" w:color="auto" w:fill="auto"/>
          <w:lang w:val="en-US" w:eastAsia="zh-CN" w:bidi="en-US"/>
        </w:rPr>
      </w:pPr>
      <w:r>
        <w:rPr>
          <w:rFonts w:hint="eastAsia" w:ascii="黑体" w:hAnsi="黑体" w:eastAsia="黑体" w:cs="黑体"/>
          <w:b w:val="0"/>
          <w:bCs w:val="0"/>
          <w:color w:val="auto"/>
          <w:kern w:val="2"/>
          <w:sz w:val="21"/>
          <w:szCs w:val="21"/>
          <w:u w:val="none"/>
          <w:shd w:val="clear" w:color="auto" w:fill="auto"/>
          <w:lang w:val="en-US" w:eastAsia="zh-CN" w:bidi="en-US"/>
        </w:rPr>
        <w:t>7.1  复合地基是天然地基在地基处理过程中，部分土体得到增强，或被置换，或在天然地基中设置加筋体，由天然地基土体和增强体两部分组成共同承担荷载的人工地基。在桩顶和基础之间设置一定厚度的散体粒状材料组成的褥垫层，由褥垫层调整桩土共同承担荷载，形成复合地基。</w:t>
      </w:r>
    </w:p>
    <w:p>
      <w:pPr>
        <w:ind w:firstLine="420" w:firstLineChars="200"/>
        <w:rPr>
          <w:rFonts w:hint="eastAsia" w:ascii="黑体" w:hAnsi="黑体" w:eastAsia="黑体" w:cs="黑体"/>
          <w:b w:val="0"/>
          <w:bCs w:val="0"/>
          <w:color w:val="auto"/>
          <w:kern w:val="2"/>
          <w:sz w:val="21"/>
          <w:szCs w:val="21"/>
          <w:u w:val="none"/>
          <w:shd w:val="clear" w:color="auto" w:fill="auto"/>
          <w:lang w:val="en-US" w:eastAsia="zh-CN" w:bidi="en-US"/>
        </w:rPr>
      </w:pPr>
      <w:r>
        <w:rPr>
          <w:rFonts w:hint="eastAsia" w:ascii="黑体" w:hAnsi="黑体" w:eastAsia="黑体" w:cs="黑体"/>
          <w:b w:val="0"/>
          <w:bCs w:val="0"/>
          <w:color w:val="auto"/>
          <w:kern w:val="2"/>
          <w:sz w:val="21"/>
          <w:szCs w:val="21"/>
          <w:u w:val="none"/>
          <w:shd w:val="clear" w:color="auto" w:fill="auto"/>
          <w:lang w:val="en-US" w:eastAsia="zh-CN" w:bidi="en-US"/>
        </w:rPr>
        <w:t>螺杆灌注桩具有承载力高、沉降小、不取土等优点，采用螺杆灌注桩作为复合地基的增强体，复合地基承载力得到大幅度提高，承载力提高幅值既有挤密分量又有置换分量，复合模量大大提高，地基变形更小。</w:t>
      </w:r>
    </w:p>
    <w:p>
      <w:pPr>
        <w:ind w:firstLine="420" w:firstLineChars="200"/>
        <w:rPr>
          <w:rFonts w:hint="eastAsia" w:ascii="黑体" w:hAnsi="黑体" w:eastAsia="黑体" w:cs="黑体"/>
          <w:b w:val="0"/>
          <w:bCs w:val="0"/>
          <w:color w:val="auto"/>
          <w:kern w:val="2"/>
          <w:sz w:val="21"/>
          <w:szCs w:val="21"/>
          <w:u w:val="none"/>
          <w:shd w:val="clear" w:color="auto" w:fill="auto"/>
          <w:lang w:val="en-US" w:eastAsia="zh-CN" w:bidi="en-US"/>
        </w:rPr>
      </w:pPr>
      <w:r>
        <w:rPr>
          <w:rFonts w:hint="eastAsia" w:ascii="黑体" w:hAnsi="黑体" w:eastAsia="黑体" w:cs="黑体"/>
          <w:b w:val="0"/>
          <w:bCs w:val="0"/>
          <w:color w:val="auto"/>
          <w:kern w:val="2"/>
          <w:sz w:val="21"/>
          <w:szCs w:val="21"/>
          <w:u w:val="none"/>
          <w:shd w:val="clear" w:color="auto" w:fill="auto"/>
          <w:lang w:val="en-US" w:eastAsia="zh-CN" w:bidi="en-US"/>
        </w:rPr>
        <w:t>螺杆灌注桩复合地基成功运用于某工程，该工程由3栋29层、商业楼及车库组成，设计桩径400mm，有效桩长21m，复合地基承载力特征值为560kPa，复合地基沉降均满足设计要求。</w:t>
      </w:r>
    </w:p>
    <w:p>
      <w:pPr>
        <w:rPr>
          <w:rFonts w:hint="eastAsia" w:ascii="黑体" w:hAnsi="黑体" w:eastAsia="黑体" w:cs="黑体"/>
          <w:b w:val="0"/>
          <w:bCs w:val="0"/>
          <w:color w:val="auto"/>
        </w:rPr>
      </w:pPr>
      <w:r>
        <w:rPr>
          <w:rFonts w:hint="eastAsia" w:ascii="黑体" w:hAnsi="黑体" w:eastAsia="黑体" w:cs="黑体"/>
          <w:b w:val="0"/>
          <w:bCs w:val="0"/>
          <w:color w:val="auto"/>
          <w:kern w:val="2"/>
          <w:sz w:val="21"/>
          <w:szCs w:val="21"/>
          <w:u w:val="none"/>
          <w:shd w:val="clear" w:color="auto" w:fill="auto"/>
          <w:lang w:val="en-US" w:eastAsia="zh-CN" w:bidi="en-US"/>
        </w:rPr>
        <w:t xml:space="preserve">6.0.5  </w:t>
      </w:r>
      <w:r>
        <w:rPr>
          <w:rFonts w:hint="eastAsia" w:ascii="黑体" w:hAnsi="黑体" w:eastAsia="黑体" w:cs="黑体"/>
          <w:b w:val="0"/>
          <w:bCs w:val="0"/>
          <w:color w:val="auto"/>
        </w:rPr>
        <w:t>刚性桩复合地基的褥垫层的材料通常采用砂石材料，可加速桩间土排水固结；同时，当有隔水防潮要求时，褥垫层采用灰土，已有大量工程应用。</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黑体" w:eastAsia="黑体" w:cs="黑体"/>
          <w:b w:val="0"/>
          <w:bCs w:val="0"/>
          <w:color w:val="auto"/>
        </w:rPr>
      </w:pPr>
      <w:r>
        <w:rPr>
          <w:rFonts w:hint="eastAsia" w:ascii="黑体" w:hAnsi="黑体" w:eastAsia="黑体" w:cs="黑体"/>
          <w:b w:val="0"/>
          <w:bCs w:val="0"/>
          <w:color w:val="auto"/>
        </w:rPr>
        <w:t>规定褥垫层的厚度的建议范围为</w:t>
      </w:r>
      <w:r>
        <w:rPr>
          <w:rFonts w:hint="eastAsia" w:ascii="黑体" w:hAnsi="黑体" w:eastAsia="黑体" w:cs="黑体"/>
          <w:b w:val="0"/>
          <w:bCs w:val="0"/>
          <w:color w:val="auto"/>
          <w:lang w:val="en-US" w:eastAsia="zh-CN"/>
        </w:rPr>
        <w:t>15</w:t>
      </w:r>
      <w:r>
        <w:rPr>
          <w:rFonts w:hint="eastAsia" w:ascii="黑体" w:hAnsi="黑体" w:eastAsia="黑体" w:cs="黑体"/>
          <w:b w:val="0"/>
          <w:bCs w:val="0"/>
          <w:color w:val="auto"/>
        </w:rPr>
        <w:t>0mm-</w:t>
      </w:r>
      <w:r>
        <w:rPr>
          <w:rFonts w:hint="eastAsia" w:ascii="黑体" w:hAnsi="黑体" w:eastAsia="黑体" w:cs="黑体"/>
          <w:b w:val="0"/>
          <w:bCs w:val="0"/>
          <w:color w:val="auto"/>
          <w:lang w:val="en-US" w:eastAsia="zh-CN"/>
        </w:rPr>
        <w:t>3</w:t>
      </w:r>
      <w:r>
        <w:rPr>
          <w:rFonts w:hint="eastAsia" w:ascii="黑体" w:hAnsi="黑体" w:eastAsia="黑体" w:cs="黑体"/>
          <w:b w:val="0"/>
          <w:bCs w:val="0"/>
          <w:color w:val="auto"/>
        </w:rPr>
        <w:t>00mm，螺杆桩复合地基属于“桩承载力高、桩距大”的情形，因而，</w:t>
      </w:r>
      <w:r>
        <w:rPr>
          <w:rFonts w:hint="eastAsia" w:ascii="黑体" w:hAnsi="黑体" w:eastAsia="黑体" w:cs="黑体"/>
          <w:b w:val="0"/>
          <w:bCs w:val="0"/>
          <w:color w:val="auto"/>
          <w:lang w:eastAsia="zh-CN"/>
        </w:rPr>
        <w:t>设计</w:t>
      </w:r>
      <w:r>
        <w:rPr>
          <w:rFonts w:hint="eastAsia" w:ascii="黑体" w:hAnsi="黑体" w:eastAsia="黑体" w:cs="黑体"/>
          <w:b w:val="0"/>
          <w:bCs w:val="0"/>
          <w:color w:val="auto"/>
        </w:rPr>
        <w:t>应当适当增大螺杆桩复合地基褥垫层厚度，考虑控制总体沉降、基坑开挖深度、褥垫层造价等因素。</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黑体" w:eastAsia="黑体" w:cs="黑体"/>
          <w:b w:val="0"/>
          <w:bCs w:val="0"/>
          <w:color w:val="auto"/>
        </w:rPr>
      </w:pPr>
      <w:r>
        <w:rPr>
          <w:rFonts w:hint="eastAsia" w:ascii="黑体" w:hAnsi="黑体" w:eastAsia="黑体" w:cs="黑体"/>
          <w:b w:val="0"/>
          <w:bCs w:val="0"/>
          <w:color w:val="auto"/>
        </w:rPr>
        <w:t>褥垫层铺设范围宜超过基础边缘不少于褥垫层厚度，褥垫层外围宜设置围梁。当存在基础侧面土质较差、基坑回填质量难以保证、独立基础布桩、单排布桩等四种情形之一时，褥垫层外围宜设置围梁。龚晓南院士主编的浙江省工程建设标准《复合地基技术规程（DB33／1051-2008）》、《刚-柔性桩复合地基技术规程（JGJ/T210-2010）》、《复合地基技术规范（GB/T 50783-2012）》中，均提出“褥垫层外围宜设置围梁”，解说中指出：“垫层外围设置围梁能保证周边的垫层不致流失，并可保证边缘垫层在围梁约束下能很好地发挥作用。在荷载板试验时也要求周围有围梁”。“规程规定褥垫层设置范围宜比基础外围每边大 200mm-300mm，主要考虑当基础四周易因褥垫层过早向基础范围以外挤出而导致桩、土的承载力不能完全发挥。若基础侧面土质较好褥垫层设置范围可适当减小。也可在基础下四边设置围粱，防止褥垫层侧向挤出”。</w:t>
      </w:r>
    </w:p>
    <w:p>
      <w:pPr>
        <w:rPr>
          <w:rFonts w:hint="eastAsia" w:ascii="黑体" w:hAnsi="黑体" w:eastAsia="黑体" w:cs="黑体"/>
          <w:b w:val="0"/>
          <w:bCs w:val="0"/>
          <w:color w:val="auto"/>
          <w:lang w:val="en-US" w:eastAsia="zh-CN"/>
        </w:rPr>
      </w:pPr>
      <w:r>
        <w:rPr>
          <w:rFonts w:hint="eastAsia" w:ascii="黑体" w:hAnsi="黑体" w:eastAsia="黑体" w:cs="黑体"/>
          <w:b w:val="0"/>
          <w:bCs w:val="0"/>
          <w:color w:val="auto"/>
          <w:kern w:val="2"/>
          <w:sz w:val="21"/>
          <w:szCs w:val="21"/>
          <w:u w:val="none"/>
          <w:shd w:val="clear" w:color="auto" w:fill="auto"/>
          <w:lang w:val="en-US" w:eastAsia="zh-CN" w:bidi="en-US"/>
        </w:rPr>
        <w:t xml:space="preserve">7.6  </w:t>
      </w:r>
      <w:r>
        <w:rPr>
          <w:rFonts w:hint="eastAsia" w:ascii="黑体" w:hAnsi="黑体" w:eastAsia="黑体" w:cs="黑体"/>
          <w:b w:val="0"/>
          <w:bCs w:val="0"/>
          <w:color w:val="auto"/>
          <w:lang w:eastAsia="zh-CN"/>
        </w:rPr>
        <w:t>螺杆灌注桩复合地基承载力设计时，由于螺杆灌注桩为挤土桩，松散粉土、砂土的天然地基承载力特征值提高</w:t>
      </w:r>
      <w:r>
        <w:rPr>
          <w:rFonts w:hint="eastAsia" w:ascii="黑体" w:hAnsi="黑体" w:eastAsia="黑体" w:cs="黑体"/>
          <w:b w:val="0"/>
          <w:bCs w:val="0"/>
          <w:color w:val="auto"/>
          <w:lang w:val="en-US" w:eastAsia="zh-CN"/>
        </w:rPr>
        <w:t>1.1倍~1.4倍，强度低的土取大值。</w:t>
      </w:r>
    </w:p>
    <w:p>
      <w:pPr>
        <w:rPr>
          <w:rFonts w:hint="eastAsia" w:ascii="黑体" w:hAnsi="黑体" w:eastAsia="黑体" w:cs="黑体"/>
          <w:b w:val="0"/>
          <w:bCs w:val="0"/>
          <w:color w:val="auto"/>
          <w:lang w:eastAsia="zh-CN"/>
        </w:rPr>
      </w:pPr>
      <w:r>
        <w:rPr>
          <w:rFonts w:hint="eastAsia" w:ascii="黑体" w:hAnsi="黑体" w:eastAsia="黑体" w:cs="黑体"/>
          <w:b w:val="0"/>
          <w:bCs w:val="0"/>
          <w:color w:val="auto"/>
          <w:kern w:val="2"/>
          <w:sz w:val="21"/>
          <w:szCs w:val="21"/>
          <w:u w:val="none"/>
          <w:shd w:val="clear" w:color="auto" w:fill="auto"/>
          <w:lang w:val="en-US" w:eastAsia="zh-CN" w:bidi="en-US"/>
        </w:rPr>
        <w:t xml:space="preserve">7.7  </w:t>
      </w:r>
      <w:r>
        <w:rPr>
          <w:rFonts w:hint="eastAsia" w:ascii="黑体" w:hAnsi="黑体" w:eastAsia="黑体" w:cs="黑体"/>
          <w:b w:val="0"/>
          <w:bCs w:val="0"/>
          <w:color w:val="auto"/>
          <w:lang w:eastAsia="zh-CN"/>
        </w:rPr>
        <w:t>复合地基增强体的强度是保证复合地基工作的必要条件，必须保证其安全度。作为复合地基增强体的螺杆灌注桩按建筑物基础底面作用在螺杆灌注桩上的压力进行验算，当复合地基承载力验算需要进行基础埋深的深度修正时，螺杆灌注桩桩身强度验算按基底压力验算，分别按本标准式（</w:t>
      </w:r>
      <w:r>
        <w:rPr>
          <w:rFonts w:hint="eastAsia" w:ascii="黑体" w:hAnsi="黑体" w:eastAsia="黑体" w:cs="黑体"/>
          <w:b w:val="0"/>
          <w:bCs w:val="0"/>
          <w:color w:val="auto"/>
          <w:lang w:val="en-US" w:eastAsia="zh-CN"/>
        </w:rPr>
        <w:t>23</w:t>
      </w:r>
      <w:r>
        <w:rPr>
          <w:rFonts w:hint="eastAsia" w:ascii="黑体" w:hAnsi="黑体" w:eastAsia="黑体" w:cs="黑体"/>
          <w:b w:val="0"/>
          <w:bCs w:val="0"/>
          <w:color w:val="auto"/>
          <w:lang w:eastAsia="zh-CN"/>
        </w:rPr>
        <w:t>）和式（</w:t>
      </w:r>
      <w:r>
        <w:rPr>
          <w:rFonts w:hint="eastAsia" w:ascii="黑体" w:hAnsi="黑体" w:eastAsia="黑体" w:cs="黑体"/>
          <w:b w:val="0"/>
          <w:bCs w:val="0"/>
          <w:color w:val="auto"/>
          <w:lang w:val="en-US" w:eastAsia="zh-CN"/>
        </w:rPr>
        <w:t>24</w:t>
      </w:r>
      <w:r>
        <w:rPr>
          <w:rFonts w:hint="eastAsia" w:ascii="黑体" w:hAnsi="黑体" w:eastAsia="黑体" w:cs="黑体"/>
          <w:b w:val="0"/>
          <w:bCs w:val="0"/>
          <w:color w:val="auto"/>
          <w:lang w:eastAsia="zh-CN"/>
        </w:rPr>
        <w:t>）进行验算。</w:t>
      </w:r>
    </w:p>
    <w:p>
      <w:pPr>
        <w:ind w:firstLine="420" w:firstLineChars="200"/>
        <w:rPr>
          <w:rFonts w:hint="eastAsia" w:ascii="黑体" w:hAnsi="黑体" w:eastAsia="黑体" w:cs="黑体"/>
          <w:b w:val="0"/>
          <w:bCs w:val="0"/>
          <w:color w:val="auto"/>
          <w:lang w:val="en-US" w:eastAsia="zh-CN"/>
        </w:rPr>
      </w:pPr>
      <w:r>
        <w:rPr>
          <w:rFonts w:hint="eastAsia" w:ascii="黑体" w:hAnsi="黑体" w:eastAsia="黑体" w:cs="黑体"/>
          <w:b w:val="0"/>
          <w:bCs w:val="0"/>
          <w:color w:val="auto"/>
          <w:lang w:eastAsia="zh-CN"/>
        </w:rPr>
        <w:t>作为复合地基增强体的螺杆灌注桩桩身强度，既要验算直杆段桩身强度，也要验算螺纹段顶截面。对于端承桩或长径比小于</w:t>
      </w:r>
      <w:r>
        <w:rPr>
          <w:rFonts w:hint="eastAsia" w:ascii="黑体" w:hAnsi="黑体" w:eastAsia="黑体" w:cs="黑体"/>
          <w:b w:val="0"/>
          <w:bCs w:val="0"/>
          <w:color w:val="auto"/>
          <w:lang w:val="en-US" w:eastAsia="zh-CN"/>
        </w:rPr>
        <w:t>15的嵌岩桩作用于螺纹段顶截面的轴向压力计算值</w:t>
      </w:r>
      <w:r>
        <w:rPr>
          <w:rFonts w:hint="eastAsia" w:ascii="黑体" w:hAnsi="黑体" w:eastAsia="黑体" w:cs="黑体"/>
          <w:b w:val="0"/>
          <w:bCs w:val="0"/>
          <w:color w:val="auto"/>
          <w:position w:val="-12"/>
          <w:lang w:val="en-US" w:eastAsia="zh-CN"/>
        </w:rPr>
        <w:object>
          <v:shape id="_x0000_i1058" o:spt="75" type="#_x0000_t75" style="height:18pt;width:40pt;" o:ole="t" filled="f" o:preferrelative="t" stroked="f" coordsize="21600,21600">
            <v:path/>
            <v:fill on="f" focussize="0,0"/>
            <v:stroke on="f"/>
            <v:imagedata r:id="rId173" o:title=""/>
            <o:lock v:ext="edit" aspectratio="t"/>
            <w10:wrap type="none"/>
            <w10:anchorlock/>
          </v:shape>
          <o:OLEObject Type="Embed" ProgID="Equation.KSEE3" ShapeID="_x0000_i1058" DrawAspect="Content" ObjectID="_1468075731" r:id="rId172">
            <o:LockedField>false</o:LockedField>
          </o:OLEObject>
        </w:object>
      </w:r>
      <w:r>
        <w:rPr>
          <w:rFonts w:hint="eastAsia" w:ascii="黑体" w:hAnsi="黑体" w:eastAsia="黑体" w:cs="黑体"/>
          <w:b w:val="0"/>
          <w:bCs w:val="0"/>
          <w:color w:val="auto"/>
          <w:lang w:val="en-US" w:eastAsia="zh-CN"/>
        </w:rPr>
        <w:t>，其他情况</w:t>
      </w:r>
      <w:r>
        <w:rPr>
          <w:rFonts w:hint="eastAsia" w:ascii="黑体" w:hAnsi="黑体" w:eastAsia="黑体" w:cs="黑体"/>
          <w:b w:val="0"/>
          <w:bCs w:val="0"/>
          <w:color w:val="auto"/>
          <w:position w:val="-12"/>
          <w:lang w:val="en-US" w:eastAsia="zh-CN"/>
        </w:rPr>
        <w:object>
          <v:shape id="_x0000_i1059" o:spt="75" type="#_x0000_t75" style="height:18pt;width:81pt;" o:ole="t" filled="f" o:preferrelative="t" stroked="f" coordsize="21600,21600">
            <v:path/>
            <v:fill on="f" focussize="0,0"/>
            <v:stroke on="f"/>
            <v:imagedata r:id="rId175" o:title=""/>
            <o:lock v:ext="edit" aspectratio="t"/>
            <w10:wrap type="none"/>
            <w10:anchorlock/>
          </v:shape>
          <o:OLEObject Type="Embed" ProgID="Equation.KSEE3" ShapeID="_x0000_i1059" DrawAspect="Content" ObjectID="_1468075732" r:id="rId174">
            <o:LockedField>false</o:LockedField>
          </o:OLEObject>
        </w:object>
      </w:r>
      <w:r>
        <w:rPr>
          <w:rFonts w:hint="eastAsia" w:ascii="黑体" w:hAnsi="黑体" w:eastAsia="黑体" w:cs="黑体"/>
          <w:b w:val="0"/>
          <w:bCs w:val="0"/>
          <w:color w:val="auto"/>
          <w:lang w:val="en-US" w:eastAsia="zh-CN"/>
        </w:rPr>
        <w:t>。</w:t>
      </w:r>
    </w:p>
    <w:p>
      <w:pPr>
        <w:jc w:val="left"/>
        <w:rPr>
          <w:rFonts w:hint="eastAsia" w:ascii="黑体" w:hAnsi="黑体" w:eastAsia="黑体" w:cs="黑体"/>
          <w:b w:val="0"/>
          <w:bCs w:val="0"/>
        </w:rPr>
      </w:pPr>
      <w:r>
        <w:rPr>
          <w:rFonts w:hint="eastAsia" w:ascii="黑体" w:hAnsi="黑体" w:eastAsia="黑体" w:cs="黑体"/>
          <w:b w:val="0"/>
          <w:bCs w:val="0"/>
          <w:color w:val="auto"/>
          <w:szCs w:val="21"/>
          <w:shd w:val="clear" w:color="auto" w:fill="auto"/>
          <w:lang w:val="en-US" w:eastAsia="zh-CN" w:bidi="en-US"/>
        </w:rPr>
        <w:t xml:space="preserve">7.8  </w:t>
      </w:r>
      <w:r>
        <w:rPr>
          <w:rFonts w:hint="eastAsia" w:ascii="黑体" w:hAnsi="黑体" w:eastAsia="黑体" w:cs="黑体"/>
          <w:b w:val="0"/>
          <w:bCs w:val="0"/>
          <w:color w:val="auto"/>
          <w:lang w:val="en-US" w:eastAsia="zh-CN"/>
        </w:rPr>
        <w:t>螺杆灌注桩作为复合地基的增强体属刚性桩，复合地基沉降计算按国家现行GB50007、JGJ79的有关规定执行。</w:t>
      </w:r>
    </w:p>
    <w:p>
      <w:pPr>
        <w:pStyle w:val="56"/>
        <w:ind w:left="0" w:leftChars="0" w:firstLine="0" w:firstLineChars="0"/>
        <w:rPr>
          <w:rFonts w:hint="eastAsia" w:ascii="黑体" w:hAnsi="黑体" w:eastAsia="黑体" w:cs="黑体"/>
          <w:b w:val="0"/>
          <w:bCs w:val="0"/>
          <w:szCs w:val="21"/>
          <w:lang w:val="en-US" w:eastAsia="zh-CN"/>
        </w:rPr>
      </w:pPr>
    </w:p>
    <w:p>
      <w:pPr>
        <w:pStyle w:val="56"/>
        <w:ind w:left="0" w:leftChars="0" w:firstLine="0" w:firstLineChars="0"/>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8 施工</w:t>
      </w:r>
      <w:bookmarkStart w:id="225" w:name="_Toc27911"/>
    </w:p>
    <w:p>
      <w:pPr>
        <w:pStyle w:val="56"/>
        <w:ind w:left="0" w:leftChars="0" w:firstLine="0" w:firstLineChars="0"/>
        <w:rPr>
          <w:rFonts w:hint="eastAsia" w:ascii="黑体" w:hAnsi="黑体" w:eastAsia="黑体" w:cs="黑体"/>
          <w:b w:val="0"/>
          <w:bCs w:val="0"/>
          <w:sz w:val="21"/>
          <w:szCs w:val="21"/>
          <w:lang w:val="en-US" w:eastAsia="zh-CN"/>
        </w:rPr>
      </w:pPr>
    </w:p>
    <w:p>
      <w:pPr>
        <w:pStyle w:val="56"/>
        <w:ind w:left="0" w:leftChars="0" w:firstLine="0" w:firstLineChars="0"/>
        <w:rPr>
          <w:rFonts w:hint="eastAsia" w:ascii="黑体" w:hAnsi="黑体" w:eastAsia="黑体" w:cs="黑体"/>
          <w:b w:val="0"/>
          <w:bCs w:val="0"/>
          <w:color w:val="auto"/>
          <w:sz w:val="21"/>
          <w:szCs w:val="21"/>
          <w:lang w:val="en-US" w:eastAsia="zh-CN"/>
        </w:rPr>
      </w:pPr>
      <w:r>
        <w:rPr>
          <w:rFonts w:hint="eastAsia" w:ascii="黑体" w:hAnsi="黑体" w:eastAsia="黑体" w:cs="黑体"/>
          <w:b w:val="0"/>
          <w:bCs w:val="0"/>
          <w:color w:val="auto"/>
          <w:sz w:val="21"/>
          <w:szCs w:val="21"/>
          <w:lang w:val="en-US" w:eastAsia="zh-CN"/>
        </w:rPr>
        <w:t>8.1  基本规定</w:t>
      </w:r>
      <w:bookmarkEnd w:id="225"/>
    </w:p>
    <w:p>
      <w:pPr>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lang w:val="en-US" w:eastAsia="zh-CN"/>
        </w:rPr>
        <w:t>8</w:t>
      </w:r>
      <w:r>
        <w:rPr>
          <w:rFonts w:hint="eastAsia" w:ascii="黑体" w:hAnsi="黑体" w:eastAsia="黑体" w:cs="黑体"/>
          <w:b w:val="0"/>
          <w:bCs w:val="0"/>
          <w:color w:val="auto"/>
          <w:sz w:val="21"/>
          <w:szCs w:val="21"/>
        </w:rPr>
        <w:t>.</w:t>
      </w:r>
      <w:r>
        <w:rPr>
          <w:rFonts w:hint="eastAsia" w:ascii="黑体" w:hAnsi="黑体" w:eastAsia="黑体" w:cs="黑体"/>
          <w:b w:val="0"/>
          <w:bCs w:val="0"/>
          <w:color w:val="auto"/>
          <w:sz w:val="21"/>
          <w:szCs w:val="21"/>
          <w:lang w:val="en-US" w:eastAsia="zh-CN"/>
        </w:rPr>
        <w:t>1</w:t>
      </w:r>
      <w:r>
        <w:rPr>
          <w:rFonts w:hint="eastAsia" w:ascii="黑体" w:hAnsi="黑体" w:eastAsia="黑体" w:cs="黑体"/>
          <w:b w:val="0"/>
          <w:bCs w:val="0"/>
          <w:color w:val="auto"/>
          <w:sz w:val="21"/>
          <w:szCs w:val="21"/>
        </w:rPr>
        <w:t>.</w:t>
      </w:r>
      <w:r>
        <w:rPr>
          <w:rFonts w:hint="eastAsia" w:ascii="黑体" w:hAnsi="黑体" w:eastAsia="黑体" w:cs="黑体"/>
          <w:b w:val="0"/>
          <w:bCs w:val="0"/>
          <w:color w:val="auto"/>
          <w:sz w:val="21"/>
          <w:szCs w:val="21"/>
          <w:lang w:val="en-US" w:eastAsia="zh-CN"/>
        </w:rPr>
        <w:t xml:space="preserve">2   </w:t>
      </w:r>
      <w:r>
        <w:rPr>
          <w:rFonts w:hint="eastAsia" w:ascii="黑体" w:hAnsi="黑体" w:eastAsia="黑体" w:cs="黑体"/>
          <w:b w:val="0"/>
          <w:bCs w:val="0"/>
          <w:color w:val="auto"/>
          <w:sz w:val="21"/>
          <w:szCs w:val="21"/>
        </w:rPr>
        <w:t>螺杆灌注桩技术经过十余年的工程实践，对于生产设备总结出很多有价值的技术经验，其中，可靠的加压装置、自动高效的同步技术和足够的扭矩动力是保证螺杆桩成桩质量的关键因素，若</w:t>
      </w:r>
      <w:r>
        <w:rPr>
          <w:rFonts w:hint="eastAsia" w:ascii="黑体" w:hAnsi="黑体" w:eastAsia="黑体" w:cs="黑体"/>
          <w:b w:val="0"/>
          <w:bCs w:val="0"/>
          <w:color w:val="auto"/>
          <w:sz w:val="21"/>
          <w:szCs w:val="21"/>
          <w:lang w:eastAsia="zh-CN"/>
        </w:rPr>
        <w:t>旋</w:t>
      </w:r>
      <w:r>
        <w:rPr>
          <w:rFonts w:hint="eastAsia" w:ascii="黑体" w:hAnsi="黑体" w:eastAsia="黑体" w:cs="黑体"/>
          <w:b w:val="0"/>
          <w:bCs w:val="0"/>
          <w:color w:val="auto"/>
          <w:sz w:val="21"/>
          <w:szCs w:val="21"/>
        </w:rPr>
        <w:t>转动力和/或压力不足无法对地基土进行挤压，难以实现螺纹的挤压成型；穿透卵石层、坚硬土层、岩层的桩基旋转动力扭矩宜大于250kN.m。</w:t>
      </w:r>
    </w:p>
    <w:p>
      <w:pPr>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lang w:val="en-US" w:eastAsia="zh-CN"/>
        </w:rPr>
        <w:t>8</w:t>
      </w:r>
      <w:r>
        <w:rPr>
          <w:rFonts w:hint="eastAsia" w:ascii="黑体" w:hAnsi="黑体" w:eastAsia="黑体" w:cs="黑体"/>
          <w:b w:val="0"/>
          <w:bCs w:val="0"/>
          <w:color w:val="auto"/>
          <w:sz w:val="21"/>
          <w:szCs w:val="21"/>
        </w:rPr>
        <w:t>.</w:t>
      </w:r>
      <w:r>
        <w:rPr>
          <w:rFonts w:hint="eastAsia" w:ascii="黑体" w:hAnsi="黑体" w:eastAsia="黑体" w:cs="黑体"/>
          <w:b w:val="0"/>
          <w:bCs w:val="0"/>
          <w:color w:val="auto"/>
          <w:sz w:val="21"/>
          <w:szCs w:val="21"/>
          <w:lang w:val="en-US" w:eastAsia="zh-CN"/>
        </w:rPr>
        <w:t>1</w:t>
      </w:r>
      <w:r>
        <w:rPr>
          <w:rFonts w:hint="eastAsia" w:ascii="黑体" w:hAnsi="黑体" w:eastAsia="黑体" w:cs="黑体"/>
          <w:b w:val="0"/>
          <w:bCs w:val="0"/>
          <w:color w:val="auto"/>
          <w:sz w:val="21"/>
          <w:szCs w:val="21"/>
        </w:rPr>
        <w:t>.</w:t>
      </w:r>
      <w:r>
        <w:rPr>
          <w:rFonts w:hint="eastAsia" w:ascii="黑体" w:hAnsi="黑体" w:eastAsia="黑体" w:cs="黑体"/>
          <w:b w:val="0"/>
          <w:bCs w:val="0"/>
          <w:color w:val="auto"/>
          <w:sz w:val="21"/>
          <w:szCs w:val="21"/>
          <w:lang w:val="en-US" w:eastAsia="zh-CN"/>
        </w:rPr>
        <w:t xml:space="preserve">3  </w:t>
      </w:r>
      <w:r>
        <w:rPr>
          <w:rFonts w:hint="eastAsia" w:ascii="黑体" w:hAnsi="黑体" w:eastAsia="黑体" w:cs="黑体"/>
          <w:b w:val="0"/>
          <w:bCs w:val="0"/>
          <w:color w:val="auto"/>
          <w:sz w:val="21"/>
          <w:szCs w:val="21"/>
        </w:rPr>
        <w:t>应重视试验桩阶段的工程参数收集，可为设计提供二次优化的参数，也可根据试桩参数形成工程桩的施工依据，有效保证工程桩质量的稳定性。</w:t>
      </w:r>
    </w:p>
    <w:p>
      <w:pPr>
        <w:pStyle w:val="237"/>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黑体" w:hAnsi="黑体" w:eastAsia="黑体" w:cs="黑体"/>
          <w:b w:val="0"/>
          <w:bCs w:val="0"/>
          <w:color w:val="auto"/>
          <w:sz w:val="21"/>
          <w:szCs w:val="21"/>
        </w:rPr>
      </w:pPr>
      <w:r>
        <w:rPr>
          <w:rFonts w:hint="eastAsia" w:ascii="黑体" w:hAnsi="黑体" w:eastAsia="黑体" w:cs="黑体"/>
          <w:b w:val="0"/>
          <w:bCs w:val="0"/>
          <w:color w:val="auto"/>
          <w:kern w:val="2"/>
          <w:sz w:val="21"/>
          <w:szCs w:val="21"/>
          <w:u w:val="none"/>
          <w:shd w:val="clear" w:color="auto" w:fill="auto"/>
          <w:lang w:val="en-US" w:eastAsia="zh-CN" w:bidi="ar-SA"/>
        </w:rPr>
        <w:t xml:space="preserve">8.1.4  </w:t>
      </w:r>
      <w:r>
        <w:rPr>
          <w:rFonts w:hint="eastAsia" w:ascii="黑体" w:hAnsi="黑体" w:eastAsia="黑体" w:cs="黑体"/>
          <w:b w:val="0"/>
          <w:bCs w:val="0"/>
          <w:color w:val="auto"/>
          <w:sz w:val="21"/>
          <w:szCs w:val="21"/>
        </w:rPr>
        <w:t>《建筑桩基技术规范》（JGJ94-2008）中对不同类型灌注桩的混凝土超灌高度作了具体规定：</w:t>
      </w:r>
    </w:p>
    <w:p>
      <w:pPr>
        <w:pStyle w:val="237"/>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（泥浆护壁成孔灌注桩）灌注水下混凝土的质量控制应满足下列要求：应控制最后一次灌注量，超灌高度宜为0.8-1.0m，凿除泛浆高度后必须保证暴露的桩顶混凝土强度达到设计等级。</w:t>
      </w:r>
    </w:p>
    <w:p>
      <w:pPr>
        <w:pStyle w:val="237"/>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（长螺旋钻孔压灌桩）桩顶混凝土超灌高度不宜小于0.3-0.5m。</w:t>
      </w:r>
    </w:p>
    <w:p>
      <w:pPr>
        <w:pStyle w:val="237"/>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（沉管灌注桩和内夯沉管灌注桩）成桩后的桩身混凝土顶面应高于桩顶设计标高 500mm 以内。</w:t>
      </w:r>
    </w:p>
    <w:p>
      <w:pPr>
        <w:pStyle w:val="237"/>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建筑地基处理技术规范》(JGJ79-2012)7.7.3条对水泥粉煤灰碎石桩复合地基的施工规定：施工桩顶标高高出设计桩顶标高不宜少于0.5m；当施工作业面高出桩顶标高较大时，宜增加混凝土灌注量，提高施工桩顶标高，防止缩径。</w:t>
      </w:r>
    </w:p>
    <w:p>
      <w:pPr>
        <w:pStyle w:val="237"/>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《建筑地基基础工程施工质量验收规范》（GB50202-2002）则不加区分基桩的施工工艺，在桩基础的一般规定中，5. 1. 4条统一规定为：灌注桩的桩位偏差必须符合有关规定，桩顶标高至少要比设计标高高出0.5m。</w:t>
      </w:r>
    </w:p>
    <w:p>
      <w:pPr>
        <w:keepNext w:val="0"/>
        <w:keepLines w:val="0"/>
        <w:pageBreakBefore w:val="0"/>
        <w:widowControl w:val="0"/>
        <w:kinsoku/>
        <w:wordWrap/>
        <w:overflowPunct/>
        <w:topLinePunct w:val="0"/>
        <w:autoSpaceDE/>
        <w:autoSpaceDN/>
        <w:bidi w:val="0"/>
        <w:adjustRightInd/>
        <w:snapToGrid/>
        <w:spacing w:before="313" w:beforeLines="100" w:after="313" w:afterLines="100"/>
        <w:jc w:val="both"/>
        <w:textAlignment w:val="auto"/>
        <w:outlineLvl w:val="1"/>
        <w:rPr>
          <w:rFonts w:hint="eastAsia" w:ascii="黑体" w:hAnsi="黑体" w:eastAsia="黑体" w:cs="黑体"/>
          <w:b w:val="0"/>
          <w:bCs w:val="0"/>
          <w:color w:val="auto"/>
          <w:sz w:val="21"/>
          <w:szCs w:val="21"/>
          <w:lang w:val="en-US" w:eastAsia="zh-CN"/>
        </w:rPr>
      </w:pPr>
      <w:bookmarkStart w:id="226" w:name="_Toc6844"/>
      <w:r>
        <w:rPr>
          <w:rFonts w:hint="eastAsia" w:ascii="黑体" w:hAnsi="黑体" w:eastAsia="黑体" w:cs="黑体"/>
          <w:b w:val="0"/>
          <w:bCs w:val="0"/>
          <w:color w:val="auto"/>
          <w:sz w:val="21"/>
          <w:szCs w:val="21"/>
          <w:lang w:val="en-US" w:eastAsia="zh-CN"/>
        </w:rPr>
        <w:t>8.2  施工准备</w:t>
      </w:r>
      <w:bookmarkEnd w:id="226"/>
    </w:p>
    <w:p>
      <w:pPr>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lang w:val="en-US" w:eastAsia="zh-CN"/>
        </w:rPr>
        <w:t>8.2.5  螺杆桩机整机重量为80t</w:t>
      </w:r>
      <w:r>
        <w:rPr>
          <w:rFonts w:hint="eastAsia" w:ascii="黑体" w:hAnsi="黑体" w:eastAsia="黑体" w:cs="黑体"/>
          <w:b w:val="0"/>
          <w:bCs w:val="0"/>
          <w:color w:val="auto"/>
          <w:sz w:val="21"/>
          <w:szCs w:val="21"/>
        </w:rPr>
        <w:t>〜</w:t>
      </w:r>
      <w:r>
        <w:rPr>
          <w:rFonts w:hint="eastAsia" w:ascii="黑体" w:hAnsi="黑体" w:eastAsia="黑体" w:cs="黑体"/>
          <w:b w:val="0"/>
          <w:bCs w:val="0"/>
          <w:color w:val="auto"/>
          <w:sz w:val="21"/>
          <w:szCs w:val="21"/>
          <w:lang w:val="en-US" w:eastAsia="zh-CN"/>
        </w:rPr>
        <w:t>125t，场地软弱为导致螺杆桩机陷机或发生倾覆事故，</w:t>
      </w:r>
      <w:r>
        <w:rPr>
          <w:rFonts w:hint="eastAsia" w:ascii="黑体" w:hAnsi="黑体" w:eastAsia="黑体" w:cs="黑体"/>
          <w:b w:val="0"/>
          <w:bCs w:val="0"/>
          <w:color w:val="auto"/>
          <w:sz w:val="21"/>
          <w:szCs w:val="21"/>
          <w:lang w:eastAsia="zh-CN"/>
        </w:rPr>
        <w:t>施工场地应满足螺杆桩机对地面坡度及接地压力的要求，目前国内钻机装备要求的接地压力一般不低于</w:t>
      </w:r>
      <w:r>
        <w:rPr>
          <w:rFonts w:hint="eastAsia" w:ascii="黑体" w:hAnsi="黑体" w:eastAsia="黑体" w:cs="黑体"/>
          <w:b w:val="0"/>
          <w:bCs w:val="0"/>
          <w:color w:val="auto"/>
          <w:sz w:val="21"/>
          <w:szCs w:val="21"/>
          <w:lang w:val="en-US" w:eastAsia="zh-CN"/>
        </w:rPr>
        <w:t>120kPa。</w:t>
      </w:r>
      <w:r>
        <w:rPr>
          <w:rFonts w:hint="eastAsia" w:ascii="黑体" w:hAnsi="黑体" w:eastAsia="黑体" w:cs="黑体"/>
          <w:b w:val="0"/>
          <w:bCs w:val="0"/>
          <w:color w:val="auto"/>
          <w:sz w:val="21"/>
          <w:szCs w:val="21"/>
        </w:rPr>
        <w:t>因此软弱场地应进行预处理，如降水、铺设钢板、铺设并夯实厚度大于0.5m的垫层等措施均有良好效果。</w:t>
      </w:r>
    </w:p>
    <w:p>
      <w:pPr>
        <w:rPr>
          <w:rFonts w:hint="eastAsia" w:ascii="黑体" w:hAnsi="黑体" w:eastAsia="黑体" w:cs="黑体"/>
          <w:b w:val="0"/>
          <w:bCs w:val="0"/>
          <w:color w:val="auto"/>
          <w:sz w:val="21"/>
          <w:szCs w:val="21"/>
          <w:lang w:val="en-US" w:eastAsia="zh-CN"/>
        </w:rPr>
      </w:pPr>
      <w:r>
        <w:rPr>
          <w:rFonts w:hint="eastAsia" w:ascii="黑体" w:hAnsi="黑体" w:eastAsia="黑体" w:cs="黑体"/>
          <w:b w:val="0"/>
          <w:bCs w:val="0"/>
          <w:color w:val="auto"/>
          <w:sz w:val="21"/>
          <w:szCs w:val="21"/>
          <w:lang w:val="en-US" w:eastAsia="zh-CN"/>
        </w:rPr>
        <w:t>7.2.6  施工前进行试成桩工艺试验，一般选择在工程桩位外进行试打，若已有当地静载试验资料和类似土层中的施工经验，也可在工程桩位进行试成孔试验。</w:t>
      </w:r>
    </w:p>
    <w:p>
      <w:pPr>
        <w:ind w:firstLine="420" w:firstLineChars="200"/>
        <w:rPr>
          <w:rFonts w:hint="eastAsia" w:ascii="黑体" w:hAnsi="黑体" w:eastAsia="黑体" w:cs="黑体"/>
          <w:b w:val="0"/>
          <w:bCs w:val="0"/>
          <w:color w:val="auto"/>
          <w:sz w:val="21"/>
          <w:szCs w:val="21"/>
          <w:lang w:val="en-US" w:eastAsia="zh-CN"/>
        </w:rPr>
      </w:pPr>
      <w:r>
        <w:rPr>
          <w:rFonts w:hint="eastAsia" w:ascii="黑体" w:hAnsi="黑体" w:eastAsia="黑体" w:cs="黑体"/>
          <w:b w:val="0"/>
          <w:bCs w:val="0"/>
          <w:color w:val="auto"/>
          <w:sz w:val="21"/>
          <w:szCs w:val="21"/>
          <w:lang w:val="en-US" w:eastAsia="zh-CN"/>
        </w:rPr>
        <w:t>重视试成孔试验阶段的工程参数收集，试成孔试验工作应详细记录成孔直径、成孔深度、成孔时间、加压力以及钻进扭矩、进入持力层深度、相邻孔之间的影响等施工工艺参数，以上参数可作为工程桩施工及优化设计的依据。</w:t>
      </w:r>
    </w:p>
    <w:p>
      <w:pPr>
        <w:pStyle w:val="238"/>
        <w:keepNext w:val="0"/>
        <w:keepLines w:val="0"/>
        <w:pageBreakBefore w:val="0"/>
        <w:widowControl w:val="0"/>
        <w:kinsoku/>
        <w:wordWrap/>
        <w:overflowPunct/>
        <w:topLinePunct w:val="0"/>
        <w:autoSpaceDE/>
        <w:autoSpaceDN/>
        <w:bidi w:val="0"/>
        <w:adjustRightInd/>
        <w:snapToGrid/>
        <w:spacing w:before="329" w:beforeLines="100" w:after="329" w:afterLines="100" w:line="288" w:lineRule="auto"/>
        <w:jc w:val="both"/>
        <w:textAlignment w:val="auto"/>
        <w:outlineLvl w:val="1"/>
        <w:rPr>
          <w:rFonts w:hint="eastAsia" w:ascii="黑体" w:hAnsi="黑体" w:eastAsia="黑体" w:cs="黑体"/>
          <w:b w:val="0"/>
          <w:bCs w:val="0"/>
          <w:color w:val="auto"/>
          <w:kern w:val="2"/>
          <w:sz w:val="21"/>
          <w:szCs w:val="21"/>
          <w:lang w:val="en-US" w:eastAsia="zh-CN" w:bidi="ar-SA"/>
        </w:rPr>
      </w:pPr>
      <w:bookmarkStart w:id="227" w:name="_Toc13536"/>
      <w:r>
        <w:rPr>
          <w:rFonts w:hint="eastAsia" w:ascii="黑体" w:hAnsi="黑体" w:eastAsia="黑体" w:cs="黑体"/>
          <w:b w:val="0"/>
          <w:bCs w:val="0"/>
          <w:color w:val="auto"/>
          <w:kern w:val="2"/>
          <w:sz w:val="21"/>
          <w:szCs w:val="21"/>
          <w:lang w:val="en-US" w:eastAsia="zh-CN" w:bidi="ar-SA"/>
        </w:rPr>
        <w:t>8.4  施工控制</w:t>
      </w:r>
      <w:bookmarkEnd w:id="227"/>
    </w:p>
    <w:p>
      <w:pPr>
        <w:pStyle w:val="238"/>
        <w:keepNext w:val="0"/>
        <w:keepLines w:val="0"/>
        <w:pageBreakBefore w:val="0"/>
        <w:widowControl w:val="0"/>
        <w:kinsoku/>
        <w:wordWrap/>
        <w:overflowPunct/>
        <w:topLinePunct w:val="0"/>
        <w:autoSpaceDE/>
        <w:autoSpaceDN/>
        <w:bidi w:val="0"/>
        <w:adjustRightInd/>
        <w:snapToGrid/>
        <w:spacing w:before="329" w:beforeLines="100" w:after="329" w:afterLines="100" w:line="288" w:lineRule="auto"/>
        <w:jc w:val="both"/>
        <w:textAlignment w:val="auto"/>
        <w:outlineLvl w:val="1"/>
        <w:rPr>
          <w:rFonts w:hint="eastAsia" w:ascii="黑体" w:hAnsi="黑体" w:eastAsia="黑体" w:cs="黑体"/>
          <w:b w:val="0"/>
          <w:bCs w:val="0"/>
          <w:color w:val="auto"/>
          <w:sz w:val="21"/>
          <w:szCs w:val="21"/>
          <w:lang w:val="en-US" w:eastAsia="zh-CN"/>
        </w:rPr>
      </w:pPr>
      <w:r>
        <w:rPr>
          <w:rFonts w:hint="eastAsia" w:ascii="黑体" w:hAnsi="黑体" w:eastAsia="黑体" w:cs="黑体"/>
          <w:b w:val="0"/>
          <w:bCs w:val="0"/>
          <w:color w:val="auto"/>
          <w:sz w:val="21"/>
          <w:szCs w:val="21"/>
          <w:lang w:val="en-US" w:eastAsia="zh-CN"/>
        </w:rPr>
        <w:t xml:space="preserve">8.4.5  </w:t>
      </w:r>
      <w:r>
        <w:rPr>
          <w:rFonts w:hint="eastAsia" w:ascii="黑体" w:hAnsi="黑体" w:eastAsia="黑体" w:cs="黑体"/>
          <w:b w:val="0"/>
          <w:bCs w:val="0"/>
          <w:color w:val="auto"/>
          <w:sz w:val="21"/>
          <w:szCs w:val="21"/>
        </w:rPr>
        <w:t>施工中严格控制钻进速度，刚接触地面时，下钻速度要快。钻进速度应根据土层情况来确定：杂填土、黏性土、砂卵石层为</w:t>
      </w:r>
      <w:r>
        <w:rPr>
          <w:rFonts w:hint="eastAsia" w:ascii="黑体" w:hAnsi="黑体" w:eastAsia="黑体" w:cs="黑体"/>
          <w:b w:val="0"/>
          <w:bCs w:val="0"/>
          <w:color w:val="auto"/>
          <w:sz w:val="21"/>
          <w:szCs w:val="21"/>
          <w:lang w:val="en-US" w:eastAsia="zh-CN" w:bidi="en-US"/>
        </w:rPr>
        <w:t>0. 2~0. 5m/min；</w:t>
      </w:r>
      <w:r>
        <w:rPr>
          <w:rFonts w:hint="eastAsia" w:ascii="黑体" w:hAnsi="黑体" w:eastAsia="黑体" w:cs="黑体"/>
          <w:b w:val="0"/>
          <w:bCs w:val="0"/>
          <w:color w:val="auto"/>
          <w:sz w:val="21"/>
          <w:szCs w:val="21"/>
        </w:rPr>
        <w:t>素填土、黏土、粉土、砂层为</w:t>
      </w:r>
      <w:r>
        <w:rPr>
          <w:rFonts w:hint="eastAsia" w:ascii="黑体" w:hAnsi="黑体" w:eastAsia="黑体" w:cs="黑体"/>
          <w:b w:val="0"/>
          <w:bCs w:val="0"/>
          <w:color w:val="auto"/>
          <w:sz w:val="21"/>
          <w:szCs w:val="21"/>
          <w:lang w:val="en-US" w:eastAsia="zh-CN" w:bidi="en-US"/>
        </w:rPr>
        <w:t>1.0</w:t>
      </w:r>
      <w:r>
        <w:rPr>
          <w:rFonts w:hint="eastAsia" w:ascii="黑体" w:hAnsi="黑体" w:eastAsia="黑体" w:cs="黑体"/>
          <w:b w:val="0"/>
          <w:bCs w:val="0"/>
          <w:color w:val="auto"/>
          <w:sz w:val="21"/>
          <w:szCs w:val="21"/>
        </w:rPr>
        <w:t>〜</w:t>
      </w:r>
      <w:r>
        <w:rPr>
          <w:rFonts w:hint="eastAsia" w:ascii="黑体" w:hAnsi="黑体" w:eastAsia="黑体" w:cs="黑体"/>
          <w:b w:val="0"/>
          <w:bCs w:val="0"/>
          <w:color w:val="auto"/>
          <w:sz w:val="21"/>
          <w:szCs w:val="21"/>
          <w:lang w:val="en-US" w:eastAsia="zh-CN" w:bidi="en-US"/>
        </w:rPr>
        <w:t>1. 5m/ min</w:t>
      </w:r>
      <w:r>
        <w:rPr>
          <w:rFonts w:hint="eastAsia" w:ascii="黑体" w:hAnsi="黑体" w:eastAsia="黑体" w:cs="黑体"/>
          <w:b w:val="0"/>
          <w:bCs w:val="0"/>
          <w:color w:val="auto"/>
          <w:sz w:val="21"/>
          <w:szCs w:val="21"/>
        </w:rPr>
        <w:t>施工前应根据试桩结果进行调整。在钻进过程中，如遇到</w:t>
      </w:r>
      <w:r>
        <w:rPr>
          <w:rFonts w:hint="eastAsia" w:ascii="黑体" w:hAnsi="黑体" w:eastAsia="黑体" w:cs="黑体"/>
          <w:b w:val="0"/>
          <w:bCs w:val="0"/>
          <w:color w:val="auto"/>
          <w:sz w:val="21"/>
          <w:szCs w:val="21"/>
          <w:lang w:val="en-US" w:eastAsia="zh-CN" w:bidi="en-US"/>
        </w:rPr>
        <w:t>卡</w:t>
      </w:r>
      <w:r>
        <w:rPr>
          <w:rFonts w:hint="eastAsia" w:ascii="黑体" w:hAnsi="黑体" w:eastAsia="黑体" w:cs="黑体"/>
          <w:b w:val="0"/>
          <w:bCs w:val="0"/>
          <w:color w:val="auto"/>
          <w:sz w:val="21"/>
          <w:szCs w:val="21"/>
        </w:rPr>
        <w:t>钻、钻机</w:t>
      </w:r>
      <w:r>
        <w:rPr>
          <w:rFonts w:hint="eastAsia" w:ascii="黑体" w:hAnsi="黑体" w:eastAsia="黑体" w:cs="黑体"/>
          <w:b w:val="0"/>
          <w:bCs w:val="0"/>
          <w:color w:val="auto"/>
          <w:sz w:val="21"/>
          <w:szCs w:val="21"/>
          <w:lang w:eastAsia="zh-CN"/>
        </w:rPr>
        <w:t>摇</w:t>
      </w:r>
      <w:r>
        <w:rPr>
          <w:rFonts w:hint="eastAsia" w:ascii="黑体" w:hAnsi="黑体" w:eastAsia="黑体" w:cs="黑体"/>
          <w:b w:val="0"/>
          <w:bCs w:val="0"/>
          <w:color w:val="auto"/>
          <w:sz w:val="21"/>
          <w:szCs w:val="21"/>
        </w:rPr>
        <w:t>晃、偏斜或发现有节奏的声响时，应立即停钻，査明原因，</w:t>
      </w:r>
      <w:r>
        <w:rPr>
          <w:rFonts w:hint="eastAsia" w:ascii="黑体" w:hAnsi="黑体" w:eastAsia="黑体" w:cs="黑体"/>
          <w:b w:val="0"/>
          <w:bCs w:val="0"/>
          <w:color w:val="auto"/>
          <w:sz w:val="21"/>
          <w:szCs w:val="21"/>
          <w:lang w:eastAsia="zh-CN"/>
        </w:rPr>
        <w:t>采</w:t>
      </w:r>
      <w:r>
        <w:rPr>
          <w:rFonts w:hint="eastAsia" w:ascii="黑体" w:hAnsi="黑体" w:eastAsia="黑体" w:cs="黑体"/>
          <w:b w:val="0"/>
          <w:bCs w:val="0"/>
          <w:color w:val="auto"/>
          <w:sz w:val="21"/>
          <w:szCs w:val="21"/>
        </w:rPr>
        <w:t>取相应措施后，方可继续作业，当需停钻时间较长时，应将钻杆提至地表。</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lang w:val="en-US" w:eastAsia="zh-CN"/>
        </w:rPr>
        <w:t xml:space="preserve">8.4.7  </w:t>
      </w:r>
      <w:r>
        <w:rPr>
          <w:rFonts w:hint="eastAsia" w:ascii="黑体" w:hAnsi="黑体" w:eastAsia="黑体" w:cs="黑体"/>
          <w:b w:val="0"/>
          <w:bCs w:val="0"/>
          <w:color w:val="auto"/>
          <w:sz w:val="21"/>
          <w:szCs w:val="21"/>
        </w:rPr>
        <w:t>提钻速度与泵送速度可根据式</w:t>
      </w:r>
      <w:r>
        <w:rPr>
          <w:rFonts w:hint="eastAsia" w:ascii="黑体" w:hAnsi="黑体" w:eastAsia="黑体" w:cs="黑体"/>
          <w:b w:val="0"/>
          <w:bCs w:val="0"/>
          <w:color w:val="auto"/>
          <w:sz w:val="21"/>
          <w:szCs w:val="21"/>
          <w:lang w:eastAsia="zh-CN"/>
        </w:rPr>
        <w:t>（</w:t>
      </w:r>
      <w:r>
        <w:rPr>
          <w:rFonts w:hint="eastAsia" w:ascii="黑体" w:hAnsi="黑体" w:eastAsia="黑体" w:cs="黑体"/>
          <w:b w:val="0"/>
          <w:bCs w:val="0"/>
          <w:color w:val="auto"/>
          <w:sz w:val="21"/>
          <w:szCs w:val="21"/>
          <w:lang w:val="en-US" w:eastAsia="zh-CN"/>
        </w:rPr>
        <w:t>28）</w:t>
      </w:r>
      <w:r>
        <w:rPr>
          <w:rFonts w:hint="eastAsia" w:ascii="黑体" w:hAnsi="黑体" w:eastAsia="黑体" w:cs="黑体"/>
          <w:b w:val="0"/>
          <w:bCs w:val="0"/>
          <w:color w:val="auto"/>
          <w:sz w:val="21"/>
          <w:szCs w:val="21"/>
        </w:rPr>
        <w:t>和</w:t>
      </w:r>
      <w:r>
        <w:rPr>
          <w:rFonts w:hint="eastAsia" w:ascii="黑体" w:hAnsi="黑体" w:eastAsia="黑体" w:cs="黑体"/>
          <w:b w:val="0"/>
          <w:bCs w:val="0"/>
          <w:color w:val="auto"/>
          <w:sz w:val="21"/>
          <w:szCs w:val="21"/>
          <w:lang w:eastAsia="zh-CN"/>
        </w:rPr>
        <w:t>（</w:t>
      </w:r>
      <w:r>
        <w:rPr>
          <w:rFonts w:hint="eastAsia" w:ascii="黑体" w:hAnsi="黑体" w:eastAsia="黑体" w:cs="黑体"/>
          <w:b w:val="0"/>
          <w:bCs w:val="0"/>
          <w:color w:val="auto"/>
          <w:sz w:val="21"/>
          <w:szCs w:val="21"/>
          <w:lang w:val="en-US" w:eastAsia="zh-CN"/>
        </w:rPr>
        <w:t>29）</w:t>
      </w:r>
      <w:r>
        <w:rPr>
          <w:rFonts w:hint="eastAsia" w:ascii="黑体" w:hAnsi="黑体" w:eastAsia="黑体" w:cs="黑体"/>
          <w:b w:val="0"/>
          <w:bCs w:val="0"/>
          <w:color w:val="auto"/>
          <w:sz w:val="21"/>
          <w:szCs w:val="21"/>
        </w:rPr>
        <w:t>计算，泵送过程应连续进行。</w:t>
      </w:r>
    </w:p>
    <w:p>
      <w:pPr>
        <w:jc w:val="center"/>
        <w:rPr>
          <w:rFonts w:hint="eastAsia" w:ascii="黑体" w:hAnsi="黑体" w:eastAsia="黑体" w:cs="黑体"/>
          <w:b w:val="0"/>
          <w:bCs w:val="0"/>
          <w:color w:val="auto"/>
          <w:sz w:val="21"/>
          <w:szCs w:val="21"/>
        </w:rPr>
      </w:pPr>
      <w:r>
        <w:rPr>
          <w:rFonts w:hint="eastAsia" w:ascii="黑体" w:hAnsi="黑体" w:eastAsia="黑体" w:cs="黑体"/>
          <w:b w:val="0"/>
          <w:bCs w:val="0"/>
          <w:color w:val="auto"/>
          <w:position w:val="-32"/>
          <w:sz w:val="21"/>
          <w:szCs w:val="21"/>
          <w:lang w:val="en-US" w:eastAsia="zh-CN"/>
        </w:rPr>
        <w:t xml:space="preserve">                            </w:t>
      </w:r>
      <w:r>
        <w:rPr>
          <w:rFonts w:hint="eastAsia" w:ascii="黑体" w:hAnsi="黑体" w:eastAsia="黑体" w:cs="黑体"/>
          <w:b w:val="0"/>
          <w:bCs w:val="0"/>
          <w:color w:val="auto"/>
          <w:position w:val="-32"/>
          <w:sz w:val="21"/>
          <w:szCs w:val="21"/>
        </w:rPr>
        <w:object>
          <v:shape id="_x0000_i1060" o:spt="75" type="#_x0000_t75" style="height:35pt;width:52pt;" o:ole="t" filled="f" o:preferrelative="t" stroked="f" coordsize="21600,21600">
            <v:path/>
            <v:fill on="f" focussize="0,0"/>
            <v:stroke on="f"/>
            <v:imagedata r:id="rId177" o:title=""/>
            <o:lock v:ext="edit" aspectratio="t"/>
            <w10:wrap type="none"/>
            <w10:anchorlock/>
          </v:shape>
          <o:OLEObject Type="Embed" ProgID="Equation.KSEE3" ShapeID="_x0000_i1060" DrawAspect="Content" ObjectID="_1468075733" r:id="rId176">
            <o:LockedField>false</o:LockedField>
          </o:OLEObject>
        </w:object>
      </w:r>
      <w:r>
        <w:rPr>
          <w:rFonts w:hint="eastAsia" w:ascii="黑体" w:hAnsi="黑体" w:eastAsia="黑体" w:cs="黑体"/>
          <w:b w:val="0"/>
          <w:bCs w:val="0"/>
          <w:color w:val="auto"/>
          <w:sz w:val="21"/>
          <w:szCs w:val="21"/>
        </w:rPr>
        <w:t xml:space="preserve">   </w:t>
      </w:r>
      <w:r>
        <w:rPr>
          <w:rFonts w:hint="eastAsia" w:ascii="黑体" w:hAnsi="黑体" w:eastAsia="黑体" w:cs="黑体"/>
          <w:b w:val="0"/>
          <w:bCs w:val="0"/>
          <w:color w:val="auto"/>
          <w:sz w:val="21"/>
          <w:szCs w:val="21"/>
          <w:lang w:val="en-US" w:eastAsia="zh-CN"/>
        </w:rPr>
        <w:t>. . . . . . . . . . . . . .</w:t>
      </w:r>
      <w:r>
        <w:rPr>
          <w:rFonts w:hint="eastAsia" w:ascii="黑体" w:hAnsi="黑体" w:eastAsia="黑体" w:cs="黑体"/>
          <w:b w:val="0"/>
          <w:bCs w:val="0"/>
          <w:color w:val="auto"/>
          <w:sz w:val="21"/>
          <w:szCs w:val="21"/>
        </w:rPr>
        <w:t>(</w:t>
      </w:r>
      <w:r>
        <w:rPr>
          <w:rFonts w:hint="eastAsia" w:ascii="黑体" w:hAnsi="黑体" w:eastAsia="黑体" w:cs="黑体"/>
          <w:b w:val="0"/>
          <w:bCs w:val="0"/>
          <w:color w:val="auto"/>
          <w:sz w:val="21"/>
          <w:szCs w:val="21"/>
          <w:lang w:val="en-US" w:eastAsia="zh-CN"/>
        </w:rPr>
        <w:t>28</w:t>
      </w:r>
      <w:r>
        <w:rPr>
          <w:rFonts w:hint="eastAsia" w:ascii="黑体" w:hAnsi="黑体" w:eastAsia="黑体" w:cs="黑体"/>
          <w:b w:val="0"/>
          <w:bCs w:val="0"/>
          <w:color w:val="auto"/>
          <w:sz w:val="21"/>
          <w:szCs w:val="21"/>
        </w:rPr>
        <w:t>)</w:t>
      </w:r>
    </w:p>
    <w:p>
      <w:pPr>
        <w:jc w:val="center"/>
        <w:rPr>
          <w:rFonts w:hint="eastAsia" w:ascii="黑体" w:hAnsi="黑体" w:eastAsia="黑体" w:cs="黑体"/>
          <w:b w:val="0"/>
          <w:bCs w:val="0"/>
          <w:color w:val="auto"/>
          <w:sz w:val="21"/>
          <w:szCs w:val="21"/>
        </w:rPr>
      </w:pPr>
      <w:r>
        <w:rPr>
          <w:rFonts w:hint="eastAsia" w:ascii="黑体" w:hAnsi="黑体" w:eastAsia="黑体" w:cs="黑体"/>
          <w:b w:val="0"/>
          <w:bCs w:val="0"/>
          <w:color w:val="auto"/>
          <w:position w:val="-32"/>
          <w:sz w:val="21"/>
          <w:szCs w:val="21"/>
          <w:lang w:val="en-US" w:eastAsia="zh-CN"/>
        </w:rPr>
        <w:t xml:space="preserve">                             </w:t>
      </w:r>
      <w:r>
        <w:rPr>
          <w:rFonts w:hint="eastAsia" w:ascii="黑体" w:hAnsi="黑体" w:eastAsia="黑体" w:cs="黑体"/>
          <w:b w:val="0"/>
          <w:bCs w:val="0"/>
          <w:color w:val="auto"/>
          <w:position w:val="-32"/>
          <w:sz w:val="21"/>
          <w:szCs w:val="21"/>
        </w:rPr>
        <w:object>
          <v:shape id="_x0000_i1061" o:spt="75" type="#_x0000_t75" style="height:35pt;width:55pt;" o:ole="t" filled="f" o:preferrelative="t" stroked="f" coordsize="21600,21600">
            <v:path/>
            <v:fill on="f" focussize="0,0"/>
            <v:stroke on="f"/>
            <v:imagedata r:id="rId179" o:title=""/>
            <o:lock v:ext="edit" aspectratio="t"/>
            <w10:wrap type="none"/>
            <w10:anchorlock/>
          </v:shape>
          <o:OLEObject Type="Embed" ProgID="Equation.KSEE3" ShapeID="_x0000_i1061" DrawAspect="Content" ObjectID="_1468075734" r:id="rId178">
            <o:LockedField>false</o:LockedField>
          </o:OLEObject>
        </w:object>
      </w:r>
      <w:r>
        <w:rPr>
          <w:rFonts w:hint="eastAsia" w:ascii="黑体" w:hAnsi="黑体" w:eastAsia="黑体" w:cs="黑体"/>
          <w:b w:val="0"/>
          <w:bCs w:val="0"/>
          <w:color w:val="auto"/>
          <w:sz w:val="21"/>
          <w:szCs w:val="21"/>
        </w:rPr>
        <w:t xml:space="preserve">  </w:t>
      </w:r>
      <w:r>
        <w:rPr>
          <w:rFonts w:hint="eastAsia" w:ascii="黑体" w:hAnsi="黑体" w:eastAsia="黑体" w:cs="黑体"/>
          <w:b w:val="0"/>
          <w:bCs w:val="0"/>
          <w:color w:val="auto"/>
          <w:sz w:val="21"/>
          <w:szCs w:val="21"/>
          <w:lang w:val="en-US" w:eastAsia="zh-CN"/>
        </w:rPr>
        <w:t>. . . . . . . . . . . . . .</w:t>
      </w:r>
      <w:r>
        <w:rPr>
          <w:rFonts w:hint="eastAsia" w:ascii="黑体" w:hAnsi="黑体" w:eastAsia="黑体" w:cs="黑体"/>
          <w:b w:val="0"/>
          <w:bCs w:val="0"/>
          <w:color w:val="auto"/>
          <w:sz w:val="21"/>
          <w:szCs w:val="21"/>
        </w:rPr>
        <w:t>(</w:t>
      </w:r>
      <w:r>
        <w:rPr>
          <w:rFonts w:hint="eastAsia" w:ascii="黑体" w:hAnsi="黑体" w:eastAsia="黑体" w:cs="黑体"/>
          <w:b w:val="0"/>
          <w:bCs w:val="0"/>
          <w:color w:val="auto"/>
          <w:sz w:val="21"/>
          <w:szCs w:val="21"/>
          <w:lang w:val="en-US" w:eastAsia="zh-CN"/>
        </w:rPr>
        <w:t>29</w:t>
      </w:r>
      <w:r>
        <w:rPr>
          <w:rFonts w:hint="eastAsia" w:ascii="黑体" w:hAnsi="黑体" w:eastAsia="黑体" w:cs="黑体"/>
          <w:b w:val="0"/>
          <w:bCs w:val="0"/>
          <w:color w:val="auto"/>
          <w:sz w:val="21"/>
          <w:szCs w:val="21"/>
        </w:rPr>
        <w:t>)</w:t>
      </w:r>
    </w:p>
    <w:p>
      <w:pPr>
        <w:rPr>
          <w:rFonts w:hint="eastAsia" w:ascii="黑体" w:hAnsi="黑体" w:eastAsia="黑体" w:cs="黑体"/>
          <w:b w:val="0"/>
          <w:bCs w:val="0"/>
          <w:color w:val="auto"/>
          <w:sz w:val="21"/>
          <w:szCs w:val="21"/>
          <w:lang w:eastAsia="zh-CN"/>
        </w:rPr>
      </w:pPr>
      <w:r>
        <w:rPr>
          <w:rFonts w:hint="eastAsia" w:ascii="黑体" w:hAnsi="黑体" w:eastAsia="黑体" w:cs="黑体"/>
          <w:b w:val="0"/>
          <w:bCs w:val="0"/>
          <w:color w:val="auto"/>
          <w:sz w:val="21"/>
          <w:szCs w:val="21"/>
        </w:rPr>
        <w:t>式中</w:t>
      </w:r>
      <w:r>
        <w:rPr>
          <w:rFonts w:hint="eastAsia" w:ascii="黑体" w:hAnsi="黑体" w:eastAsia="黑体" w:cs="黑体"/>
          <w:b w:val="0"/>
          <w:bCs w:val="0"/>
          <w:color w:val="auto"/>
          <w:sz w:val="21"/>
          <w:szCs w:val="21"/>
          <w:lang w:eastAsia="zh-CN"/>
        </w:rPr>
        <w:t>：</w:t>
      </w:r>
      <w:r>
        <w:rPr>
          <w:rFonts w:hint="eastAsia" w:ascii="黑体" w:hAnsi="黑体" w:eastAsia="黑体" w:cs="黑体"/>
          <w:b w:val="0"/>
          <w:bCs w:val="0"/>
          <w:color w:val="auto"/>
          <w:position w:val="-14"/>
          <w:sz w:val="21"/>
          <w:szCs w:val="21"/>
        </w:rPr>
        <w:object>
          <v:shape id="_x0000_i1062" o:spt="75" type="#_x0000_t75" style="height:19pt;width:15pt;" o:ole="t" filled="f" o:preferrelative="t" stroked="f" coordsize="21600,21600">
            <v:path/>
            <v:fill on="f" focussize="0,0"/>
            <v:stroke on="f"/>
            <v:imagedata r:id="rId181" o:title=""/>
            <o:lock v:ext="edit" aspectratio="t"/>
            <w10:wrap type="none"/>
            <w10:anchorlock/>
          </v:shape>
          <o:OLEObject Type="Embed" ProgID="Equation.KSEE3" ShapeID="_x0000_i1062" DrawAspect="Content" ObjectID="_1468075735" r:id="rId180">
            <o:LockedField>false</o:LockedField>
          </o:OLEObject>
        </w:object>
      </w:r>
      <w:r>
        <w:rPr>
          <w:rFonts w:hint="eastAsia" w:ascii="黑体" w:hAnsi="黑体" w:eastAsia="黑体" w:cs="黑体"/>
          <w:b w:val="0"/>
          <w:bCs w:val="0"/>
          <w:color w:val="auto"/>
          <w:sz w:val="21"/>
          <w:szCs w:val="21"/>
        </w:rPr>
        <w:t>、</w:t>
      </w:r>
      <w:r>
        <w:rPr>
          <w:rFonts w:hint="eastAsia" w:ascii="黑体" w:hAnsi="黑体" w:eastAsia="黑体" w:cs="黑体"/>
          <w:b w:val="0"/>
          <w:bCs w:val="0"/>
          <w:color w:val="auto"/>
          <w:position w:val="-14"/>
          <w:sz w:val="21"/>
          <w:szCs w:val="21"/>
        </w:rPr>
        <w:object>
          <v:shape id="_x0000_i1063" o:spt="75" type="#_x0000_t75" style="height:19pt;width:17pt;" o:ole="t" filled="f" o:preferrelative="t" stroked="f" coordsize="21600,21600">
            <v:path/>
            <v:fill on="f" focussize="0,0"/>
            <v:stroke on="f"/>
            <v:imagedata r:id="rId183" o:title=""/>
            <o:lock v:ext="edit" aspectratio="t"/>
            <w10:wrap type="none"/>
            <w10:anchorlock/>
          </v:shape>
          <o:OLEObject Type="Embed" ProgID="Equation.KSEE3" ShapeID="_x0000_i1063" DrawAspect="Content" ObjectID="_1468075736" r:id="rId182">
            <o:LockedField>false</o:LockedField>
          </o:OLEObject>
        </w:object>
      </w:r>
      <w:r>
        <w:rPr>
          <w:rFonts w:hint="eastAsia" w:ascii="黑体" w:hAnsi="黑体" w:eastAsia="黑体" w:cs="黑体"/>
          <w:b w:val="0"/>
          <w:bCs w:val="0"/>
          <w:color w:val="auto"/>
          <w:sz w:val="21"/>
          <w:szCs w:val="21"/>
        </w:rPr>
        <w:t xml:space="preserve"> </w:t>
      </w:r>
      <w:r>
        <w:rPr>
          <w:rFonts w:hint="eastAsia" w:ascii="黑体" w:hAnsi="黑体" w:eastAsia="黑体" w:cs="黑体"/>
          <w:b w:val="0"/>
          <w:bCs w:val="0"/>
          <w:color w:val="auto"/>
          <w:sz w:val="21"/>
          <w:szCs w:val="21"/>
          <w:lang w:eastAsia="zh-CN"/>
        </w:rPr>
        <w:t>——</w:t>
      </w:r>
      <w:r>
        <w:rPr>
          <w:rFonts w:hint="eastAsia" w:ascii="黑体" w:hAnsi="黑体" w:eastAsia="黑体" w:cs="黑体"/>
          <w:b w:val="0"/>
          <w:bCs w:val="0"/>
          <w:color w:val="auto"/>
          <w:sz w:val="21"/>
          <w:szCs w:val="21"/>
        </w:rPr>
        <w:t>直杆段、螺纹段提钻速度（m/min）</w:t>
      </w:r>
      <w:r>
        <w:rPr>
          <w:rFonts w:hint="eastAsia" w:ascii="黑体" w:hAnsi="黑体" w:eastAsia="黑体" w:cs="黑体"/>
          <w:b w:val="0"/>
          <w:bCs w:val="0"/>
          <w:color w:val="auto"/>
          <w:sz w:val="21"/>
          <w:szCs w:val="21"/>
          <w:lang w:eastAsia="zh-CN"/>
        </w:rPr>
        <w:t>；</w:t>
      </w:r>
    </w:p>
    <w:p>
      <w:pPr>
        <w:ind w:firstLine="420" w:firstLineChars="200"/>
        <w:rPr>
          <w:rFonts w:hint="eastAsia" w:ascii="黑体" w:hAnsi="黑体" w:eastAsia="黑体" w:cs="黑体"/>
          <w:b w:val="0"/>
          <w:bCs w:val="0"/>
          <w:color w:val="auto"/>
          <w:sz w:val="21"/>
          <w:szCs w:val="21"/>
        </w:rPr>
      </w:pPr>
      <w:r>
        <w:rPr>
          <w:rFonts w:hint="eastAsia" w:ascii="黑体" w:hAnsi="黑体" w:eastAsia="黑体" w:cs="黑体"/>
          <w:b w:val="0"/>
          <w:bCs w:val="0"/>
          <w:color w:val="auto"/>
          <w:position w:val="-10"/>
          <w:sz w:val="21"/>
          <w:szCs w:val="21"/>
        </w:rPr>
        <w:object>
          <v:shape id="_x0000_i1064" o:spt="75" type="#_x0000_t75" style="height:13pt;width:12pt;" o:ole="t" filled="f" o:preferrelative="t" stroked="f" coordsize="21600,21600">
            <v:path/>
            <v:fill on="f" focussize="0,0"/>
            <v:stroke on="f"/>
            <v:imagedata r:id="rId185" o:title=""/>
            <o:lock v:ext="edit" aspectratio="t"/>
            <w10:wrap type="none"/>
            <w10:anchorlock/>
          </v:shape>
          <o:OLEObject Type="Embed" ProgID="Equation.KSEE3" ShapeID="_x0000_i1064" DrawAspect="Content" ObjectID="_1468075737" r:id="rId184">
            <o:LockedField>false</o:LockedField>
          </o:OLEObject>
        </w:object>
      </w:r>
      <w:r>
        <w:rPr>
          <w:rFonts w:hint="eastAsia" w:ascii="黑体" w:hAnsi="黑体" w:eastAsia="黑体" w:cs="黑体"/>
          <w:b w:val="0"/>
          <w:bCs w:val="0"/>
          <w:color w:val="auto"/>
          <w:sz w:val="21"/>
          <w:szCs w:val="21"/>
        </w:rPr>
        <w:t xml:space="preserve"> </w:t>
      </w:r>
      <w:r>
        <w:rPr>
          <w:rFonts w:hint="eastAsia" w:ascii="黑体" w:hAnsi="黑体" w:eastAsia="黑体" w:cs="黑体"/>
          <w:b w:val="0"/>
          <w:bCs w:val="0"/>
          <w:color w:val="auto"/>
          <w:sz w:val="21"/>
          <w:szCs w:val="21"/>
          <w:lang w:eastAsia="zh-CN"/>
        </w:rPr>
        <w:t>——</w:t>
      </w:r>
      <w:r>
        <w:rPr>
          <w:rFonts w:hint="eastAsia" w:ascii="黑体" w:hAnsi="黑体" w:eastAsia="黑体" w:cs="黑体"/>
          <w:b w:val="0"/>
          <w:bCs w:val="0"/>
          <w:color w:val="auto"/>
          <w:sz w:val="21"/>
          <w:szCs w:val="21"/>
        </w:rPr>
        <w:t>混凝土泵填充系数，一般可取0.7~0.8；</w:t>
      </w:r>
    </w:p>
    <w:p>
      <w:pPr>
        <w:keepNext w:val="0"/>
        <w:keepLines w:val="0"/>
        <w:pageBreakBefore w:val="0"/>
        <w:widowControl w:val="0"/>
        <w:kinsoku/>
        <w:wordWrap/>
        <w:overflowPunct/>
        <w:topLinePunct w:val="0"/>
        <w:autoSpaceDE/>
        <w:autoSpaceDN/>
        <w:bidi w:val="0"/>
        <w:adjustRightInd/>
        <w:snapToGrid/>
        <w:ind w:left="1050" w:leftChars="200" w:hanging="630" w:hangingChars="300"/>
        <w:textAlignment w:val="auto"/>
        <w:rPr>
          <w:rFonts w:hint="eastAsia" w:ascii="黑体" w:hAnsi="黑体" w:eastAsia="黑体" w:cs="黑体"/>
          <w:b w:val="0"/>
          <w:bCs w:val="0"/>
          <w:color w:val="auto"/>
          <w:sz w:val="21"/>
          <w:szCs w:val="21"/>
        </w:rPr>
      </w:pPr>
      <w:r>
        <w:rPr>
          <w:rFonts w:hint="eastAsia" w:ascii="黑体" w:hAnsi="黑体" w:eastAsia="黑体" w:cs="黑体"/>
          <w:b w:val="0"/>
          <w:bCs w:val="0"/>
          <w:color w:val="auto"/>
          <w:position w:val="-6"/>
          <w:sz w:val="21"/>
          <w:szCs w:val="21"/>
        </w:rPr>
        <w:object>
          <v:shape id="_x0000_i1065" o:spt="75" type="#_x0000_t75" style="height:11pt;width:10pt;" o:ole="t" filled="f" o:preferrelative="t" stroked="f" coordsize="21600,21600">
            <v:path/>
            <v:fill on="f" focussize="0,0"/>
            <v:stroke on="f"/>
            <v:imagedata r:id="rId187" o:title=""/>
            <o:lock v:ext="edit" aspectratio="t"/>
            <w10:wrap type="none"/>
            <w10:anchorlock/>
          </v:shape>
          <o:OLEObject Type="Embed" ProgID="Equation.KSEE3" ShapeID="_x0000_i1065" DrawAspect="Content" ObjectID="_1468075738" r:id="rId186">
            <o:LockedField>false</o:LockedField>
          </o:OLEObject>
        </w:object>
      </w:r>
      <w:r>
        <w:rPr>
          <w:rFonts w:hint="eastAsia" w:ascii="黑体" w:hAnsi="黑体" w:eastAsia="黑体" w:cs="黑体"/>
          <w:b w:val="0"/>
          <w:bCs w:val="0"/>
          <w:color w:val="auto"/>
          <w:sz w:val="21"/>
          <w:szCs w:val="21"/>
          <w:lang w:eastAsia="zh-CN"/>
        </w:rPr>
        <w:t>——</w:t>
      </w:r>
      <w:r>
        <w:rPr>
          <w:rFonts w:hint="eastAsia" w:ascii="黑体" w:hAnsi="黑体" w:eastAsia="黑体" w:cs="黑体"/>
          <w:b w:val="0"/>
          <w:bCs w:val="0"/>
          <w:color w:val="auto"/>
          <w:sz w:val="21"/>
          <w:szCs w:val="21"/>
        </w:rPr>
        <w:t>泵送速度（泵/min）,一般为8~12泵/min，混凝土泵行程较大时取低值；</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黑体" w:eastAsia="黑体" w:cs="黑体"/>
          <w:b w:val="0"/>
          <w:bCs w:val="0"/>
          <w:color w:val="auto"/>
          <w:sz w:val="21"/>
          <w:szCs w:val="21"/>
        </w:rPr>
      </w:pPr>
      <w:r>
        <w:rPr>
          <w:rFonts w:hint="eastAsia" w:ascii="黑体" w:hAnsi="黑体" w:eastAsia="黑体" w:cs="黑体"/>
          <w:b w:val="0"/>
          <w:bCs w:val="0"/>
          <w:color w:val="auto"/>
          <w:position w:val="-6"/>
          <w:sz w:val="21"/>
          <w:szCs w:val="21"/>
        </w:rPr>
        <w:object>
          <v:shape id="_x0000_i1066" o:spt="75" type="#_x0000_t75" style="height:13.95pt;width:12pt;" o:ole="t" filled="f" o:preferrelative="t" stroked="f" coordsize="21600,21600">
            <v:path/>
            <v:fill on="f" focussize="0,0"/>
            <v:stroke on="f"/>
            <v:imagedata r:id="rId189" o:title=""/>
            <o:lock v:ext="edit" aspectratio="t"/>
            <w10:wrap type="none"/>
            <w10:anchorlock/>
          </v:shape>
          <o:OLEObject Type="Embed" ProgID="Equation.KSEE3" ShapeID="_x0000_i1066" DrawAspect="Content" ObjectID="_1468075739" r:id="rId188">
            <o:LockedField>false</o:LockedField>
          </o:OLEObject>
        </w:object>
      </w:r>
      <w:r>
        <w:rPr>
          <w:rFonts w:hint="eastAsia" w:ascii="黑体" w:hAnsi="黑体" w:eastAsia="黑体" w:cs="黑体"/>
          <w:b w:val="0"/>
          <w:bCs w:val="0"/>
          <w:color w:val="auto"/>
          <w:sz w:val="21"/>
          <w:szCs w:val="21"/>
          <w:lang w:eastAsia="zh-CN"/>
        </w:rPr>
        <w:t>——</w:t>
      </w:r>
      <w:r>
        <w:rPr>
          <w:rFonts w:hint="eastAsia" w:ascii="黑体" w:hAnsi="黑体" w:eastAsia="黑体" w:cs="黑体"/>
          <w:b w:val="0"/>
          <w:bCs w:val="0"/>
          <w:color w:val="auto"/>
          <w:sz w:val="21"/>
          <w:szCs w:val="21"/>
        </w:rPr>
        <w:t>每泵理论体积（m³），根据混凝土泵缸径和行程计算；</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黑体" w:eastAsia="黑体" w:cs="黑体"/>
          <w:b w:val="0"/>
          <w:bCs w:val="0"/>
          <w:color w:val="auto"/>
          <w:sz w:val="21"/>
          <w:szCs w:val="21"/>
        </w:rPr>
      </w:pPr>
      <w:r>
        <w:rPr>
          <w:rFonts w:hint="eastAsia" w:ascii="黑体" w:hAnsi="黑体" w:eastAsia="黑体" w:cs="黑体"/>
          <w:b w:val="0"/>
          <w:bCs w:val="0"/>
          <w:color w:val="auto"/>
          <w:position w:val="-6"/>
          <w:sz w:val="21"/>
          <w:szCs w:val="21"/>
        </w:rPr>
        <w:object>
          <v:shape id="_x0000_i1067" o:spt="75" type="#_x0000_t75" style="height:13.95pt;width:11pt;" o:ole="t" filled="f" o:preferrelative="t" stroked="f" coordsize="21600,21600">
            <v:path/>
            <v:fill on="f" focussize="0,0"/>
            <v:stroke on="f"/>
            <v:imagedata r:id="rId191" o:title=""/>
            <o:lock v:ext="edit" aspectratio="t"/>
            <w10:wrap type="none"/>
            <w10:anchorlock/>
          </v:shape>
          <o:OLEObject Type="Embed" ProgID="Equation.KSEE3" ShapeID="_x0000_i1067" DrawAspect="Content" ObjectID="_1468075740" r:id="rId190">
            <o:LockedField>false</o:LockedField>
          </o:OLEObject>
        </w:object>
      </w:r>
      <w:r>
        <w:rPr>
          <w:rFonts w:hint="eastAsia" w:ascii="黑体" w:hAnsi="黑体" w:eastAsia="黑体" w:cs="黑体"/>
          <w:b w:val="0"/>
          <w:bCs w:val="0"/>
          <w:color w:val="auto"/>
          <w:sz w:val="21"/>
          <w:szCs w:val="21"/>
          <w:lang w:eastAsia="zh-CN"/>
        </w:rPr>
        <w:t>——</w:t>
      </w:r>
      <w:r>
        <w:rPr>
          <w:rFonts w:hint="eastAsia" w:ascii="黑体" w:hAnsi="黑体" w:eastAsia="黑体" w:cs="黑体"/>
          <w:b w:val="0"/>
          <w:bCs w:val="0"/>
          <w:color w:val="auto"/>
          <w:sz w:val="21"/>
          <w:szCs w:val="21"/>
        </w:rPr>
        <w:t>充盈系数；</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黑体" w:eastAsia="黑体" w:cs="黑体"/>
          <w:b w:val="0"/>
          <w:bCs w:val="0"/>
          <w:color w:val="auto"/>
          <w:sz w:val="21"/>
          <w:szCs w:val="21"/>
          <w:lang w:eastAsia="zh-CN"/>
        </w:rPr>
      </w:pPr>
      <w:r>
        <w:rPr>
          <w:rFonts w:hint="eastAsia" w:ascii="黑体" w:hAnsi="黑体" w:eastAsia="黑体" w:cs="黑体"/>
          <w:b w:val="0"/>
          <w:bCs w:val="0"/>
          <w:color w:val="auto"/>
          <w:position w:val="-14"/>
          <w:sz w:val="21"/>
          <w:szCs w:val="21"/>
        </w:rPr>
        <w:object>
          <v:shape id="_x0000_i1068" o:spt="75" type="#_x0000_t75" style="height:19pt;width:16pt;" o:ole="t" filled="f" o:preferrelative="t" stroked="f" coordsize="21600,21600">
            <v:path/>
            <v:fill on="f" focussize="0,0"/>
            <v:stroke on="f"/>
            <v:imagedata r:id="rId193" o:title=""/>
            <o:lock v:ext="edit" aspectratio="t"/>
            <w10:wrap type="none"/>
            <w10:anchorlock/>
          </v:shape>
          <o:OLEObject Type="Embed" ProgID="Equation.KSEE3" ShapeID="_x0000_i1068" DrawAspect="Content" ObjectID="_1468075741" r:id="rId192">
            <o:LockedField>false</o:LockedField>
          </o:OLEObject>
        </w:object>
      </w:r>
      <w:r>
        <w:rPr>
          <w:rFonts w:hint="eastAsia" w:ascii="黑体" w:hAnsi="黑体" w:eastAsia="黑体" w:cs="黑体"/>
          <w:b w:val="0"/>
          <w:bCs w:val="0"/>
          <w:color w:val="auto"/>
          <w:sz w:val="21"/>
          <w:szCs w:val="21"/>
        </w:rPr>
        <w:t>、</w:t>
      </w:r>
      <w:r>
        <w:rPr>
          <w:rFonts w:hint="eastAsia" w:ascii="黑体" w:hAnsi="黑体" w:eastAsia="黑体" w:cs="黑体"/>
          <w:b w:val="0"/>
          <w:bCs w:val="0"/>
          <w:color w:val="auto"/>
          <w:position w:val="-14"/>
          <w:sz w:val="21"/>
          <w:szCs w:val="21"/>
        </w:rPr>
        <w:object>
          <v:shape id="_x0000_i1069" o:spt="75" type="#_x0000_t75" style="height:19pt;width:19pt;" o:ole="t" filled="f" o:preferrelative="t" stroked="f" coordsize="21600,21600">
            <v:path/>
            <v:fill on="f" focussize="0,0"/>
            <v:stroke on="f"/>
            <v:imagedata r:id="rId195" o:title=""/>
            <o:lock v:ext="edit" aspectratio="t"/>
            <w10:wrap type="none"/>
            <w10:anchorlock/>
          </v:shape>
          <o:OLEObject Type="Embed" ProgID="Equation.KSEE3" ShapeID="_x0000_i1069" DrawAspect="Content" ObjectID="_1468075742" r:id="rId194">
            <o:LockedField>false</o:LockedField>
          </o:OLEObject>
        </w:object>
      </w:r>
      <w:r>
        <w:rPr>
          <w:rFonts w:hint="eastAsia" w:ascii="黑体" w:hAnsi="黑体" w:eastAsia="黑体" w:cs="黑体"/>
          <w:b w:val="0"/>
          <w:bCs w:val="0"/>
          <w:color w:val="auto"/>
          <w:sz w:val="21"/>
          <w:szCs w:val="21"/>
          <w:lang w:eastAsia="zh-CN"/>
        </w:rPr>
        <w:t>——</w:t>
      </w:r>
      <w:r>
        <w:rPr>
          <w:rFonts w:hint="eastAsia" w:ascii="黑体" w:hAnsi="黑体" w:eastAsia="黑体" w:cs="黑体"/>
          <w:b w:val="0"/>
          <w:bCs w:val="0"/>
          <w:color w:val="auto"/>
          <w:sz w:val="21"/>
          <w:szCs w:val="21"/>
        </w:rPr>
        <w:t>直杆段、螺纹段横截面积（㎡）</w:t>
      </w:r>
      <w:r>
        <w:rPr>
          <w:rFonts w:hint="eastAsia" w:ascii="黑体" w:hAnsi="黑体" w:eastAsia="黑体" w:cs="黑体"/>
          <w:b w:val="0"/>
          <w:bCs w:val="0"/>
          <w:color w:val="auto"/>
          <w:sz w:val="21"/>
          <w:szCs w:val="21"/>
          <w:lang w:eastAsia="zh-CN"/>
        </w:rPr>
        <w:t>。</w:t>
      </w:r>
    </w:p>
    <w:p>
      <w:pPr>
        <w:pStyle w:val="237"/>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b w:val="0"/>
          <w:bCs w:val="0"/>
          <w:color w:val="auto"/>
          <w:sz w:val="21"/>
          <w:szCs w:val="21"/>
          <w:lang w:val="en-US" w:eastAsia="zh-CN" w:bidi="en-US"/>
        </w:rPr>
      </w:pPr>
      <w:r>
        <w:rPr>
          <w:rFonts w:hint="eastAsia" w:ascii="黑体" w:hAnsi="黑体" w:eastAsia="黑体" w:cs="黑体"/>
          <w:b w:val="0"/>
          <w:bCs w:val="0"/>
          <w:color w:val="auto"/>
          <w:sz w:val="21"/>
          <w:szCs w:val="21"/>
          <w:lang w:val="en-US" w:eastAsia="zh-CN" w:bidi="en-US"/>
        </w:rPr>
        <w:t>8.4.9  螺杆灌注桩技术选用混凝土泵的标准行程一般有14m、1.6m、1.8m三种规格，行程大时选用较低的泵速，且泵速应在施工前打4~6空泵并计时测算但一般情况下每泵均有一定的填充率，这与泵的性能、老化程度以及混凝土坍落度等都有关系，一般可达到70~80%，泵型适合、保养良好、坍落度理想的状况下可达95%以上。</w:t>
      </w:r>
    </w:p>
    <w:p>
      <w:pPr>
        <w:pStyle w:val="237"/>
        <w:spacing w:line="240" w:lineRule="auto"/>
        <w:jc w:val="left"/>
        <w:rPr>
          <w:rFonts w:hint="eastAsia" w:ascii="黑体" w:hAnsi="黑体" w:eastAsia="黑体" w:cs="黑体"/>
          <w:b w:val="0"/>
          <w:bCs w:val="0"/>
          <w:color w:val="auto"/>
          <w:sz w:val="21"/>
          <w:szCs w:val="21"/>
          <w:lang w:val="en-US" w:eastAsia="zh-CN"/>
        </w:rPr>
      </w:pPr>
      <w:r>
        <w:rPr>
          <w:rFonts w:hint="eastAsia" w:ascii="黑体" w:hAnsi="黑体" w:eastAsia="黑体" w:cs="黑体"/>
          <w:b w:val="0"/>
          <w:bCs w:val="0"/>
          <w:color w:val="auto"/>
          <w:sz w:val="21"/>
          <w:szCs w:val="21"/>
          <w:lang w:val="en-US" w:eastAsia="zh-CN" w:bidi="en-US"/>
        </w:rPr>
        <w:t xml:space="preserve">8.4.10  </w:t>
      </w:r>
      <w:r>
        <w:rPr>
          <w:rFonts w:hint="eastAsia" w:ascii="黑体" w:hAnsi="黑体" w:eastAsia="黑体" w:cs="黑体"/>
          <w:b w:val="0"/>
          <w:bCs w:val="0"/>
          <w:color w:val="auto"/>
          <w:sz w:val="21"/>
          <w:szCs w:val="21"/>
          <w:lang w:val="en-US" w:eastAsia="zh-CN"/>
        </w:rPr>
        <w:t>后插筋工艺对钢筋笼的要求与传统工艺有所不同，由此需要借助平板振动器，绑扎节点可能在插筋过程中被振散，因此所有节点均要求采用焊接连接。</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黑体" w:eastAsia="黑体" w:cs="黑体"/>
          <w:b w:val="0"/>
          <w:bCs w:val="0"/>
          <w:color w:val="auto"/>
          <w:kern w:val="2"/>
          <w:sz w:val="21"/>
          <w:szCs w:val="21"/>
          <w:u w:val="none"/>
          <w:shd w:val="clear" w:color="auto" w:fill="auto"/>
          <w:lang w:val="en-US" w:eastAsia="zh-CN" w:bidi="zh-TW"/>
        </w:rPr>
      </w:pPr>
      <w:r>
        <w:rPr>
          <w:rFonts w:hint="eastAsia" w:ascii="黑体" w:hAnsi="黑体" w:eastAsia="黑体" w:cs="黑体"/>
          <w:b w:val="0"/>
          <w:bCs w:val="0"/>
          <w:color w:val="auto"/>
          <w:kern w:val="2"/>
          <w:sz w:val="21"/>
          <w:szCs w:val="21"/>
          <w:u w:val="none"/>
          <w:shd w:val="clear" w:color="auto" w:fill="auto"/>
          <w:lang w:val="en-US" w:eastAsia="zh-CN" w:bidi="zh-TW"/>
        </w:rPr>
        <w:t>钢筋笼后插筋工艺除满足国家相关规范要求外，还应满足以下要求：</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黑体" w:eastAsia="黑体" w:cs="黑体"/>
          <w:b w:val="0"/>
          <w:bCs w:val="0"/>
          <w:color w:val="auto"/>
          <w:kern w:val="2"/>
          <w:sz w:val="21"/>
          <w:szCs w:val="21"/>
          <w:u w:val="none"/>
          <w:shd w:val="clear" w:color="auto" w:fill="auto"/>
          <w:lang w:val="en-US" w:eastAsia="zh-CN" w:bidi="zh-TW"/>
        </w:rPr>
      </w:pPr>
      <w:r>
        <w:rPr>
          <w:rFonts w:hint="eastAsia" w:ascii="黑体" w:hAnsi="黑体" w:eastAsia="黑体" w:cs="黑体"/>
          <w:b w:val="0"/>
          <w:bCs w:val="0"/>
          <w:color w:val="auto"/>
          <w:kern w:val="2"/>
          <w:sz w:val="21"/>
          <w:szCs w:val="21"/>
          <w:u w:val="none"/>
          <w:shd w:val="clear" w:color="auto" w:fill="auto"/>
          <w:lang w:val="en-US" w:eastAsia="zh-CN" w:bidi="zh-TW"/>
        </w:rPr>
        <w:t>1  插筋前清理桩头、钢筋笼上的杂物、泥土；</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黑体" w:eastAsia="黑体" w:cs="黑体"/>
          <w:b w:val="0"/>
          <w:bCs w:val="0"/>
          <w:color w:val="auto"/>
          <w:sz w:val="21"/>
          <w:szCs w:val="21"/>
          <w:lang w:val="en-US" w:eastAsia="zh-CN"/>
        </w:rPr>
      </w:pPr>
      <w:r>
        <w:rPr>
          <w:rFonts w:hint="eastAsia" w:ascii="黑体" w:hAnsi="黑体" w:eastAsia="黑体" w:cs="黑体"/>
          <w:b w:val="0"/>
          <w:bCs w:val="0"/>
          <w:color w:val="auto"/>
          <w:kern w:val="2"/>
          <w:sz w:val="21"/>
          <w:szCs w:val="21"/>
          <w:u w:val="none"/>
          <w:shd w:val="clear" w:color="auto" w:fill="auto"/>
          <w:lang w:val="en-US" w:eastAsia="zh-CN" w:bidi="zh-TW"/>
        </w:rPr>
        <w:t>2  插筋过程中应慢放、点动并不断调整垂直度。</w:t>
      </w:r>
    </w:p>
    <w:p>
      <w:pPr>
        <w:pStyle w:val="56"/>
        <w:ind w:left="0" w:leftChars="0" w:firstLine="0" w:firstLineChars="0"/>
        <w:rPr>
          <w:rFonts w:hint="eastAsia" w:ascii="黑体" w:hAnsi="黑体" w:eastAsia="黑体" w:cs="黑体"/>
          <w:b w:val="0"/>
          <w:bCs w:val="0"/>
          <w:szCs w:val="21"/>
          <w:lang w:val="en-US" w:eastAsia="zh-CN"/>
        </w:rPr>
      </w:pPr>
    </w:p>
    <w:p>
      <w:pPr>
        <w:pStyle w:val="56"/>
        <w:ind w:left="0" w:leftChars="0" w:firstLine="0" w:firstLineChars="0"/>
        <w:rPr>
          <w:rFonts w:hint="eastAsia" w:ascii="黑体" w:hAnsi="黑体" w:eastAsia="黑体" w:cs="黑体"/>
          <w:b w:val="0"/>
          <w:bCs w:val="0"/>
          <w:szCs w:val="21"/>
          <w:lang w:val="en-US" w:eastAsia="zh-CN"/>
        </w:rPr>
      </w:pPr>
    </w:p>
    <w:p>
      <w:pPr>
        <w:pStyle w:val="56"/>
        <w:ind w:left="0" w:leftChars="0" w:firstLine="0" w:firstLineChars="0"/>
        <w:rPr>
          <w:rFonts w:hint="eastAsia" w:ascii="黑体" w:hAnsi="黑体" w:eastAsia="黑体" w:cs="黑体"/>
          <w:b w:val="0"/>
          <w:bCs w:val="0"/>
          <w:szCs w:val="21"/>
          <w:lang w:val="en-US" w:eastAsia="zh-CN"/>
        </w:rPr>
      </w:pPr>
      <w:r>
        <w:rPr>
          <w:rFonts w:hint="eastAsia" w:ascii="黑体" w:hAnsi="黑体" w:eastAsia="黑体" w:cs="黑体"/>
          <w:b w:val="0"/>
          <w:bCs w:val="0"/>
          <w:szCs w:val="21"/>
          <w:lang w:val="en-US" w:eastAsia="zh-CN"/>
        </w:rPr>
        <w:t>9 质量检验与验收</w:t>
      </w:r>
    </w:p>
    <w:p>
      <w:pPr>
        <w:pStyle w:val="238"/>
        <w:keepNext w:val="0"/>
        <w:keepLines w:val="0"/>
        <w:pageBreakBefore w:val="0"/>
        <w:widowControl w:val="0"/>
        <w:kinsoku/>
        <w:wordWrap/>
        <w:overflowPunct/>
        <w:topLinePunct w:val="0"/>
        <w:autoSpaceDE/>
        <w:autoSpaceDN/>
        <w:bidi w:val="0"/>
        <w:adjustRightInd/>
        <w:snapToGrid/>
        <w:spacing w:before="329" w:beforeLines="100" w:after="329" w:afterLines="100" w:line="288" w:lineRule="auto"/>
        <w:jc w:val="both"/>
        <w:textAlignment w:val="auto"/>
        <w:outlineLvl w:val="1"/>
        <w:rPr>
          <w:rFonts w:hint="eastAsia" w:ascii="黑体" w:hAnsi="黑体" w:eastAsia="黑体" w:cs="黑体"/>
          <w:b w:val="0"/>
          <w:bCs w:val="0"/>
          <w:color w:val="auto"/>
          <w:sz w:val="24"/>
          <w:szCs w:val="24"/>
          <w:lang w:val="en-US" w:eastAsia="zh-CN"/>
        </w:rPr>
      </w:pPr>
      <w:bookmarkStart w:id="228" w:name="_Toc16652"/>
      <w:r>
        <w:rPr>
          <w:rFonts w:hint="eastAsia" w:ascii="黑体" w:hAnsi="黑体" w:eastAsia="黑体" w:cs="黑体"/>
          <w:b w:val="0"/>
          <w:bCs w:val="0"/>
          <w:color w:val="auto"/>
          <w:kern w:val="2"/>
          <w:sz w:val="21"/>
          <w:szCs w:val="21"/>
          <w:lang w:val="en-US" w:eastAsia="zh-CN" w:bidi="ar-SA"/>
        </w:rPr>
        <w:t>9.1  一般规定</w:t>
      </w:r>
      <w:bookmarkEnd w:id="228"/>
    </w:p>
    <w:p>
      <w:pPr>
        <w:pStyle w:val="237"/>
        <w:spacing w:after="120" w:line="240" w:lineRule="auto"/>
        <w:rPr>
          <w:rFonts w:hint="eastAsia" w:ascii="黑体" w:hAnsi="黑体" w:eastAsia="黑体" w:cs="黑体"/>
          <w:b w:val="0"/>
          <w:bCs w:val="0"/>
          <w:color w:val="auto"/>
          <w:sz w:val="21"/>
          <w:szCs w:val="21"/>
          <w:lang w:eastAsia="zh-CN"/>
        </w:rPr>
      </w:pPr>
      <w:r>
        <w:rPr>
          <w:rFonts w:hint="eastAsia" w:ascii="黑体" w:hAnsi="黑体" w:eastAsia="黑体" w:cs="黑体"/>
          <w:b w:val="0"/>
          <w:bCs w:val="0"/>
          <w:color w:val="auto"/>
          <w:sz w:val="21"/>
          <w:szCs w:val="21"/>
          <w:lang w:val="en-US" w:eastAsia="zh-CN"/>
        </w:rPr>
        <w:t xml:space="preserve">9.1.1  </w:t>
      </w:r>
      <w:r>
        <w:rPr>
          <w:rFonts w:hint="eastAsia" w:ascii="黑体" w:hAnsi="黑体" w:eastAsia="黑体" w:cs="黑体"/>
          <w:b w:val="0"/>
          <w:bCs w:val="0"/>
          <w:color w:val="auto"/>
          <w:sz w:val="21"/>
          <w:szCs w:val="21"/>
        </w:rPr>
        <w:t xml:space="preserve">现行 </w:t>
      </w:r>
      <w:r>
        <w:rPr>
          <w:rFonts w:hint="eastAsia" w:ascii="黑体" w:hAnsi="黑体" w:eastAsia="黑体" w:cs="黑体"/>
          <w:b w:val="0"/>
          <w:bCs w:val="0"/>
          <w:color w:val="auto"/>
          <w:sz w:val="21"/>
          <w:szCs w:val="21"/>
          <w:lang w:val="en-US" w:eastAsia="zh-CN" w:bidi="en-US"/>
        </w:rPr>
        <w:t>GB50202</w:t>
      </w:r>
      <w:r>
        <w:rPr>
          <w:rFonts w:hint="eastAsia" w:ascii="黑体" w:hAnsi="黑体" w:eastAsia="黑体" w:cs="黑体"/>
          <w:b w:val="0"/>
          <w:bCs w:val="0"/>
          <w:color w:val="auto"/>
          <w:sz w:val="21"/>
          <w:szCs w:val="21"/>
        </w:rPr>
        <w:t>和</w:t>
      </w:r>
      <w:r>
        <w:rPr>
          <w:rFonts w:hint="eastAsia" w:ascii="黑体" w:hAnsi="黑体" w:eastAsia="黑体" w:cs="黑体"/>
          <w:b w:val="0"/>
          <w:bCs w:val="0"/>
          <w:color w:val="auto"/>
          <w:sz w:val="21"/>
          <w:szCs w:val="21"/>
          <w:lang w:val="en-US" w:eastAsia="zh-CN" w:bidi="en-US"/>
        </w:rPr>
        <w:t>JGJ106</w:t>
      </w:r>
      <w:r>
        <w:rPr>
          <w:rFonts w:hint="eastAsia" w:ascii="黑体" w:hAnsi="黑体" w:eastAsia="黑体" w:cs="黑体"/>
          <w:b w:val="0"/>
          <w:bCs w:val="0"/>
          <w:color w:val="auto"/>
          <w:sz w:val="21"/>
          <w:szCs w:val="21"/>
        </w:rPr>
        <w:t>以强制性条文规定必须对基桩承载力和桩身完整性进行检验。桩身质量与基桩承载力密切相关，桩身质量有时会严重影响基桩承载力，桩身质量检测抽样率较高，费用较低。通过检测可减少桩基安全隐患，并可为判定基桩承载力提供参考</w:t>
      </w:r>
      <w:r>
        <w:rPr>
          <w:rFonts w:hint="eastAsia" w:ascii="黑体" w:hAnsi="黑体" w:eastAsia="黑体" w:cs="黑体"/>
          <w:b w:val="0"/>
          <w:bCs w:val="0"/>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before="313" w:beforeLines="100" w:after="313" w:afterLines="100"/>
        <w:jc w:val="both"/>
        <w:textAlignment w:val="auto"/>
        <w:outlineLvl w:val="1"/>
        <w:rPr>
          <w:rFonts w:hint="eastAsia" w:ascii="黑体" w:hAnsi="黑体" w:eastAsia="黑体" w:cs="黑体"/>
          <w:b w:val="0"/>
          <w:bCs w:val="0"/>
          <w:color w:val="auto"/>
          <w:lang w:val="en-US" w:eastAsia="zh-CN"/>
        </w:rPr>
      </w:pPr>
      <w:bookmarkStart w:id="229" w:name="_Toc2484"/>
      <w:r>
        <w:rPr>
          <w:rFonts w:hint="eastAsia" w:ascii="黑体" w:hAnsi="黑体" w:eastAsia="黑体" w:cs="黑体"/>
          <w:b w:val="0"/>
          <w:bCs w:val="0"/>
          <w:color w:val="auto"/>
          <w:lang w:val="en-US" w:eastAsia="zh-CN"/>
        </w:rPr>
        <w:t>9.2  施工前检验</w:t>
      </w:r>
      <w:bookmarkEnd w:id="229"/>
    </w:p>
    <w:p>
      <w:pPr>
        <w:pStyle w:val="237"/>
        <w:spacing w:after="120" w:line="240" w:lineRule="auto"/>
        <w:jc w:val="left"/>
        <w:rPr>
          <w:rFonts w:hint="eastAsia" w:ascii="黑体" w:hAnsi="黑体" w:eastAsia="黑体" w:cs="黑体"/>
          <w:b w:val="0"/>
          <w:bCs w:val="0"/>
          <w:color w:val="auto"/>
          <w:sz w:val="21"/>
          <w:szCs w:val="21"/>
          <w:lang w:eastAsia="zh-CN"/>
        </w:rPr>
      </w:pPr>
      <w:r>
        <w:rPr>
          <w:rFonts w:hint="eastAsia" w:ascii="黑体" w:hAnsi="黑体" w:eastAsia="黑体" w:cs="黑体"/>
          <w:b w:val="0"/>
          <w:bCs w:val="0"/>
          <w:color w:val="auto"/>
          <w:sz w:val="21"/>
          <w:szCs w:val="21"/>
          <w:lang w:val="en-US" w:eastAsia="zh-CN"/>
        </w:rPr>
        <w:t xml:space="preserve">9.2.3  </w:t>
      </w:r>
      <w:r>
        <w:rPr>
          <w:rFonts w:hint="eastAsia" w:ascii="黑体" w:hAnsi="黑体" w:eastAsia="黑体" w:cs="黑体"/>
          <w:b w:val="0"/>
          <w:bCs w:val="0"/>
          <w:color w:val="auto"/>
          <w:sz w:val="21"/>
          <w:szCs w:val="21"/>
        </w:rPr>
        <w:t>本条规定的试桩数量仅仅是下限，若实际中由于某些原因不足以为设计提供可靠依据或设计另有要求时，可根据实际情况增加试桩数量。另外，如果施工时桩参数发生了较大变动或施工工艺发生了变化，应重新试桩。对于大型工程，</w:t>
      </w:r>
      <w:r>
        <w:rPr>
          <w:rFonts w:hint="eastAsia" w:ascii="黑体" w:hAnsi="黑体" w:eastAsia="黑体" w:cs="黑体"/>
          <w:b w:val="0"/>
          <w:bCs w:val="0"/>
          <w:color w:val="auto"/>
          <w:sz w:val="21"/>
          <w:szCs w:val="21"/>
          <w:lang w:val="zh-CN" w:eastAsia="zh-CN" w:bidi="zh-CN"/>
        </w:rPr>
        <w:t>“同条</w:t>
      </w:r>
      <w:r>
        <w:rPr>
          <w:rFonts w:hint="eastAsia" w:ascii="黑体" w:hAnsi="黑体" w:eastAsia="黑体" w:cs="黑体"/>
          <w:b w:val="0"/>
          <w:bCs w:val="0"/>
          <w:color w:val="auto"/>
          <w:sz w:val="21"/>
          <w:szCs w:val="21"/>
        </w:rPr>
        <w:t>件下” 可能包含若干个子单位工程（子分部工程）</w:t>
      </w:r>
      <w:r>
        <w:rPr>
          <w:rFonts w:hint="eastAsia" w:ascii="黑体" w:hAnsi="黑体" w:eastAsia="黑体" w:cs="黑体"/>
          <w:b w:val="0"/>
          <w:bCs w:val="0"/>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before="313" w:beforeLines="100" w:after="313" w:afterLines="100"/>
        <w:jc w:val="both"/>
        <w:textAlignment w:val="auto"/>
        <w:outlineLvl w:val="1"/>
        <w:rPr>
          <w:rFonts w:hint="eastAsia" w:ascii="黑体" w:hAnsi="黑体" w:eastAsia="黑体" w:cs="黑体"/>
          <w:b w:val="0"/>
          <w:bCs w:val="0"/>
          <w:color w:val="auto"/>
          <w:lang w:val="en-US" w:eastAsia="zh-CN"/>
        </w:rPr>
      </w:pPr>
      <w:bookmarkStart w:id="230" w:name="_Toc29475"/>
      <w:r>
        <w:rPr>
          <w:rFonts w:hint="eastAsia" w:ascii="黑体" w:hAnsi="黑体" w:eastAsia="黑体" w:cs="黑体"/>
          <w:b w:val="0"/>
          <w:bCs w:val="0"/>
          <w:color w:val="auto"/>
          <w:lang w:val="en-US" w:eastAsia="zh-CN"/>
        </w:rPr>
        <w:t>9.4  施工后检验</w:t>
      </w:r>
      <w:bookmarkEnd w:id="230"/>
    </w:p>
    <w:p>
      <w:pPr>
        <w:pStyle w:val="237"/>
        <w:spacing w:after="120" w:line="240" w:lineRule="auto"/>
        <w:jc w:val="left"/>
        <w:rPr>
          <w:rFonts w:hint="eastAsia" w:ascii="黑体" w:hAnsi="黑体" w:eastAsia="黑体" w:cs="黑体"/>
          <w:b w:val="0"/>
          <w:bCs w:val="0"/>
          <w:color w:val="auto"/>
          <w:sz w:val="21"/>
          <w:szCs w:val="21"/>
          <w:lang w:eastAsia="zh-CN"/>
        </w:rPr>
      </w:pPr>
      <w:r>
        <w:rPr>
          <w:rFonts w:hint="eastAsia" w:ascii="黑体" w:hAnsi="黑体" w:eastAsia="黑体" w:cs="黑体"/>
          <w:b w:val="0"/>
          <w:bCs w:val="0"/>
          <w:color w:val="auto"/>
          <w:sz w:val="21"/>
          <w:szCs w:val="21"/>
          <w:lang w:val="en-US" w:eastAsia="zh-CN"/>
        </w:rPr>
        <w:t xml:space="preserve">9.4.1~9.4.3  </w:t>
      </w:r>
      <w:r>
        <w:rPr>
          <w:rFonts w:hint="eastAsia" w:ascii="黑体" w:hAnsi="黑体" w:eastAsia="黑体" w:cs="黑体"/>
          <w:b w:val="0"/>
          <w:bCs w:val="0"/>
          <w:color w:val="auto"/>
          <w:sz w:val="21"/>
          <w:szCs w:val="21"/>
        </w:rPr>
        <w:t>桩基工程属于一个单位工程的分部（子分部）工程中的分项工程，一般以分项工程单独验收。所以本规范限定的工程桩承载力验收检测范围是在一个单位工程内。本条同时规定了在何种条件下工程桩应进行单桩竖向抗压静载试验及检测数量底限</w:t>
      </w:r>
      <w:r>
        <w:rPr>
          <w:rFonts w:hint="eastAsia" w:ascii="黑体" w:hAnsi="黑体" w:eastAsia="黑体" w:cs="黑体"/>
          <w:b w:val="0"/>
          <w:bCs w:val="0"/>
          <w:color w:val="auto"/>
          <w:sz w:val="21"/>
          <w:szCs w:val="21"/>
          <w:lang w:eastAsia="zh-CN"/>
        </w:rPr>
        <w:t>。</w:t>
      </w:r>
    </w:p>
    <w:p>
      <w:pPr>
        <w:pStyle w:val="239"/>
        <w:adjustRightInd/>
        <w:spacing w:line="240" w:lineRule="auto"/>
        <w:ind w:firstLine="0" w:firstLineChars="0"/>
        <w:rPr>
          <w:rFonts w:hint="eastAsia" w:ascii="黑体" w:hAnsi="黑体" w:eastAsia="黑体" w:cs="黑体"/>
          <w:b w:val="0"/>
          <w:bCs w:val="0"/>
          <w:szCs w:val="21"/>
        </w:rPr>
      </w:pPr>
      <w:r>
        <w:rPr>
          <w:rFonts w:hint="eastAsia" w:ascii="黑体" w:hAnsi="黑体" w:eastAsia="黑体" w:cs="黑体"/>
          <w:b w:val="0"/>
          <w:bCs w:val="0"/>
          <w:color w:val="auto"/>
          <w:sz w:val="21"/>
          <w:szCs w:val="21"/>
          <w:lang w:val="en-US" w:eastAsia="zh-CN"/>
        </w:rPr>
        <w:t xml:space="preserve">9.4.4~9.4.6  </w:t>
      </w:r>
      <w:r>
        <w:rPr>
          <w:rFonts w:hint="eastAsia" w:ascii="黑体" w:hAnsi="黑体" w:eastAsia="黑体" w:cs="黑体"/>
          <w:b w:val="0"/>
          <w:bCs w:val="0"/>
          <w:color w:val="auto"/>
          <w:sz w:val="21"/>
          <w:szCs w:val="21"/>
        </w:rPr>
        <w:t>对于具体的检测项目，应根据检测目的、内容和要求，结合各检测方法的适用范围和检测能力，考虑工程重要性、设计要求、地质条件、施工因素等情况选择检测方法和检测数量。影响桩基承载力和桩身质量的因素存在于桩基施工的全过程中，仅有施工后的试验和施工后的验收是不全面、不完整的。 桩基施工中出现的局部地质条件与勘察报告不符、工程桩施工参数与施工前的试验参数</w:t>
      </w:r>
      <w:r>
        <w:rPr>
          <w:rFonts w:hint="eastAsia" w:ascii="黑体" w:hAnsi="黑体" w:eastAsia="黑体" w:cs="黑体"/>
          <w:b w:val="0"/>
          <w:bCs w:val="0"/>
          <w:color w:val="auto"/>
          <w:sz w:val="21"/>
          <w:szCs w:val="21"/>
          <w:lang w:eastAsia="zh-CN"/>
        </w:rPr>
        <w:t>不</w:t>
      </w:r>
      <w:r>
        <w:rPr>
          <w:rFonts w:hint="eastAsia" w:ascii="黑体" w:hAnsi="黑体" w:eastAsia="黑体" w:cs="黑体"/>
          <w:b w:val="0"/>
          <w:bCs w:val="0"/>
          <w:color w:val="auto"/>
          <w:sz w:val="21"/>
          <w:szCs w:val="21"/>
        </w:rPr>
        <w:t>同、原材料发生变化、设计变更、施工单位变更等情况，都可能产生质量隐患，因此加强施工过程中的 检验是有必要的。不同阶段的检验要求可参照现行</w:t>
      </w:r>
      <w:r>
        <w:rPr>
          <w:rFonts w:hint="eastAsia" w:ascii="黑体" w:hAnsi="黑体" w:eastAsia="黑体" w:cs="黑体"/>
          <w:b w:val="0"/>
          <w:bCs w:val="0"/>
          <w:color w:val="auto"/>
          <w:sz w:val="21"/>
          <w:szCs w:val="21"/>
          <w:lang w:val="en-US" w:eastAsia="zh-CN" w:bidi="en-US"/>
        </w:rPr>
        <w:t>GB50202</w:t>
      </w:r>
      <w:r>
        <w:rPr>
          <w:rFonts w:hint="eastAsia" w:ascii="黑体" w:hAnsi="黑体" w:eastAsia="黑体" w:cs="黑体"/>
          <w:b w:val="0"/>
          <w:bCs w:val="0"/>
          <w:color w:val="auto"/>
          <w:sz w:val="21"/>
          <w:szCs w:val="21"/>
        </w:rPr>
        <w:t>和现行</w:t>
      </w:r>
      <w:r>
        <w:rPr>
          <w:rFonts w:hint="eastAsia" w:ascii="黑体" w:hAnsi="黑体" w:eastAsia="黑体" w:cs="黑体"/>
          <w:b w:val="0"/>
          <w:bCs w:val="0"/>
          <w:color w:val="auto"/>
          <w:sz w:val="21"/>
          <w:szCs w:val="21"/>
          <w:lang w:val="en-US" w:eastAsia="zh-CN" w:bidi="en-US"/>
        </w:rPr>
        <w:t>JGJ106</w:t>
      </w:r>
      <w:r>
        <w:rPr>
          <w:rFonts w:hint="eastAsia" w:ascii="黑体" w:hAnsi="黑体" w:eastAsia="黑体" w:cs="黑体"/>
          <w:b w:val="0"/>
          <w:bCs w:val="0"/>
          <w:color w:val="auto"/>
          <w:sz w:val="21"/>
          <w:szCs w:val="21"/>
        </w:rPr>
        <w:t>执行</w:t>
      </w:r>
      <w:r>
        <w:rPr>
          <w:rFonts w:hint="eastAsia" w:ascii="黑体" w:hAnsi="黑体" w:eastAsia="黑体" w:cs="黑体"/>
          <w:b w:val="0"/>
          <w:bCs w:val="0"/>
          <w:color w:val="auto"/>
          <w:sz w:val="21"/>
          <w:szCs w:val="21"/>
          <w:lang w:eastAsia="zh-CN"/>
        </w:rPr>
        <w:t>。</w:t>
      </w:r>
    </w:p>
    <w:p>
      <w:pPr>
        <w:pStyle w:val="56"/>
        <w:ind w:left="0" w:leftChars="0" w:firstLine="0" w:firstLineChars="0"/>
        <w:rPr>
          <w:rFonts w:hint="default" w:ascii="黑体" w:hAnsi="黑体" w:eastAsia="黑体" w:cs="黑体"/>
          <w:b w:val="0"/>
          <w:bCs w:val="0"/>
          <w:szCs w:val="21"/>
          <w:lang w:val="en-US" w:eastAsia="zh-CN"/>
        </w:rPr>
      </w:pPr>
    </w:p>
    <w:sectPr>
      <w:headerReference r:id="rId25" w:type="default"/>
      <w:footerReference r:id="rId27" w:type="default"/>
      <w:headerReference r:id="rId26" w:type="even"/>
      <w:footerReference r:id="rId28" w:type="even"/>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仿宋"/>
    <w:panose1 w:val="00000000000000000000"/>
    <w:charset w:val="86"/>
    <w:family w:val="roman"/>
    <w:pitch w:val="default"/>
    <w:sig w:usb0="00000000" w:usb1="00000000" w:usb2="00000000" w:usb3="00000000" w:csb0="00000000" w:csb1="00000000"/>
  </w:font>
  <w:font w:name="等线 Light">
    <w:altName w:val="仿宋"/>
    <w:panose1 w:val="00000000000000000000"/>
    <w:charset w:val="86"/>
    <w:family w:val="roman"/>
    <w:pitch w:val="default"/>
    <w:sig w:usb0="00000000" w:usb1="00000000" w:usb2="00000000" w:usb3="00000000" w:csb0="00000000" w:csb1="00000000"/>
  </w:font>
  <w:font w:name="MingLiU">
    <w:altName w:val="方正书宋_GBK"/>
    <w:panose1 w:val="02020509000000000000"/>
    <w:charset w:val="88"/>
    <w:family w:val="modern"/>
    <w:pitch w:val="default"/>
    <w:sig w:usb0="00000000" w:usb1="00000000" w:usb2="00000016" w:usb3="00000000" w:csb0="00100001" w:csb1="00000000"/>
  </w:font>
  <w:font w:name="Arial Unicode MS">
    <w:altName w:val="DejaVu Sans"/>
    <w:panose1 w:val="020B0604020202020204"/>
    <w:charset w:val="86"/>
    <w:family w:val="auto"/>
    <w:pitch w:val="default"/>
    <w:sig w:usb0="00000000" w:usb1="00000000" w:usb2="0000003F" w:usb3="00000000" w:csb0="603F01FF" w:csb1="FFFF0000"/>
  </w:font>
  <w:font w:name="Cambria Math">
    <w:altName w:val="DejaVu Math TeX Gyre"/>
    <w:panose1 w:val="02040503050406030204"/>
    <w:charset w:val="00"/>
    <w:family w:val="roman"/>
    <w:pitch w:val="default"/>
    <w:sig w:usb0="00000000" w:usb1="00000000" w:usb2="00000000" w:usb3="00000000" w:csb0="2000019F" w:csb1="00000000"/>
  </w:font>
  <w:font w:name="仿宋">
    <w:panose1 w:val="02010609060101010101"/>
    <w:charset w:val="86"/>
    <w:family w:val="auto"/>
    <w:pitch w:val="default"/>
    <w:sig w:usb0="800002BF" w:usb1="38CF7CFA" w:usb2="00000016" w:usb3="00000000" w:csb0="00040001" w:csb1="00000000"/>
  </w:font>
  <w:font w:name="Noto Sans CJK JP Bold">
    <w:panose1 w:val="020B0800000000000000"/>
    <w:charset w:val="86"/>
    <w:family w:val="auto"/>
    <w:pitch w:val="default"/>
    <w:sig w:usb0="30000003" w:usb1="2BDF3C10" w:usb2="00000016" w:usb3="00000000" w:csb0="602E0107"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II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12</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26</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mc:AlternateContent>
        <mc:Choice Requires="wps">
          <w:drawing>
            <wp:anchor distT="0" distB="0" distL="114300" distR="114300" simplePos="0" relativeHeight="251661312" behindDoc="0" locked="0" layoutInCell="1" allowOverlap="1">
              <wp:simplePos x="0" y="0"/>
              <wp:positionH relativeFrom="page">
                <wp:posOffset>719455</wp:posOffset>
              </wp:positionH>
              <wp:positionV relativeFrom="page">
                <wp:posOffset>6495415</wp:posOffset>
              </wp:positionV>
              <wp:extent cx="1828800" cy="1828800"/>
              <wp:effectExtent l="0" t="0" r="0" b="5080"/>
              <wp:wrapNone/>
              <wp:docPr id="359" name="文本框 35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52"/>
                          </w:pPr>
                          <w:r>
                            <w:fldChar w:fldCharType="begin"/>
                          </w:r>
                          <w:r>
                            <w:instrText xml:space="preserve">PAGE   \* MERGEFORMAT</w:instrText>
                          </w:r>
                          <w:r>
                            <w:fldChar w:fldCharType="separate"/>
                          </w:r>
                          <w:r>
                            <w:rPr>
                              <w:lang w:val="zh-CN"/>
                            </w:rPr>
                            <w:t>29</w:t>
                          </w:r>
                          <w:r>
                            <w:fldChar w:fldCharType="end"/>
                          </w:r>
                        </w:p>
                      </w:txbxContent>
                    </wps:txbx>
                    <wps:bodyPr rot="0" spcFirstLastPara="0" vertOverflow="overflow" horzOverflow="overflow" vert="eaVert" wrap="none" lIns="91440" tIns="45720" rIns="91440" bIns="45720" numCol="1" spcCol="0" rtlCol="0" fromWordArt="false" anchor="b" anchorCtr="false" forceAA="false" compatLnSpc="true">
                      <a:spAutoFit/>
                    </wps:bodyPr>
                  </wps:wsp>
                </a:graphicData>
              </a:graphic>
            </wp:anchor>
          </w:drawing>
        </mc:Choice>
        <mc:Fallback>
          <w:pict>
            <v:shape id="_x0000_s1026" o:spid="_x0000_s1026" o:spt="202" type="#_x0000_t202" style="position:absolute;left:0pt;margin-left:56.65pt;margin-top:511.45pt;height:144pt;width:144pt;mso-position-horizontal-relative:page;mso-position-vertical-relative:page;mso-wrap-style:none;z-index:251661312;v-text-anchor:bottom;mso-width-relative:page;mso-height-relative:page;" filled="f" stroked="f" coordsize="21600,21600" o:gfxdata="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FgAAAGRycy9QSwECFAAUAAAACACHTuJABCrVa9oAAAANAQAADwAAAAAAAAABACAAAAA4&#10;AAAAZHJzL2Rvd25yZXYueG1sUEsBAhQAFAAAAAgAh07iQNcbdVMrAgAAPQQAAA4AAAAAAAAAAQAg&#10;AAAAPwEAAGRycy9lMm9Eb2MueG1sUEsFBgAAAAAGAAYAWQEAANwFAAAAAA==&#10;">
              <v:fill on="f" focussize="0,0"/>
              <v:stroke on="f" weight="0.5pt"/>
              <v:imagedata o:title=""/>
              <o:lock v:ext="edit" aspectratio="f"/>
              <v:textbox style="layout-flow:vertical-ideographic;mso-fit-shape-to-text:t;">
                <w:txbxContent>
                  <w:p>
                    <w:pPr>
                      <w:pStyle w:val="52"/>
                    </w:pPr>
                    <w:r>
                      <w:fldChar w:fldCharType="begin"/>
                    </w:r>
                    <w:r>
                      <w:instrText xml:space="preserve">PAGE   \* MERGEFORMAT</w:instrText>
                    </w:r>
                    <w:r>
                      <w:fldChar w:fldCharType="separate"/>
                    </w:r>
                    <w:r>
                      <w:rPr>
                        <w:lang w:val="zh-CN"/>
                      </w:rPr>
                      <w:t>29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30</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26</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31</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26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 XX/T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 XX/T XXXX—XXXX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 XX/T XXXX—XXXX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 XX/T XXXX—XXXX</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mc:AlternateContent>
        <mc:Choice Requires="wps">
          <w:drawing>
            <wp:anchor distT="0" distB="0" distL="114300" distR="114300" simplePos="0" relativeHeight="251659264" behindDoc="0" locked="0" layoutInCell="1" allowOverlap="1">
              <wp:simplePos x="0" y="0"/>
              <wp:positionH relativeFrom="page">
                <wp:posOffset>9539605</wp:posOffset>
              </wp:positionH>
              <wp:positionV relativeFrom="page">
                <wp:posOffset>5514975</wp:posOffset>
              </wp:positionV>
              <wp:extent cx="1828800" cy="1828800"/>
              <wp:effectExtent l="0" t="0" r="0" b="0"/>
              <wp:wrapNone/>
              <wp:docPr id="358" name="文本框 35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1"/>
                          </w:pPr>
                          <w:r>
                            <w:fldChar w:fldCharType="begin"/>
                          </w:r>
                          <w:r>
                            <w:instrText xml:space="preserve"> STYLEREF  标准文件_文件编号  \* MERGEFORMAT </w:instrText>
                          </w:r>
                          <w:r>
                            <w:fldChar w:fldCharType="separate"/>
                          </w:r>
                          <w:r>
                            <w:t>DB XX/T XXXX—XXXX</w:t>
                          </w:r>
                          <w:r>
                            <w:fldChar w:fldCharType="end"/>
                          </w:r>
                        </w:p>
                      </w:txbxContent>
                    </wps:txbx>
                    <wps:bodyPr rot="0" spcFirstLastPara="0" vertOverflow="overflow" horzOverflow="overflow" vert="eaVert" wrap="none" lIns="91440" tIns="45720" rIns="91440" bIns="45720" numCol="1" spcCol="0" rtlCol="0" fromWordArt="false" anchor="b" anchorCtr="false" forceAA="false" compatLnSpc="true">
                      <a:spAutoFit/>
                    </wps:bodyPr>
                  </wps:wsp>
                </a:graphicData>
              </a:graphic>
            </wp:anchor>
          </w:drawing>
        </mc:Choice>
        <mc:Fallback>
          <w:pict>
            <v:shape id="_x0000_s1026" o:spid="_x0000_s1026" o:spt="202" type="#_x0000_t202" style="position:absolute;left:0pt;margin-left:751.15pt;margin-top:434.25pt;height:144pt;width:144pt;mso-position-horizontal-relative:page;mso-position-vertical-relative:page;mso-wrap-style:none;z-index:251659264;v-text-anchor:bottom;mso-width-relative:page;mso-height-relative:page;" filled="f" stroked="f" coordsize="21600,21600" o:gfxdata="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n0QIVd0AAAAOAQAADwAAAAAAAAABACAA&#10;AAA4AAAAZHJzL2Rvd25yZXYueG1sUEsBAhQAFAAAAAgAh07iQLuAizErAgAAPQQAAA4AAAAAAAAA&#10;AQAgAAAAQgEAAGRycy9lMm9Eb2MueG1sUEsFBgAAAAAGAAYAWQEAAN8FAAAAAA==&#10;">
              <v:fill on="f" focussize="0,0"/>
              <v:stroke on="f" weight="0.5pt"/>
              <v:imagedata o:title=""/>
              <o:lock v:ext="edit" aspectratio="f"/>
              <v:textbox style="layout-flow:vertical-ideographic;mso-fit-shape-to-text:t;">
                <w:txbxContent>
                  <w:p>
                    <w:pPr>
                      <w:pStyle w:val="61"/>
                    </w:pPr>
                    <w:r>
                      <w:fldChar w:fldCharType="begin"/>
                    </w:r>
                    <w:r>
                      <w:instrText xml:space="preserve"> STYLEREF  标准文件_文件编号  \* MERGEFORMAT </w:instrText>
                    </w:r>
                    <w:r>
                      <w:fldChar w:fldCharType="separate"/>
                    </w:r>
                    <w:r>
                      <w:t>DB XX/T XXXX—XXXX</w:t>
                    </w:r>
                    <w:r>
                      <w:fldChar w:fldCharType="end"/>
                    </w:r>
                  </w:p>
                </w:txbxContent>
              </v:textbox>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 XX/T XXXX—XXXX</w:t>
    </w:r>
    <w: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 XX/T XXXX—XXXX</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 XX/T XXXX—XXXX</w:t>
    </w:r>
    <w: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 XX/T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2965540"/>
    <w:multiLevelType w:val="multilevel"/>
    <w:tmpl w:val="62965540"/>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1">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2">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4537"/>
        </w:tabs>
        <w:ind w:left="-4537" w:hanging="567"/>
      </w:pPr>
    </w:lvl>
    <w:lvl w:ilvl="2" w:tentative="0">
      <w:start w:val="1"/>
      <w:numFmt w:val="decimal"/>
      <w:lvlText w:val="%1.%2.%3"/>
      <w:lvlJc w:val="left"/>
      <w:pPr>
        <w:tabs>
          <w:tab w:val="left" w:pos="-4112"/>
        </w:tabs>
        <w:ind w:left="-4112" w:hanging="567"/>
      </w:pPr>
    </w:lvl>
    <w:lvl w:ilvl="3" w:tentative="0">
      <w:start w:val="1"/>
      <w:numFmt w:val="decimal"/>
      <w:lvlText w:val="%1.%2.%3.%4"/>
      <w:lvlJc w:val="left"/>
      <w:pPr>
        <w:tabs>
          <w:tab w:val="left" w:pos="-3545"/>
        </w:tabs>
        <w:ind w:left="-3545" w:hanging="708"/>
      </w:pPr>
    </w:lvl>
    <w:lvl w:ilvl="4" w:tentative="0">
      <w:start w:val="1"/>
      <w:numFmt w:val="decimal"/>
      <w:lvlText w:val="%1.%2.%3.%4.%5"/>
      <w:lvlJc w:val="left"/>
      <w:pPr>
        <w:tabs>
          <w:tab w:val="left" w:pos="-2978"/>
        </w:tabs>
        <w:ind w:left="-2978" w:hanging="850"/>
      </w:pPr>
    </w:lvl>
    <w:lvl w:ilvl="5" w:tentative="0">
      <w:start w:val="1"/>
      <w:numFmt w:val="decimal"/>
      <w:lvlText w:val="%1.%2.%3.%4.%5.%6"/>
      <w:lvlJc w:val="left"/>
      <w:pPr>
        <w:tabs>
          <w:tab w:val="left" w:pos="-2269"/>
        </w:tabs>
        <w:ind w:left="-2269" w:hanging="1134"/>
      </w:pPr>
    </w:lvl>
    <w:lvl w:ilvl="6" w:tentative="0">
      <w:start w:val="1"/>
      <w:numFmt w:val="decimal"/>
      <w:lvlText w:val="%1.%2.%3.%4.%5.%6.%7"/>
      <w:lvlJc w:val="left"/>
      <w:pPr>
        <w:tabs>
          <w:tab w:val="left" w:pos="-1702"/>
        </w:tabs>
        <w:ind w:left="-1702" w:hanging="1276"/>
      </w:pPr>
    </w:lvl>
    <w:lvl w:ilvl="7" w:tentative="0">
      <w:start w:val="1"/>
      <w:numFmt w:val="decimal"/>
      <w:lvlText w:val="%1.%2.%3.%4.%5.%6.%7.%8"/>
      <w:lvlJc w:val="left"/>
      <w:pPr>
        <w:tabs>
          <w:tab w:val="left" w:pos="-1135"/>
        </w:tabs>
        <w:ind w:left="-1135" w:hanging="1418"/>
      </w:pPr>
    </w:lvl>
    <w:lvl w:ilvl="8" w:tentative="0">
      <w:start w:val="1"/>
      <w:numFmt w:val="decimal"/>
      <w:lvlText w:val="%1.%2.%3.%4.%5.%6.%7.%8.%9"/>
      <w:lvlJc w:val="left"/>
      <w:pPr>
        <w:tabs>
          <w:tab w:val="left" w:pos="-427"/>
        </w:tabs>
        <w:ind w:left="-427" w:hanging="1700"/>
      </w:pPr>
    </w:lvl>
  </w:abstractNum>
  <w:abstractNum w:abstractNumId="23">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4">
    <w:nsid w:val="657D3FBC"/>
    <w:multiLevelType w:val="multilevel"/>
    <w:tmpl w:val="657D3FBC"/>
    <w:lvl w:ilvl="0" w:tentative="0">
      <w:start w:val="1"/>
      <w:numFmt w:val="upperLetter"/>
      <w:pStyle w:val="76"/>
      <w:suff w:val="nothing"/>
      <w:lvlText w:val="附录%1"/>
      <w:lvlJc w:val="left"/>
      <w:pPr>
        <w:ind w:left="1135"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6">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8"/>
  </w:num>
  <w:num w:numId="6">
    <w:abstractNumId w:val="13"/>
  </w:num>
  <w:num w:numId="7">
    <w:abstractNumId w:val="8"/>
  </w:num>
  <w:num w:numId="8">
    <w:abstractNumId w:val="3"/>
  </w:num>
  <w:num w:numId="9">
    <w:abstractNumId w:val="9"/>
  </w:num>
  <w:num w:numId="10">
    <w:abstractNumId w:val="16"/>
  </w:num>
  <w:num w:numId="11">
    <w:abstractNumId w:val="26"/>
  </w:num>
  <w:num w:numId="12">
    <w:abstractNumId w:val="11"/>
  </w:num>
  <w:num w:numId="13">
    <w:abstractNumId w:val="12"/>
  </w:num>
  <w:num w:numId="14">
    <w:abstractNumId w:val="7"/>
  </w:num>
  <w:num w:numId="15">
    <w:abstractNumId w:val="19"/>
  </w:num>
  <w:num w:numId="16">
    <w:abstractNumId w:val="22"/>
  </w:num>
  <w:num w:numId="17">
    <w:abstractNumId w:val="17"/>
  </w:num>
  <w:num w:numId="18">
    <w:abstractNumId w:val="30"/>
  </w:num>
  <w:num w:numId="19">
    <w:abstractNumId w:val="15"/>
  </w:num>
  <w:num w:numId="20">
    <w:abstractNumId w:val="1"/>
  </w:num>
  <w:num w:numId="21">
    <w:abstractNumId w:val="10"/>
  </w:num>
  <w:num w:numId="22">
    <w:abstractNumId w:val="31"/>
  </w:num>
  <w:num w:numId="23">
    <w:abstractNumId w:val="21"/>
  </w:num>
  <w:num w:numId="24">
    <w:abstractNumId w:val="6"/>
  </w:num>
  <w:num w:numId="25">
    <w:abstractNumId w:val="27"/>
  </w:num>
  <w:num w:numId="26">
    <w:abstractNumId w:val="29"/>
  </w:num>
  <w:num w:numId="27">
    <w:abstractNumId w:val="2"/>
  </w:num>
  <w:num w:numId="28">
    <w:abstractNumId w:val="4"/>
  </w:num>
  <w:num w:numId="29">
    <w:abstractNumId w:val="14"/>
  </w:num>
  <w:num w:numId="30">
    <w:abstractNumId w:val="25"/>
  </w:num>
  <w:num w:numId="31">
    <w:abstractNumId w:val="23"/>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attachedTemplate r:id="rId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g5MWI1NzZlMDE5ZjBkOGE1NjE2Y2UyZGZlOGY1YzUifQ=="/>
  </w:docVars>
  <w:rsids>
    <w:rsidRoot w:val="00947A08"/>
    <w:rsid w:val="0000040A"/>
    <w:rsid w:val="00000A94"/>
    <w:rsid w:val="00001972"/>
    <w:rsid w:val="00001D9A"/>
    <w:rsid w:val="00004685"/>
    <w:rsid w:val="00007B3A"/>
    <w:rsid w:val="000107E0"/>
    <w:rsid w:val="00011FDE"/>
    <w:rsid w:val="00012FFD"/>
    <w:rsid w:val="0001300E"/>
    <w:rsid w:val="00014162"/>
    <w:rsid w:val="00014340"/>
    <w:rsid w:val="00016A9C"/>
    <w:rsid w:val="00020593"/>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23"/>
    <w:rsid w:val="000515DD"/>
    <w:rsid w:val="0005265A"/>
    <w:rsid w:val="000539DD"/>
    <w:rsid w:val="00053BD3"/>
    <w:rsid w:val="000556ED"/>
    <w:rsid w:val="00055FE2"/>
    <w:rsid w:val="0005616F"/>
    <w:rsid w:val="00060C2E"/>
    <w:rsid w:val="00061033"/>
    <w:rsid w:val="000619E9"/>
    <w:rsid w:val="000622D4"/>
    <w:rsid w:val="0006357D"/>
    <w:rsid w:val="00063627"/>
    <w:rsid w:val="00066A5E"/>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1D66"/>
    <w:rsid w:val="000D329A"/>
    <w:rsid w:val="000D4B9C"/>
    <w:rsid w:val="000D4EB6"/>
    <w:rsid w:val="000D753B"/>
    <w:rsid w:val="000E4C9E"/>
    <w:rsid w:val="000E6FD7"/>
    <w:rsid w:val="000F06E1"/>
    <w:rsid w:val="000F0E3C"/>
    <w:rsid w:val="000F19D5"/>
    <w:rsid w:val="000F4AEA"/>
    <w:rsid w:val="000F630F"/>
    <w:rsid w:val="000F633F"/>
    <w:rsid w:val="000F67E9"/>
    <w:rsid w:val="00104926"/>
    <w:rsid w:val="00111ED1"/>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B81"/>
    <w:rsid w:val="00176DFD"/>
    <w:rsid w:val="001852C9"/>
    <w:rsid w:val="00190087"/>
    <w:rsid w:val="001913C4"/>
    <w:rsid w:val="0019348F"/>
    <w:rsid w:val="00193A07"/>
    <w:rsid w:val="00194C95"/>
    <w:rsid w:val="00195C34"/>
    <w:rsid w:val="00195F95"/>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78F"/>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E02"/>
    <w:rsid w:val="00247F52"/>
    <w:rsid w:val="00250B25"/>
    <w:rsid w:val="00250BBE"/>
    <w:rsid w:val="002515C2"/>
    <w:rsid w:val="0025194F"/>
    <w:rsid w:val="00255C15"/>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642"/>
    <w:rsid w:val="002C7EBB"/>
    <w:rsid w:val="002D06C1"/>
    <w:rsid w:val="002D42B5"/>
    <w:rsid w:val="002D4F1A"/>
    <w:rsid w:val="002D6EC6"/>
    <w:rsid w:val="002D79AC"/>
    <w:rsid w:val="002E039D"/>
    <w:rsid w:val="002E4CB9"/>
    <w:rsid w:val="002E4D5A"/>
    <w:rsid w:val="002E6326"/>
    <w:rsid w:val="002F30E0"/>
    <w:rsid w:val="002F35E4"/>
    <w:rsid w:val="002F3730"/>
    <w:rsid w:val="002F38E1"/>
    <w:rsid w:val="002F7AF6"/>
    <w:rsid w:val="00300E63"/>
    <w:rsid w:val="00302F5F"/>
    <w:rsid w:val="0030441D"/>
    <w:rsid w:val="0030479C"/>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5C39"/>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1EFA"/>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4DD8"/>
    <w:rsid w:val="00435DF7"/>
    <w:rsid w:val="0044083F"/>
    <w:rsid w:val="00441AE7"/>
    <w:rsid w:val="0044345B"/>
    <w:rsid w:val="00445574"/>
    <w:rsid w:val="004467FB"/>
    <w:rsid w:val="00452D6B"/>
    <w:rsid w:val="00454484"/>
    <w:rsid w:val="0045517B"/>
    <w:rsid w:val="00463737"/>
    <w:rsid w:val="00463B77"/>
    <w:rsid w:val="00463C7B"/>
    <w:rsid w:val="004644A6"/>
    <w:rsid w:val="004659BD"/>
    <w:rsid w:val="00470775"/>
    <w:rsid w:val="00473A96"/>
    <w:rsid w:val="004746B1"/>
    <w:rsid w:val="0047583F"/>
    <w:rsid w:val="00475DE8"/>
    <w:rsid w:val="00481C44"/>
    <w:rsid w:val="00484936"/>
    <w:rsid w:val="00485C89"/>
    <w:rsid w:val="00485D65"/>
    <w:rsid w:val="00486BE3"/>
    <w:rsid w:val="004905E4"/>
    <w:rsid w:val="00490A89"/>
    <w:rsid w:val="00490AB4"/>
    <w:rsid w:val="00492F02"/>
    <w:rsid w:val="004939AE"/>
    <w:rsid w:val="004A12DF"/>
    <w:rsid w:val="004A17E6"/>
    <w:rsid w:val="004A1BA8"/>
    <w:rsid w:val="004A4B57"/>
    <w:rsid w:val="004A63FA"/>
    <w:rsid w:val="004A7F78"/>
    <w:rsid w:val="004B0272"/>
    <w:rsid w:val="004B2701"/>
    <w:rsid w:val="004B2E1B"/>
    <w:rsid w:val="004B3AA8"/>
    <w:rsid w:val="004B3E93"/>
    <w:rsid w:val="004C113B"/>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02"/>
    <w:rsid w:val="005039BC"/>
    <w:rsid w:val="005043BB"/>
    <w:rsid w:val="00504A3D"/>
    <w:rsid w:val="00505767"/>
    <w:rsid w:val="005073F0"/>
    <w:rsid w:val="00510A7B"/>
    <w:rsid w:val="00512F6E"/>
    <w:rsid w:val="00513038"/>
    <w:rsid w:val="00514174"/>
    <w:rsid w:val="00516088"/>
    <w:rsid w:val="00516B0B"/>
    <w:rsid w:val="00517E88"/>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5672B"/>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19BB"/>
    <w:rsid w:val="005B4903"/>
    <w:rsid w:val="005B51CE"/>
    <w:rsid w:val="005B5885"/>
    <w:rsid w:val="005B5CD7"/>
    <w:rsid w:val="005B6CF6"/>
    <w:rsid w:val="005B7422"/>
    <w:rsid w:val="005C22A9"/>
    <w:rsid w:val="005C29B8"/>
    <w:rsid w:val="005C5F21"/>
    <w:rsid w:val="005C7156"/>
    <w:rsid w:val="005D0A32"/>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0597"/>
    <w:rsid w:val="006015CE"/>
    <w:rsid w:val="00604784"/>
    <w:rsid w:val="00606419"/>
    <w:rsid w:val="00607D29"/>
    <w:rsid w:val="00612952"/>
    <w:rsid w:val="00614CC1"/>
    <w:rsid w:val="00615A9D"/>
    <w:rsid w:val="00617387"/>
    <w:rsid w:val="00617B0F"/>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050A"/>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27FD0"/>
    <w:rsid w:val="007322D9"/>
    <w:rsid w:val="00732BC0"/>
    <w:rsid w:val="0073720F"/>
    <w:rsid w:val="00737796"/>
    <w:rsid w:val="0074165C"/>
    <w:rsid w:val="00742C35"/>
    <w:rsid w:val="007432CA"/>
    <w:rsid w:val="007439EB"/>
    <w:rsid w:val="00743CB4"/>
    <w:rsid w:val="00743F0A"/>
    <w:rsid w:val="0074435E"/>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32"/>
    <w:rsid w:val="0077008A"/>
    <w:rsid w:val="00770443"/>
    <w:rsid w:val="00773C1F"/>
    <w:rsid w:val="00774DA4"/>
    <w:rsid w:val="00776599"/>
    <w:rsid w:val="0078114B"/>
    <w:rsid w:val="00781DD2"/>
    <w:rsid w:val="00783ECF"/>
    <w:rsid w:val="0078413A"/>
    <w:rsid w:val="00790BD1"/>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6FA3"/>
    <w:rsid w:val="007B7453"/>
    <w:rsid w:val="007C1E8B"/>
    <w:rsid w:val="007C2D89"/>
    <w:rsid w:val="007C3D30"/>
    <w:rsid w:val="007C4593"/>
    <w:rsid w:val="007C5309"/>
    <w:rsid w:val="007C6069"/>
    <w:rsid w:val="007D06C4"/>
    <w:rsid w:val="007D1352"/>
    <w:rsid w:val="007D2508"/>
    <w:rsid w:val="007D346A"/>
    <w:rsid w:val="007D6518"/>
    <w:rsid w:val="007D6D8D"/>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0AB"/>
    <w:rsid w:val="008454F8"/>
    <w:rsid w:val="0085173A"/>
    <w:rsid w:val="00856316"/>
    <w:rsid w:val="008603CE"/>
    <w:rsid w:val="008620FC"/>
    <w:rsid w:val="008627A5"/>
    <w:rsid w:val="00863E05"/>
    <w:rsid w:val="00865ACA"/>
    <w:rsid w:val="00865D28"/>
    <w:rsid w:val="00865F85"/>
    <w:rsid w:val="00867C10"/>
    <w:rsid w:val="00870439"/>
    <w:rsid w:val="00870DA1"/>
    <w:rsid w:val="008722EB"/>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4CC1"/>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0A90"/>
    <w:rsid w:val="00902722"/>
    <w:rsid w:val="009027BC"/>
    <w:rsid w:val="009062E6"/>
    <w:rsid w:val="00911BE5"/>
    <w:rsid w:val="00913CA9"/>
    <w:rsid w:val="009145AE"/>
    <w:rsid w:val="009146CE"/>
    <w:rsid w:val="00914CA7"/>
    <w:rsid w:val="00915B76"/>
    <w:rsid w:val="00915C3E"/>
    <w:rsid w:val="009161A8"/>
    <w:rsid w:val="009245F5"/>
    <w:rsid w:val="009249EC"/>
    <w:rsid w:val="009273B3"/>
    <w:rsid w:val="009305B5"/>
    <w:rsid w:val="00937C6A"/>
    <w:rsid w:val="009429D5"/>
    <w:rsid w:val="00942BF1"/>
    <w:rsid w:val="00945180"/>
    <w:rsid w:val="00945428"/>
    <w:rsid w:val="0094607B"/>
    <w:rsid w:val="00947A08"/>
    <w:rsid w:val="00953604"/>
    <w:rsid w:val="0095496B"/>
    <w:rsid w:val="009610DC"/>
    <w:rsid w:val="00961490"/>
    <w:rsid w:val="0096381A"/>
    <w:rsid w:val="00965E04"/>
    <w:rsid w:val="009674AD"/>
    <w:rsid w:val="00970CDC"/>
    <w:rsid w:val="009743E0"/>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C6695"/>
    <w:rsid w:val="009D112C"/>
    <w:rsid w:val="009D47FA"/>
    <w:rsid w:val="009D4C5B"/>
    <w:rsid w:val="009D50D2"/>
    <w:rsid w:val="009D6BCA"/>
    <w:rsid w:val="009E0F62"/>
    <w:rsid w:val="009E4A58"/>
    <w:rsid w:val="009E5A2D"/>
    <w:rsid w:val="009E5AB2"/>
    <w:rsid w:val="009E6219"/>
    <w:rsid w:val="009F03B3"/>
    <w:rsid w:val="00A0096C"/>
    <w:rsid w:val="00A01757"/>
    <w:rsid w:val="00A024A4"/>
    <w:rsid w:val="00A028C0"/>
    <w:rsid w:val="00A02BAE"/>
    <w:rsid w:val="00A06A6B"/>
    <w:rsid w:val="00A07E47"/>
    <w:rsid w:val="00A129D0"/>
    <w:rsid w:val="00A12C33"/>
    <w:rsid w:val="00A138BA"/>
    <w:rsid w:val="00A14C8E"/>
    <w:rsid w:val="00A153D9"/>
    <w:rsid w:val="00A15F09"/>
    <w:rsid w:val="00A169B6"/>
    <w:rsid w:val="00A2271D"/>
    <w:rsid w:val="00A237D5"/>
    <w:rsid w:val="00A302C2"/>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13BE"/>
    <w:rsid w:val="00A51FFC"/>
    <w:rsid w:val="00A55BD6"/>
    <w:rsid w:val="00A55D50"/>
    <w:rsid w:val="00A5652C"/>
    <w:rsid w:val="00A57142"/>
    <w:rsid w:val="00A61746"/>
    <w:rsid w:val="00A648CD"/>
    <w:rsid w:val="00A6537A"/>
    <w:rsid w:val="00A67866"/>
    <w:rsid w:val="00A70B07"/>
    <w:rsid w:val="00A723F8"/>
    <w:rsid w:val="00A77CCB"/>
    <w:rsid w:val="00A83D8D"/>
    <w:rsid w:val="00A8446B"/>
    <w:rsid w:val="00A8473F"/>
    <w:rsid w:val="00A862D6"/>
    <w:rsid w:val="00A8715E"/>
    <w:rsid w:val="00A87A20"/>
    <w:rsid w:val="00A87F74"/>
    <w:rsid w:val="00A9295B"/>
    <w:rsid w:val="00A93B09"/>
    <w:rsid w:val="00A94247"/>
    <w:rsid w:val="00A952D7"/>
    <w:rsid w:val="00A963F7"/>
    <w:rsid w:val="00A96AD8"/>
    <w:rsid w:val="00AA052C"/>
    <w:rsid w:val="00AA1E45"/>
    <w:rsid w:val="00AA4286"/>
    <w:rsid w:val="00AA456B"/>
    <w:rsid w:val="00AA57F5"/>
    <w:rsid w:val="00AA672E"/>
    <w:rsid w:val="00AA6EC9"/>
    <w:rsid w:val="00AB0CF5"/>
    <w:rsid w:val="00AB29E8"/>
    <w:rsid w:val="00AB41D5"/>
    <w:rsid w:val="00AB516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3D4"/>
    <w:rsid w:val="00AE070A"/>
    <w:rsid w:val="00AE101C"/>
    <w:rsid w:val="00AE37E5"/>
    <w:rsid w:val="00AE5EB4"/>
    <w:rsid w:val="00AF0C18"/>
    <w:rsid w:val="00AF1656"/>
    <w:rsid w:val="00AF47C5"/>
    <w:rsid w:val="00AF5398"/>
    <w:rsid w:val="00AF5CAB"/>
    <w:rsid w:val="00B049AF"/>
    <w:rsid w:val="00B07242"/>
    <w:rsid w:val="00B10534"/>
    <w:rsid w:val="00B113DB"/>
    <w:rsid w:val="00B11D8A"/>
    <w:rsid w:val="00B12981"/>
    <w:rsid w:val="00B147DD"/>
    <w:rsid w:val="00B156FD"/>
    <w:rsid w:val="00B21F61"/>
    <w:rsid w:val="00B261F1"/>
    <w:rsid w:val="00B265BC"/>
    <w:rsid w:val="00B27079"/>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B7FA1"/>
    <w:rsid w:val="00BC1A4E"/>
    <w:rsid w:val="00BC4790"/>
    <w:rsid w:val="00BC5DC7"/>
    <w:rsid w:val="00BC6B8B"/>
    <w:rsid w:val="00BC73D8"/>
    <w:rsid w:val="00BD21A0"/>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06CEA"/>
    <w:rsid w:val="00C103E5"/>
    <w:rsid w:val="00C1227D"/>
    <w:rsid w:val="00C13319"/>
    <w:rsid w:val="00C13EE9"/>
    <w:rsid w:val="00C21540"/>
    <w:rsid w:val="00C21906"/>
    <w:rsid w:val="00C21BFA"/>
    <w:rsid w:val="00C22148"/>
    <w:rsid w:val="00C231B7"/>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258F"/>
    <w:rsid w:val="00C6329F"/>
    <w:rsid w:val="00C63340"/>
    <w:rsid w:val="00C643F9"/>
    <w:rsid w:val="00C64E95"/>
    <w:rsid w:val="00C70EA3"/>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00B1"/>
    <w:rsid w:val="00D3032E"/>
    <w:rsid w:val="00D32719"/>
    <w:rsid w:val="00D33333"/>
    <w:rsid w:val="00D33457"/>
    <w:rsid w:val="00D352A2"/>
    <w:rsid w:val="00D3660F"/>
    <w:rsid w:val="00D4162B"/>
    <w:rsid w:val="00D439A3"/>
    <w:rsid w:val="00D4514F"/>
    <w:rsid w:val="00D451E2"/>
    <w:rsid w:val="00D45E89"/>
    <w:rsid w:val="00D45E8D"/>
    <w:rsid w:val="00D466AE"/>
    <w:rsid w:val="00D4734F"/>
    <w:rsid w:val="00D51BF3"/>
    <w:rsid w:val="00D66846"/>
    <w:rsid w:val="00D675FB"/>
    <w:rsid w:val="00D71F25"/>
    <w:rsid w:val="00D72A9C"/>
    <w:rsid w:val="00D77031"/>
    <w:rsid w:val="00D83469"/>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3FA4"/>
    <w:rsid w:val="00DA5191"/>
    <w:rsid w:val="00DA64F8"/>
    <w:rsid w:val="00DA6C15"/>
    <w:rsid w:val="00DB0258"/>
    <w:rsid w:val="00DB38EE"/>
    <w:rsid w:val="00DB498B"/>
    <w:rsid w:val="00DB4C31"/>
    <w:rsid w:val="00DB5474"/>
    <w:rsid w:val="00DB66CA"/>
    <w:rsid w:val="00DB6BCA"/>
    <w:rsid w:val="00DB73F7"/>
    <w:rsid w:val="00DC0321"/>
    <w:rsid w:val="00DC0362"/>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DF7FA0"/>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2DD"/>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6674F"/>
    <w:rsid w:val="00E70388"/>
    <w:rsid w:val="00E70F92"/>
    <w:rsid w:val="00E74C54"/>
    <w:rsid w:val="00E77A03"/>
    <w:rsid w:val="00E822E8"/>
    <w:rsid w:val="00E82554"/>
    <w:rsid w:val="00E82606"/>
    <w:rsid w:val="00E83FDD"/>
    <w:rsid w:val="00E846C8"/>
    <w:rsid w:val="00E84957"/>
    <w:rsid w:val="00E84A55"/>
    <w:rsid w:val="00E85BFF"/>
    <w:rsid w:val="00E90391"/>
    <w:rsid w:val="00E906C2"/>
    <w:rsid w:val="00E9311F"/>
    <w:rsid w:val="00E934D1"/>
    <w:rsid w:val="00E94AF0"/>
    <w:rsid w:val="00E95D13"/>
    <w:rsid w:val="00E95DD3"/>
    <w:rsid w:val="00E969D5"/>
    <w:rsid w:val="00E96F94"/>
    <w:rsid w:val="00EA58D1"/>
    <w:rsid w:val="00EA61BC"/>
    <w:rsid w:val="00EA681A"/>
    <w:rsid w:val="00EA6AC0"/>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205E"/>
    <w:rsid w:val="00F06D37"/>
    <w:rsid w:val="00F07B9D"/>
    <w:rsid w:val="00F11586"/>
    <w:rsid w:val="00F1183B"/>
    <w:rsid w:val="00F11C9F"/>
    <w:rsid w:val="00F12263"/>
    <w:rsid w:val="00F1247F"/>
    <w:rsid w:val="00F125FE"/>
    <w:rsid w:val="00F13E81"/>
    <w:rsid w:val="00F1409D"/>
    <w:rsid w:val="00F14214"/>
    <w:rsid w:val="00F157A9"/>
    <w:rsid w:val="00F1611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3A35"/>
    <w:rsid w:val="00FB45F1"/>
    <w:rsid w:val="00FB4A72"/>
    <w:rsid w:val="00FB54E8"/>
    <w:rsid w:val="00FB7054"/>
    <w:rsid w:val="00FC17B7"/>
    <w:rsid w:val="00FC2CB7"/>
    <w:rsid w:val="00FC4090"/>
    <w:rsid w:val="00FC55B4"/>
    <w:rsid w:val="00FD00E6"/>
    <w:rsid w:val="00FD09A1"/>
    <w:rsid w:val="00FD2A7C"/>
    <w:rsid w:val="00FD4DEA"/>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7AA2823"/>
    <w:rsid w:val="13006D78"/>
    <w:rsid w:val="13385187"/>
    <w:rsid w:val="1C6B6CC7"/>
    <w:rsid w:val="278A2FB2"/>
    <w:rsid w:val="309F63EE"/>
    <w:rsid w:val="346516FC"/>
    <w:rsid w:val="36280C33"/>
    <w:rsid w:val="371D62BE"/>
    <w:rsid w:val="392576AC"/>
    <w:rsid w:val="3B9F3746"/>
    <w:rsid w:val="3C6809BE"/>
    <w:rsid w:val="3CA54D8C"/>
    <w:rsid w:val="3CD41838"/>
    <w:rsid w:val="3D10620F"/>
    <w:rsid w:val="426D44A7"/>
    <w:rsid w:val="42804F8A"/>
    <w:rsid w:val="47FED705"/>
    <w:rsid w:val="49A308A5"/>
    <w:rsid w:val="4BEA27BB"/>
    <w:rsid w:val="4C26756B"/>
    <w:rsid w:val="63AB062A"/>
    <w:rsid w:val="672C1A82"/>
    <w:rsid w:val="678673E4"/>
    <w:rsid w:val="7BFA1C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3">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36"/>
    <w:qFormat/>
    <w:uiPriority w:val="0"/>
    <w:pPr>
      <w:keepNext/>
      <w:keepLines/>
      <w:spacing w:before="260" w:after="260" w:line="416" w:lineRule="auto"/>
      <w:outlineLvl w:val="2"/>
    </w:pPr>
    <w:rPr>
      <w:b/>
      <w:bCs/>
      <w:sz w:val="32"/>
      <w:szCs w:val="32"/>
    </w:rPr>
  </w:style>
  <w:style w:type="paragraph" w:styleId="6">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8">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9">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10">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1">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12">
    <w:name w:val="toc 7"/>
    <w:basedOn w:val="1"/>
    <w:next w:val="1"/>
    <w:unhideWhenUsed/>
    <w:qFormat/>
    <w:uiPriority w:val="39"/>
    <w:pPr>
      <w:tabs>
        <w:tab w:val="right" w:leader="dot" w:pos="9344"/>
      </w:tabs>
      <w:spacing w:line="300" w:lineRule="exact"/>
      <w:ind w:left="1259"/>
    </w:pPr>
    <w:rPr>
      <w:rFonts w:ascii="宋体"/>
    </w:rPr>
  </w:style>
  <w:style w:type="paragraph" w:styleId="13">
    <w:name w:val="Body Text"/>
    <w:basedOn w:val="1"/>
    <w:link w:val="86"/>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Char"/>
    <w:link w:val="3"/>
    <w:qFormat/>
    <w:uiPriority w:val="0"/>
    <w:rPr>
      <w:b/>
      <w:bCs/>
      <w:kern w:val="44"/>
      <w:sz w:val="44"/>
      <w:szCs w:val="44"/>
    </w:rPr>
  </w:style>
  <w:style w:type="character" w:customStyle="1" w:styleId="35">
    <w:name w:val="标题 2 Char"/>
    <w:link w:val="4"/>
    <w:qFormat/>
    <w:uiPriority w:val="0"/>
    <w:rPr>
      <w:rFonts w:ascii="Arial" w:hAnsi="Arial" w:eastAsia="黑体"/>
      <w:b/>
      <w:bCs/>
      <w:kern w:val="2"/>
      <w:sz w:val="32"/>
      <w:szCs w:val="32"/>
    </w:rPr>
  </w:style>
  <w:style w:type="character" w:customStyle="1" w:styleId="36">
    <w:name w:val="标题 3 Char"/>
    <w:link w:val="5"/>
    <w:qFormat/>
    <w:uiPriority w:val="0"/>
    <w:rPr>
      <w:b/>
      <w:bCs/>
      <w:kern w:val="2"/>
      <w:sz w:val="32"/>
      <w:szCs w:val="32"/>
    </w:rPr>
  </w:style>
  <w:style w:type="character" w:customStyle="1" w:styleId="37">
    <w:name w:val="标题 4 Char"/>
    <w:link w:val="6"/>
    <w:qFormat/>
    <w:uiPriority w:val="0"/>
    <w:rPr>
      <w:rFonts w:ascii="Arial" w:hAnsi="Arial" w:eastAsia="黑体"/>
      <w:b/>
      <w:bCs/>
      <w:kern w:val="2"/>
      <w:sz w:val="28"/>
      <w:szCs w:val="28"/>
    </w:rPr>
  </w:style>
  <w:style w:type="character" w:customStyle="1" w:styleId="38">
    <w:name w:val="标题 5 Char"/>
    <w:link w:val="7"/>
    <w:qFormat/>
    <w:uiPriority w:val="0"/>
    <w:rPr>
      <w:b/>
      <w:bCs/>
      <w:kern w:val="2"/>
      <w:sz w:val="28"/>
      <w:szCs w:val="28"/>
    </w:rPr>
  </w:style>
  <w:style w:type="character" w:customStyle="1" w:styleId="39">
    <w:name w:val="标题 6 Char"/>
    <w:link w:val="8"/>
    <w:qFormat/>
    <w:uiPriority w:val="0"/>
    <w:rPr>
      <w:rFonts w:ascii="Arial" w:hAnsi="Arial" w:eastAsia="黑体"/>
      <w:b/>
      <w:bCs/>
      <w:kern w:val="2"/>
      <w:sz w:val="24"/>
      <w:szCs w:val="24"/>
    </w:rPr>
  </w:style>
  <w:style w:type="character" w:customStyle="1" w:styleId="40">
    <w:name w:val="标题 7 Char"/>
    <w:link w:val="9"/>
    <w:qFormat/>
    <w:uiPriority w:val="0"/>
    <w:rPr>
      <w:b/>
      <w:bCs/>
      <w:kern w:val="2"/>
      <w:sz w:val="24"/>
      <w:szCs w:val="24"/>
    </w:rPr>
  </w:style>
  <w:style w:type="character" w:customStyle="1" w:styleId="41">
    <w:name w:val="标题 8 Char"/>
    <w:link w:val="10"/>
    <w:qFormat/>
    <w:uiPriority w:val="0"/>
    <w:rPr>
      <w:rFonts w:ascii="Arial" w:hAnsi="Arial" w:eastAsia="黑体"/>
      <w:kern w:val="2"/>
      <w:sz w:val="24"/>
      <w:szCs w:val="24"/>
    </w:rPr>
  </w:style>
  <w:style w:type="character" w:customStyle="1" w:styleId="42">
    <w:name w:val="标题 9 Char"/>
    <w:link w:val="11"/>
    <w:qFormat/>
    <w:uiPriority w:val="0"/>
    <w:rPr>
      <w:rFonts w:ascii="Arial" w:hAnsi="Arial" w:eastAsia="黑体"/>
      <w:kern w:val="2"/>
      <w:sz w:val="21"/>
      <w:szCs w:val="21"/>
    </w:rPr>
  </w:style>
  <w:style w:type="character" w:customStyle="1" w:styleId="43">
    <w:name w:val="页眉 Char"/>
    <w:link w:val="18"/>
    <w:qFormat/>
    <w:uiPriority w:val="99"/>
    <w:rPr>
      <w:kern w:val="2"/>
      <w:sz w:val="18"/>
      <w:szCs w:val="18"/>
    </w:rPr>
  </w:style>
  <w:style w:type="character" w:customStyle="1" w:styleId="44">
    <w:name w:val="页脚 Char"/>
    <w:link w:val="17"/>
    <w:qFormat/>
    <w:uiPriority w:val="99"/>
    <w:rPr>
      <w:rFonts w:ascii="宋体"/>
      <w:kern w:val="2"/>
      <w:sz w:val="18"/>
      <w:szCs w:val="18"/>
    </w:rPr>
  </w:style>
  <w:style w:type="character" w:customStyle="1" w:styleId="45">
    <w:name w:val="批注框文本 Char"/>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Char"/>
    <w:link w:val="46"/>
    <w:qFormat/>
    <w:uiPriority w:val="29"/>
    <w:rPr>
      <w:i/>
      <w:iCs/>
      <w:color w:val="000000"/>
      <w:kern w:val="2"/>
      <w:sz w:val="21"/>
      <w:szCs w:val="21"/>
    </w:rPr>
  </w:style>
  <w:style w:type="character" w:customStyle="1" w:styleId="48">
    <w:name w:val="标题 Char"/>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ind w:left="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Char"/>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Char"/>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qFormat/>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qFormat/>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qFormat/>
    <w:uiPriority w:val="0"/>
    <w:pPr>
      <w:adjustRightInd/>
      <w:spacing w:line="240" w:lineRule="auto"/>
      <w:jc w:val="left"/>
    </w:pPr>
  </w:style>
  <w:style w:type="paragraph" w:customStyle="1" w:styleId="147">
    <w:name w:val="目录 71"/>
    <w:basedOn w:val="146"/>
    <w:semiHidden/>
    <w:qFormat/>
    <w:uiPriority w:val="0"/>
    <w:pPr>
      <w:ind w:left="1260"/>
    </w:pPr>
  </w:style>
  <w:style w:type="paragraph" w:customStyle="1" w:styleId="148">
    <w:name w:val="目录 81"/>
    <w:basedOn w:val="147"/>
    <w:semiHidden/>
    <w:qFormat/>
    <w:uiPriority w:val="0"/>
    <w:pPr>
      <w:ind w:left="1470"/>
    </w:pPr>
  </w:style>
  <w:style w:type="paragraph" w:customStyle="1" w:styleId="149">
    <w:name w:val="目录 91"/>
    <w:basedOn w:val="148"/>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vAnchor="page" w:hAnchor="page" w:x="1419" w:y="14097"/>
    </w:pPr>
  </w:style>
  <w:style w:type="paragraph" w:customStyle="1" w:styleId="194">
    <w:name w:val="其他实施日期"/>
    <w:basedOn w:val="154"/>
    <w:qFormat/>
    <w:uiPriority w:val="0"/>
    <w:pPr>
      <w:framePr w:w="3997" w:h="471" w:hRule="exact" w:vSpace="181"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 w:type="paragraph" w:customStyle="1" w:styleId="230">
    <w:name w:val="项1"/>
    <w:basedOn w:val="1"/>
    <w:qFormat/>
    <w:uiPriority w:val="0"/>
    <w:pPr>
      <w:widowControl/>
      <w:adjustRightInd/>
      <w:spacing w:before="100" w:beforeAutospacing="1" w:after="100" w:afterAutospacing="1" w:line="288" w:lineRule="auto"/>
      <w:ind w:left="1134" w:leftChars="300" w:hanging="504" w:hangingChars="240"/>
      <w:jc w:val="left"/>
      <w:outlineLvl w:val="4"/>
    </w:pPr>
    <w:rPr>
      <w:rFonts w:ascii="Times New Roman" w:hAnsi="Times New Roman"/>
    </w:rPr>
  </w:style>
  <w:style w:type="paragraph" w:customStyle="1" w:styleId="231">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232">
    <w:name w:val="款"/>
    <w:basedOn w:val="1"/>
    <w:qFormat/>
    <w:uiPriority w:val="0"/>
    <w:pPr>
      <w:widowControl/>
      <w:adjustRightInd/>
      <w:spacing w:line="288" w:lineRule="auto"/>
      <w:ind w:firstLine="200" w:firstLineChars="200"/>
      <w:jc w:val="left"/>
      <w:outlineLvl w:val="3"/>
    </w:pPr>
    <w:rPr>
      <w:rFonts w:ascii="Times New Roman" w:hAnsi="Times New Roman"/>
    </w:rPr>
  </w:style>
  <w:style w:type="paragraph" w:customStyle="1" w:styleId="233">
    <w:name w:val="项"/>
    <w:basedOn w:val="1"/>
    <w:qFormat/>
    <w:uiPriority w:val="0"/>
    <w:pPr>
      <w:widowControl/>
      <w:adjustRightInd/>
      <w:spacing w:line="288" w:lineRule="auto"/>
      <w:ind w:firstLine="300" w:firstLineChars="300"/>
      <w:jc w:val="left"/>
      <w:outlineLvl w:val="4"/>
    </w:pPr>
    <w:rPr>
      <w:rFonts w:ascii="Times New Roman" w:hAnsi="Times New Roman"/>
    </w:rPr>
  </w:style>
  <w:style w:type="paragraph" w:customStyle="1" w:styleId="234">
    <w:name w:val="条"/>
    <w:basedOn w:val="1"/>
    <w:qFormat/>
    <w:uiPriority w:val="0"/>
    <w:pPr>
      <w:widowControl/>
      <w:adjustRightInd/>
      <w:spacing w:line="288" w:lineRule="auto"/>
      <w:jc w:val="left"/>
      <w:outlineLvl w:val="2"/>
    </w:pPr>
    <w:rPr>
      <w:rFonts w:ascii="Times New Roman" w:hAnsi="Times New Roman"/>
    </w:rPr>
  </w:style>
  <w:style w:type="paragraph" w:customStyle="1" w:styleId="235">
    <w:name w:val="Normal"/>
    <w:qFormat/>
    <w:uiPriority w:val="0"/>
    <w:pPr>
      <w:jc w:val="both"/>
    </w:pPr>
    <w:rPr>
      <w:rFonts w:ascii="Times New Roman" w:hAnsi="Times New Roman" w:eastAsia="宋体" w:cs="Times New Roman"/>
      <w:kern w:val="2"/>
      <w:sz w:val="21"/>
      <w:szCs w:val="21"/>
      <w:lang w:val="en-US" w:eastAsia="zh-CN" w:bidi="ar-SA"/>
    </w:rPr>
  </w:style>
  <w:style w:type="paragraph" w:customStyle="1" w:styleId="236">
    <w:name w:val="Body text|1"/>
    <w:basedOn w:val="1"/>
    <w:qFormat/>
    <w:uiPriority w:val="0"/>
    <w:pPr>
      <w:spacing w:line="309" w:lineRule="auto"/>
    </w:pPr>
    <w:rPr>
      <w:rFonts w:ascii="MingLiU" w:hAnsi="MingLiU" w:eastAsia="MingLiU" w:cs="宋体"/>
      <w:sz w:val="20"/>
      <w:szCs w:val="20"/>
    </w:rPr>
  </w:style>
  <w:style w:type="paragraph" w:customStyle="1" w:styleId="237">
    <w:name w:val="Body text|2"/>
    <w:basedOn w:val="1"/>
    <w:qFormat/>
    <w:uiPriority w:val="0"/>
    <w:pPr>
      <w:widowControl w:val="0"/>
      <w:shd w:val="clear" w:color="auto" w:fill="auto"/>
      <w:spacing w:line="456" w:lineRule="exact"/>
    </w:pPr>
    <w:rPr>
      <w:rFonts w:ascii="MingLiU" w:hAnsi="MingLiU" w:eastAsia="MingLiU" w:cs="MingLiU"/>
      <w:sz w:val="28"/>
      <w:szCs w:val="28"/>
      <w:u w:val="none"/>
      <w:shd w:val="clear" w:color="auto" w:fill="auto"/>
      <w:lang w:val="zh-TW" w:eastAsia="zh-TW" w:bidi="zh-TW"/>
    </w:rPr>
  </w:style>
  <w:style w:type="paragraph" w:customStyle="1" w:styleId="238">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239">
    <w:name w:val="自建正文"/>
    <w:basedOn w:val="240"/>
    <w:qFormat/>
    <w:uiPriority w:val="0"/>
    <w:pPr>
      <w:ind w:firstLine="200"/>
    </w:pPr>
    <w:rPr>
      <w:rFonts w:ascii="Times New Roman" w:hAnsi="Times New Roman"/>
      <w:bCs/>
      <w:szCs w:val="32"/>
    </w:rPr>
  </w:style>
  <w:style w:type="paragraph" w:styleId="24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7.png"/><Relationship Id="rId98" Type="http://schemas.openxmlformats.org/officeDocument/2006/relationships/image" Target="../../AppData/Local/Temp/ksohtml9220/wps81.png" TargetMode="External"/><Relationship Id="rId97" Type="http://schemas.openxmlformats.org/officeDocument/2006/relationships/image" Target="media/image66.png"/><Relationship Id="rId96" Type="http://schemas.openxmlformats.org/officeDocument/2006/relationships/image" Target="../../AppData/Local/Temp/ksohtml9220/wps80.png" TargetMode="External"/><Relationship Id="rId95" Type="http://schemas.openxmlformats.org/officeDocument/2006/relationships/image" Target="media/image65.png"/><Relationship Id="rId94" Type="http://schemas.openxmlformats.org/officeDocument/2006/relationships/image" Target="media/image64.png"/><Relationship Id="rId93" Type="http://schemas.openxmlformats.org/officeDocument/2006/relationships/image" Target="media/image63.png"/><Relationship Id="rId92" Type="http://schemas.openxmlformats.org/officeDocument/2006/relationships/image" Target="media/image62.png"/><Relationship Id="rId91" Type="http://schemas.openxmlformats.org/officeDocument/2006/relationships/image" Target="media/image61.png"/><Relationship Id="rId90" Type="http://schemas.openxmlformats.org/officeDocument/2006/relationships/image" Target="media/image60.png"/><Relationship Id="rId9" Type="http://schemas.openxmlformats.org/officeDocument/2006/relationships/footer" Target="footer2.xml"/><Relationship Id="rId89" Type="http://schemas.openxmlformats.org/officeDocument/2006/relationships/image" Target="media/image59.png"/><Relationship Id="rId88" Type="http://schemas.openxmlformats.org/officeDocument/2006/relationships/image" Target="media/image58.png"/><Relationship Id="rId87" Type="http://schemas.openxmlformats.org/officeDocument/2006/relationships/image" Target="media/image57.png"/><Relationship Id="rId86" Type="http://schemas.openxmlformats.org/officeDocument/2006/relationships/image" Target="media/image56.png"/><Relationship Id="rId85" Type="http://schemas.openxmlformats.org/officeDocument/2006/relationships/image" Target="media/image55.png"/><Relationship Id="rId84" Type="http://schemas.openxmlformats.org/officeDocument/2006/relationships/image" Target="media/image54.png"/><Relationship Id="rId83" Type="http://schemas.openxmlformats.org/officeDocument/2006/relationships/image" Target="media/image53.png"/><Relationship Id="rId82" Type="http://schemas.openxmlformats.org/officeDocument/2006/relationships/image" Target="media/image52.png"/><Relationship Id="rId81" Type="http://schemas.openxmlformats.org/officeDocument/2006/relationships/image" Target="media/image51.png"/><Relationship Id="rId80" Type="http://schemas.openxmlformats.org/officeDocument/2006/relationships/image" Target="media/image50.png"/><Relationship Id="rId8" Type="http://schemas.openxmlformats.org/officeDocument/2006/relationships/footer" Target="footer1.xml"/><Relationship Id="rId79" Type="http://schemas.openxmlformats.org/officeDocument/2006/relationships/image" Target="media/image49.png"/><Relationship Id="rId78" Type="http://schemas.openxmlformats.org/officeDocument/2006/relationships/image" Target="media/image48.png"/><Relationship Id="rId77" Type="http://schemas.openxmlformats.org/officeDocument/2006/relationships/image" Target="media/image47.png"/><Relationship Id="rId76" Type="http://schemas.openxmlformats.org/officeDocument/2006/relationships/image" Target="media/image46.png"/><Relationship Id="rId75" Type="http://schemas.openxmlformats.org/officeDocument/2006/relationships/image" Target="media/image45.png"/><Relationship Id="rId74" Type="http://schemas.openxmlformats.org/officeDocument/2006/relationships/image" Target="media/image44.png"/><Relationship Id="rId73" Type="http://schemas.openxmlformats.org/officeDocument/2006/relationships/image" Target="media/image43.png"/><Relationship Id="rId72" Type="http://schemas.openxmlformats.org/officeDocument/2006/relationships/image" Target="media/image42.png"/><Relationship Id="rId71" Type="http://schemas.openxmlformats.org/officeDocument/2006/relationships/image" Target="media/image41.png"/><Relationship Id="rId70" Type="http://schemas.openxmlformats.org/officeDocument/2006/relationships/image" Target="media/image40.png"/><Relationship Id="rId7" Type="http://schemas.openxmlformats.org/officeDocument/2006/relationships/header" Target="header3.xml"/><Relationship Id="rId69" Type="http://schemas.openxmlformats.org/officeDocument/2006/relationships/image" Target="media/image39.png"/><Relationship Id="rId68" Type="http://schemas.openxmlformats.org/officeDocument/2006/relationships/image" Target="media/image38.png"/><Relationship Id="rId67" Type="http://schemas.openxmlformats.org/officeDocument/2006/relationships/image" Target="media/image37.png"/><Relationship Id="rId66" Type="http://schemas.openxmlformats.org/officeDocument/2006/relationships/image" Target="media/image36.png"/><Relationship Id="rId65" Type="http://schemas.openxmlformats.org/officeDocument/2006/relationships/image" Target="media/image35.png"/><Relationship Id="rId64" Type="http://schemas.openxmlformats.org/officeDocument/2006/relationships/image" Target="media/image34.png"/><Relationship Id="rId63" Type="http://schemas.openxmlformats.org/officeDocument/2006/relationships/image" Target="media/image33.png"/><Relationship Id="rId62" Type="http://schemas.openxmlformats.org/officeDocument/2006/relationships/image" Target="media/image32.png"/><Relationship Id="rId61" Type="http://schemas.openxmlformats.org/officeDocument/2006/relationships/image" Target="media/image31.png"/><Relationship Id="rId60" Type="http://schemas.openxmlformats.org/officeDocument/2006/relationships/image" Target="media/image30.png"/><Relationship Id="rId6" Type="http://schemas.openxmlformats.org/officeDocument/2006/relationships/header" Target="header2.xml"/><Relationship Id="rId59" Type="http://schemas.openxmlformats.org/officeDocument/2006/relationships/image" Target="media/image29.png"/><Relationship Id="rId58" Type="http://schemas.openxmlformats.org/officeDocument/2006/relationships/image" Target="media/image28.png"/><Relationship Id="rId57" Type="http://schemas.openxmlformats.org/officeDocument/2006/relationships/image" Target="media/image27.png"/><Relationship Id="rId56" Type="http://schemas.openxmlformats.org/officeDocument/2006/relationships/image" Target="media/image26.png"/><Relationship Id="rId55" Type="http://schemas.openxmlformats.org/officeDocument/2006/relationships/image" Target="media/image25.png"/><Relationship Id="rId54" Type="http://schemas.openxmlformats.org/officeDocument/2006/relationships/image" Target="media/image24.png"/><Relationship Id="rId53" Type="http://schemas.openxmlformats.org/officeDocument/2006/relationships/image" Target="media/image23.png"/><Relationship Id="rId52" Type="http://schemas.openxmlformats.org/officeDocument/2006/relationships/image" Target="media/image22.png"/><Relationship Id="rId51" Type="http://schemas.openxmlformats.org/officeDocument/2006/relationships/image" Target="media/image21.png"/><Relationship Id="rId50" Type="http://schemas.openxmlformats.org/officeDocument/2006/relationships/image" Target="media/image20.png"/><Relationship Id="rId5" Type="http://schemas.openxmlformats.org/officeDocument/2006/relationships/header" Target="header1.xml"/><Relationship Id="rId49" Type="http://schemas.openxmlformats.org/officeDocument/2006/relationships/image" Target="media/image19.png"/><Relationship Id="rId48" Type="http://schemas.openxmlformats.org/officeDocument/2006/relationships/image" Target="media/image18.png"/><Relationship Id="rId47" Type="http://schemas.openxmlformats.org/officeDocument/2006/relationships/image" Target="media/image17.png"/><Relationship Id="rId46" Type="http://schemas.openxmlformats.org/officeDocument/2006/relationships/image" Target="media/image16.png"/><Relationship Id="rId45" Type="http://schemas.openxmlformats.org/officeDocument/2006/relationships/image" Target="media/image15.png"/><Relationship Id="rId44" Type="http://schemas.openxmlformats.org/officeDocument/2006/relationships/image" Target="media/image14.png"/><Relationship Id="rId43" Type="http://schemas.openxmlformats.org/officeDocument/2006/relationships/image" Target="media/image13.png"/><Relationship Id="rId42" Type="http://schemas.openxmlformats.org/officeDocument/2006/relationships/image" Target="media/image12.png"/><Relationship Id="rId41" Type="http://schemas.openxmlformats.org/officeDocument/2006/relationships/image" Target="media/image11.png"/><Relationship Id="rId40" Type="http://schemas.openxmlformats.org/officeDocument/2006/relationships/image" Target="media/image10.png"/><Relationship Id="rId4" Type="http://schemas.openxmlformats.org/officeDocument/2006/relationships/endnotes" Target="endnotes.xml"/><Relationship Id="rId39" Type="http://schemas.openxmlformats.org/officeDocument/2006/relationships/image" Target="media/image9.png"/><Relationship Id="rId38" Type="http://schemas.openxmlformats.org/officeDocument/2006/relationships/image" Target="media/image8.png"/><Relationship Id="rId37" Type="http://schemas.openxmlformats.org/officeDocument/2006/relationships/image" Target="media/image7.png"/><Relationship Id="rId36" Type="http://schemas.openxmlformats.org/officeDocument/2006/relationships/image" Target="media/image6.png"/><Relationship Id="rId35" Type="http://schemas.openxmlformats.org/officeDocument/2006/relationships/image" Target="media/image5.png"/><Relationship Id="rId34" Type="http://schemas.openxmlformats.org/officeDocument/2006/relationships/image" Target="media/image4.png"/><Relationship Id="rId33" Type="http://schemas.openxmlformats.org/officeDocument/2006/relationships/image" Target="media/image3.png"/><Relationship Id="rId32" Type="http://schemas.openxmlformats.org/officeDocument/2006/relationships/image" Target="media/image2.png"/><Relationship Id="rId31" Type="http://schemas.openxmlformats.org/officeDocument/2006/relationships/image" Target="media/image1.png"/><Relationship Id="rId30" Type="http://schemas.openxmlformats.org/officeDocument/2006/relationships/image" Target="media/image1.tiff"/><Relationship Id="rId3" Type="http://schemas.openxmlformats.org/officeDocument/2006/relationships/footnotes" Target="footnotes.xml"/><Relationship Id="rId29" Type="http://schemas.openxmlformats.org/officeDocument/2006/relationships/theme" Target="theme/theme1.xml"/><Relationship Id="rId28" Type="http://schemas.openxmlformats.org/officeDocument/2006/relationships/footer" Target="footer12.xml"/><Relationship Id="rId27" Type="http://schemas.openxmlformats.org/officeDocument/2006/relationships/footer" Target="footer11.xml"/><Relationship Id="rId26" Type="http://schemas.openxmlformats.org/officeDocument/2006/relationships/header" Target="header12.xml"/><Relationship Id="rId25" Type="http://schemas.openxmlformats.org/officeDocument/2006/relationships/header" Target="header11.xml"/><Relationship Id="rId24" Type="http://schemas.openxmlformats.org/officeDocument/2006/relationships/footer" Target="footer10.xml"/><Relationship Id="rId23" Type="http://schemas.openxmlformats.org/officeDocument/2006/relationships/footer" Target="footer9.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9" Type="http://schemas.openxmlformats.org/officeDocument/2006/relationships/glossaryDocument" Target="glossary/document.xml"/><Relationship Id="rId198" Type="http://schemas.openxmlformats.org/officeDocument/2006/relationships/fontTable" Target="fontTable.xml"/><Relationship Id="rId197" Type="http://schemas.openxmlformats.org/officeDocument/2006/relationships/numbering" Target="numbering.xml"/><Relationship Id="rId196" Type="http://schemas.openxmlformats.org/officeDocument/2006/relationships/customXml" Target="../customXml/item1.xml"/><Relationship Id="rId195" Type="http://schemas.openxmlformats.org/officeDocument/2006/relationships/image" Target="media/image134.wmf"/><Relationship Id="rId194" Type="http://schemas.openxmlformats.org/officeDocument/2006/relationships/oleObject" Target="embeddings/oleObject18.bin"/><Relationship Id="rId193" Type="http://schemas.openxmlformats.org/officeDocument/2006/relationships/image" Target="media/image133.wmf"/><Relationship Id="rId192" Type="http://schemas.openxmlformats.org/officeDocument/2006/relationships/oleObject" Target="embeddings/oleObject17.bin"/><Relationship Id="rId191" Type="http://schemas.openxmlformats.org/officeDocument/2006/relationships/image" Target="media/image132.wmf"/><Relationship Id="rId190" Type="http://schemas.openxmlformats.org/officeDocument/2006/relationships/oleObject" Target="embeddings/oleObject16.bin"/><Relationship Id="rId19" Type="http://schemas.openxmlformats.org/officeDocument/2006/relationships/header" Target="header8.xml"/><Relationship Id="rId189" Type="http://schemas.openxmlformats.org/officeDocument/2006/relationships/image" Target="media/image131.wmf"/><Relationship Id="rId188" Type="http://schemas.openxmlformats.org/officeDocument/2006/relationships/oleObject" Target="embeddings/oleObject15.bin"/><Relationship Id="rId187" Type="http://schemas.openxmlformats.org/officeDocument/2006/relationships/image" Target="media/image130.wmf"/><Relationship Id="rId186" Type="http://schemas.openxmlformats.org/officeDocument/2006/relationships/oleObject" Target="embeddings/oleObject14.bin"/><Relationship Id="rId185" Type="http://schemas.openxmlformats.org/officeDocument/2006/relationships/image" Target="media/image129.wmf"/><Relationship Id="rId184" Type="http://schemas.openxmlformats.org/officeDocument/2006/relationships/oleObject" Target="embeddings/oleObject13.bin"/><Relationship Id="rId183" Type="http://schemas.openxmlformats.org/officeDocument/2006/relationships/image" Target="media/image128.wmf"/><Relationship Id="rId182" Type="http://schemas.openxmlformats.org/officeDocument/2006/relationships/oleObject" Target="embeddings/oleObject12.bin"/><Relationship Id="rId181" Type="http://schemas.openxmlformats.org/officeDocument/2006/relationships/image" Target="media/image127.wmf"/><Relationship Id="rId180" Type="http://schemas.openxmlformats.org/officeDocument/2006/relationships/oleObject" Target="embeddings/oleObject11.bin"/><Relationship Id="rId18" Type="http://schemas.openxmlformats.org/officeDocument/2006/relationships/footer" Target="footer7.xml"/><Relationship Id="rId179" Type="http://schemas.openxmlformats.org/officeDocument/2006/relationships/image" Target="media/image126.wmf"/><Relationship Id="rId178" Type="http://schemas.openxmlformats.org/officeDocument/2006/relationships/oleObject" Target="embeddings/oleObject10.bin"/><Relationship Id="rId177" Type="http://schemas.openxmlformats.org/officeDocument/2006/relationships/image" Target="media/image125.wmf"/><Relationship Id="rId176" Type="http://schemas.openxmlformats.org/officeDocument/2006/relationships/oleObject" Target="embeddings/oleObject9.bin"/><Relationship Id="rId175" Type="http://schemas.openxmlformats.org/officeDocument/2006/relationships/image" Target="media/image124.wmf"/><Relationship Id="rId174" Type="http://schemas.openxmlformats.org/officeDocument/2006/relationships/oleObject" Target="embeddings/oleObject8.bin"/><Relationship Id="rId173" Type="http://schemas.openxmlformats.org/officeDocument/2006/relationships/image" Target="media/image123.wmf"/><Relationship Id="rId172" Type="http://schemas.openxmlformats.org/officeDocument/2006/relationships/oleObject" Target="embeddings/oleObject7.bin"/><Relationship Id="rId171" Type="http://schemas.openxmlformats.org/officeDocument/2006/relationships/image" Target="media/image122.wmf"/><Relationship Id="rId170" Type="http://schemas.openxmlformats.org/officeDocument/2006/relationships/oleObject" Target="embeddings/oleObject6.bin"/><Relationship Id="rId17" Type="http://schemas.openxmlformats.org/officeDocument/2006/relationships/footer" Target="footer6.xml"/><Relationship Id="rId169" Type="http://schemas.openxmlformats.org/officeDocument/2006/relationships/image" Target="media/image121.wmf"/><Relationship Id="rId168" Type="http://schemas.openxmlformats.org/officeDocument/2006/relationships/oleObject" Target="embeddings/oleObject5.bin"/><Relationship Id="rId167" Type="http://schemas.openxmlformats.org/officeDocument/2006/relationships/image" Target="media/image120.wmf"/><Relationship Id="rId166" Type="http://schemas.openxmlformats.org/officeDocument/2006/relationships/oleObject" Target="embeddings/oleObject4.bin"/><Relationship Id="rId165" Type="http://schemas.openxmlformats.org/officeDocument/2006/relationships/image" Target="media/image119.wmf"/><Relationship Id="rId164" Type="http://schemas.openxmlformats.org/officeDocument/2006/relationships/oleObject" Target="embeddings/oleObject3.bin"/><Relationship Id="rId163" Type="http://schemas.openxmlformats.org/officeDocument/2006/relationships/image" Target="media/image118.png"/><Relationship Id="rId162" Type="http://schemas.openxmlformats.org/officeDocument/2006/relationships/oleObject" Target="embeddings/oleObject2.bin"/><Relationship Id="rId161" Type="http://schemas.openxmlformats.org/officeDocument/2006/relationships/image" Target="media/image117.wmf"/><Relationship Id="rId160" Type="http://schemas.openxmlformats.org/officeDocument/2006/relationships/oleObject" Target="embeddings/oleObject1.bin"/><Relationship Id="rId16" Type="http://schemas.openxmlformats.org/officeDocument/2006/relationships/header" Target="header7.xml"/><Relationship Id="rId159" Type="http://schemas.openxmlformats.org/officeDocument/2006/relationships/image" Target="media/image116.png"/><Relationship Id="rId158" Type="http://schemas.openxmlformats.org/officeDocument/2006/relationships/image" Target="media/image115.png"/><Relationship Id="rId157" Type="http://schemas.openxmlformats.org/officeDocument/2006/relationships/image" Target="media/image114.png"/><Relationship Id="rId156" Type="http://schemas.openxmlformats.org/officeDocument/2006/relationships/image" Target="media/image113.wmf"/><Relationship Id="rId155" Type="http://schemas.openxmlformats.org/officeDocument/2006/relationships/image" Target="media/image112.wmf"/><Relationship Id="rId154" Type="http://schemas.openxmlformats.org/officeDocument/2006/relationships/image" Target="media/image111.png"/><Relationship Id="rId153" Type="http://schemas.openxmlformats.org/officeDocument/2006/relationships/image" Target="media/image110.png"/><Relationship Id="rId152" Type="http://schemas.openxmlformats.org/officeDocument/2006/relationships/image" Target="media/image109.jpeg"/><Relationship Id="rId151" Type="http://schemas.openxmlformats.org/officeDocument/2006/relationships/image" Target="media/image108.png"/><Relationship Id="rId150" Type="http://schemas.openxmlformats.org/officeDocument/2006/relationships/image" Target="media/image107.png"/><Relationship Id="rId15" Type="http://schemas.openxmlformats.org/officeDocument/2006/relationships/header" Target="header6.xml"/><Relationship Id="rId149" Type="http://schemas.openxmlformats.org/officeDocument/2006/relationships/image" Target="media/image106.png"/><Relationship Id="rId148" Type="http://schemas.openxmlformats.org/officeDocument/2006/relationships/image" Target="media/image105.png"/><Relationship Id="rId147" Type="http://schemas.openxmlformats.org/officeDocument/2006/relationships/image" Target="media/image104.png"/><Relationship Id="rId146" Type="http://schemas.openxmlformats.org/officeDocument/2006/relationships/image" Target="media/image103.png"/><Relationship Id="rId145" Type="http://schemas.openxmlformats.org/officeDocument/2006/relationships/image" Target="media/image102.png"/><Relationship Id="rId144" Type="http://schemas.openxmlformats.org/officeDocument/2006/relationships/image" Target="media/image101.png"/><Relationship Id="rId143" Type="http://schemas.openxmlformats.org/officeDocument/2006/relationships/image" Target="media/image100.png"/><Relationship Id="rId142" Type="http://schemas.openxmlformats.org/officeDocument/2006/relationships/image" Target="media/image99.png"/><Relationship Id="rId141" Type="http://schemas.openxmlformats.org/officeDocument/2006/relationships/image" Target="media/image98.png"/><Relationship Id="rId140" Type="http://schemas.openxmlformats.org/officeDocument/2006/relationships/image" Target="media/image97.png"/><Relationship Id="rId14" Type="http://schemas.openxmlformats.org/officeDocument/2006/relationships/footer" Target="footer5.xml"/><Relationship Id="rId139" Type="http://schemas.openxmlformats.org/officeDocument/2006/relationships/image" Target="media/image96.png"/><Relationship Id="rId138" Type="http://schemas.openxmlformats.org/officeDocument/2006/relationships/image" Target="media/image95.png"/><Relationship Id="rId137" Type="http://schemas.openxmlformats.org/officeDocument/2006/relationships/image" Target="media/image94.png"/><Relationship Id="rId136" Type="http://schemas.openxmlformats.org/officeDocument/2006/relationships/image" Target="media/image93.png"/><Relationship Id="rId135" Type="http://schemas.openxmlformats.org/officeDocument/2006/relationships/image" Target="media/image92.png"/><Relationship Id="rId134" Type="http://schemas.openxmlformats.org/officeDocument/2006/relationships/image" Target="media/image91.png"/><Relationship Id="rId133" Type="http://schemas.openxmlformats.org/officeDocument/2006/relationships/image" Target="media/image90.png"/><Relationship Id="rId132" Type="http://schemas.openxmlformats.org/officeDocument/2006/relationships/image" Target="media/image89.png"/><Relationship Id="rId131" Type="http://schemas.openxmlformats.org/officeDocument/2006/relationships/image" Target="media/image88.png"/><Relationship Id="rId130" Type="http://schemas.openxmlformats.org/officeDocument/2006/relationships/image" Target="media/image87.png"/><Relationship Id="rId13" Type="http://schemas.openxmlformats.org/officeDocument/2006/relationships/footer" Target="footer4.xml"/><Relationship Id="rId129" Type="http://schemas.openxmlformats.org/officeDocument/2006/relationships/image" Target="media/image86.png"/><Relationship Id="rId128" Type="http://schemas.openxmlformats.org/officeDocument/2006/relationships/image" Target="media/image85.png"/><Relationship Id="rId127" Type="http://schemas.openxmlformats.org/officeDocument/2006/relationships/image" Target="media/image84.png"/><Relationship Id="rId126" Type="http://schemas.openxmlformats.org/officeDocument/2006/relationships/image" Target="media/image83.png"/><Relationship Id="rId125" Type="http://schemas.openxmlformats.org/officeDocument/2006/relationships/image" Target="media/image82.png"/><Relationship Id="rId124" Type="http://schemas.openxmlformats.org/officeDocument/2006/relationships/image" Target="../../AppData/Local/Temp/ksohtml9220/wps116.png" TargetMode="External"/><Relationship Id="rId123" Type="http://schemas.openxmlformats.org/officeDocument/2006/relationships/image" Target="media/image81.png"/><Relationship Id="rId122" Type="http://schemas.openxmlformats.org/officeDocument/2006/relationships/image" Target="../../AppData/Local/Temp/ksohtml9220/wps113.png" TargetMode="External"/><Relationship Id="rId121" Type="http://schemas.openxmlformats.org/officeDocument/2006/relationships/image" Target="media/image80.png"/><Relationship Id="rId120" Type="http://schemas.openxmlformats.org/officeDocument/2006/relationships/image" Target="../../AppData/Local/Temp/ksohtml9220/wps118.png" TargetMode="External"/><Relationship Id="rId12" Type="http://schemas.openxmlformats.org/officeDocument/2006/relationships/header" Target="header5.xml"/><Relationship Id="rId119" Type="http://schemas.openxmlformats.org/officeDocument/2006/relationships/image" Target="media/image79.png"/><Relationship Id="rId118" Type="http://schemas.openxmlformats.org/officeDocument/2006/relationships/image" Target="../../AppData/Local/Temp/ksohtml9220/wps117.png" TargetMode="External"/><Relationship Id="rId117" Type="http://schemas.openxmlformats.org/officeDocument/2006/relationships/image" Target="media/image78.png"/><Relationship Id="rId116" Type="http://schemas.openxmlformats.org/officeDocument/2006/relationships/image" Target="../../AppData/Local/Temp/ksohtml9220/wps110.png" TargetMode="External"/><Relationship Id="rId115" Type="http://schemas.openxmlformats.org/officeDocument/2006/relationships/image" Target="media/image77.png"/><Relationship Id="rId114" Type="http://schemas.openxmlformats.org/officeDocument/2006/relationships/image" Target="../../AppData/Local/Temp/ksohtml9220/wps109.png" TargetMode="External"/><Relationship Id="rId113" Type="http://schemas.openxmlformats.org/officeDocument/2006/relationships/image" Target="media/image76.png"/><Relationship Id="rId112" Type="http://schemas.openxmlformats.org/officeDocument/2006/relationships/image" Target="../../AppData/Local/Temp/ksohtml9220/wps108.png" TargetMode="External"/><Relationship Id="rId111" Type="http://schemas.openxmlformats.org/officeDocument/2006/relationships/image" Target="media/image75.png"/><Relationship Id="rId110" Type="http://schemas.openxmlformats.org/officeDocument/2006/relationships/image" Target="../../AppData/Local/Temp/ksohtml9220/wps107.png" TargetMode="External"/><Relationship Id="rId11" Type="http://schemas.openxmlformats.org/officeDocument/2006/relationships/header" Target="header4.xml"/><Relationship Id="rId109" Type="http://schemas.openxmlformats.org/officeDocument/2006/relationships/image" Target="media/image74.png"/><Relationship Id="rId108" Type="http://schemas.openxmlformats.org/officeDocument/2006/relationships/image" Target="../../AppData/Local/Temp/ksohtml9220/wps106.png" TargetMode="External"/><Relationship Id="rId107" Type="http://schemas.openxmlformats.org/officeDocument/2006/relationships/image" Target="media/image73.png"/><Relationship Id="rId106" Type="http://schemas.openxmlformats.org/officeDocument/2006/relationships/image" Target="media/image72.png"/><Relationship Id="rId105" Type="http://schemas.openxmlformats.org/officeDocument/2006/relationships/image" Target="media/image71.png"/><Relationship Id="rId104" Type="http://schemas.openxmlformats.org/officeDocument/2006/relationships/image" Target="../../AppData/Local/Temp/ksohtml9220/wps98.png" TargetMode="External"/><Relationship Id="rId103" Type="http://schemas.openxmlformats.org/officeDocument/2006/relationships/image" Target="media/image70.png"/><Relationship Id="rId102" Type="http://schemas.openxmlformats.org/officeDocument/2006/relationships/image" Target="../../AppData/Local/Temp/ksohtml9220/wps92.png" TargetMode="External"/><Relationship Id="rId101" Type="http://schemas.openxmlformats.org/officeDocument/2006/relationships/image" Target="media/image69.png"/><Relationship Id="rId100" Type="http://schemas.openxmlformats.org/officeDocument/2006/relationships/image" Target="media/image68.png"/><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BC4C00B9B63D4731B89BF213BF2B7DAD"/>
        <w:style w:val=""/>
        <w:category>
          <w:name w:val="常规"/>
          <w:gallery w:val="placeholder"/>
        </w:category>
        <w:types>
          <w:type w:val="bbPlcHdr"/>
        </w:types>
        <w:behaviors>
          <w:behavior w:val="content"/>
        </w:behaviors>
        <w:description w:val=""/>
        <w:guid w:val="{CC8A176B-031F-4801-9BF2-14C2B1F40715}"/>
      </w:docPartPr>
      <w:docPartBody>
        <w:p>
          <w:pPr>
            <w:pStyle w:val="5"/>
          </w:pPr>
          <w:r>
            <w:rPr>
              <w:rStyle w:val="4"/>
              <w:rFonts w:hint="eastAsia"/>
            </w:rPr>
            <w:t>单击或点击此处输入文字。</w:t>
          </w:r>
        </w:p>
      </w:docPartBody>
    </w:docPart>
    <w:docPart>
      <w:docPartPr>
        <w:name w:val="C9C576A342EB4A36B30E523A5803BA74"/>
        <w:style w:val=""/>
        <w:category>
          <w:name w:val="常规"/>
          <w:gallery w:val="placeholder"/>
        </w:category>
        <w:types>
          <w:type w:val="bbPlcHdr"/>
        </w:types>
        <w:behaviors>
          <w:behavior w:val="content"/>
        </w:behaviors>
        <w:description w:val=""/>
        <w:guid w:val="{5F22B7DC-25A4-4EFF-8DEF-D4ADB53CB7B7}"/>
      </w:docPartPr>
      <w:docPartBody>
        <w:p>
          <w:pPr>
            <w:pStyle w:val="6"/>
          </w:pPr>
          <w:r>
            <w:rPr>
              <w:rStyle w:val="4"/>
              <w:rFonts w:hint="eastAsia"/>
            </w:rPr>
            <w:t>选择一项。</w:t>
          </w:r>
        </w:p>
      </w:docPartBody>
    </w:docPart>
    <w:docPart>
      <w:docPartPr>
        <w:name w:val="E75F90EA20244DDFA70FE8209C49DA8C"/>
        <w:style w:val=""/>
        <w:category>
          <w:name w:val="常规"/>
          <w:gallery w:val="placeholder"/>
        </w:category>
        <w:types>
          <w:type w:val="bbPlcHdr"/>
        </w:types>
        <w:behaviors>
          <w:behavior w:val="content"/>
        </w:behaviors>
        <w:description w:val=""/>
        <w:guid w:val="{19626731-5905-4621-A5E7-1A978F6ECF88}"/>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仿宋"/>
    <w:panose1 w:val="00000000000000000000"/>
    <w:charset w:val="86"/>
    <w:family w:val="roman"/>
    <w:pitch w:val="default"/>
    <w:sig w:usb0="00000000" w:usb1="00000000" w:usb2="00000000" w:usb3="00000000" w:csb0="00000000"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true"/>
  <w:bordersDoNotSurroundFooter w:val="true"/>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9F7"/>
    <w:rsid w:val="00035D53"/>
    <w:rsid w:val="001E7414"/>
    <w:rsid w:val="003E555B"/>
    <w:rsid w:val="0041558A"/>
    <w:rsid w:val="004579F7"/>
    <w:rsid w:val="00521393"/>
    <w:rsid w:val="009717BE"/>
    <w:rsid w:val="00A1515B"/>
    <w:rsid w:val="00A64B0E"/>
    <w:rsid w:val="00BD0C99"/>
    <w:rsid w:val="00D85987"/>
    <w:rsid w:val="00E5170B"/>
    <w:rsid w:val="00FD2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BC4C00B9B63D4731B89BF213BF2B7DAD"/>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C9C576A342EB4A36B30E523A5803BA74"/>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E75F90EA20244DDFA70FE8209C49DA8C"/>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48</Pages>
  <Words>24914</Words>
  <Characters>27909</Characters>
  <Lines>3537</Lines>
  <Paragraphs>3183</Paragraphs>
  <TotalTime>10</TotalTime>
  <ScaleCrop>false</ScaleCrop>
  <LinksUpToDate>false</LinksUpToDate>
  <CharactersWithSpaces>28898</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2023-01-08T16:44:00Z</dcterms:created>
  <dc:creator>xb21cn</dc:creator>
  <cp:lastModifiedBy>user</cp:lastModifiedBy>
  <cp:lastPrinted>2020-08-30T18:00:00Z</cp:lastPrinted>
  <dcterms:modified xsi:type="dcterms:W3CDTF">2023-02-06T14:59:33Z</dcterms:modified>
  <dc:title>地方标准</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false</vt:lpwstr>
  </property>
  <property fmtid="{D5CDD505-2E9C-101B-9397-08002B2CF9AE}" pid="15" name="KSOProductBuildVer">
    <vt:lpwstr>2052-11.8.2.10489</vt:lpwstr>
  </property>
  <property fmtid="{D5CDD505-2E9C-101B-9397-08002B2CF9AE}" pid="16" name="ICV">
    <vt:lpwstr>3593A96E434D4B0F9179C483B3B4FA01</vt:lpwstr>
  </property>
</Properties>
</file>