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insoku w:val="0"/>
        <w:overflowPunct w:val="0"/>
        <w:snapToGrid w:val="0"/>
        <w:spacing w:before="0"/>
        <w:ind w:left="0" w:firstLine="922"/>
        <w:jc w:val="center"/>
        <w:rPr>
          <w:rFonts w:ascii="黑体" w:hAnsi="黑体" w:eastAsia="黑体"/>
          <w:spacing w:val="21"/>
          <w:sz w:val="44"/>
          <w:szCs w:val="44"/>
        </w:rPr>
      </w:pPr>
      <w:r>
        <w:rPr>
          <w:rFonts w:hint="eastAsia" w:ascii="黑体" w:hAnsi="黑体" w:eastAsia="黑体"/>
          <w:spacing w:val="21"/>
          <w:sz w:val="44"/>
          <w:szCs w:val="44"/>
        </w:rPr>
        <w:t>湖北省绿色建筑发展条例</w:t>
      </w:r>
    </w:p>
    <w:p>
      <w:pPr>
        <w:pStyle w:val="7"/>
        <w:kinsoku w:val="0"/>
        <w:overflowPunct w:val="0"/>
        <w:snapToGrid w:val="0"/>
        <w:spacing w:before="0"/>
        <w:ind w:left="0" w:firstLine="922"/>
        <w:jc w:val="center"/>
        <w:rPr>
          <w:rFonts w:ascii="黑体" w:hAnsi="黑体" w:eastAsia="黑体"/>
          <w:spacing w:val="21"/>
          <w:sz w:val="44"/>
          <w:szCs w:val="44"/>
        </w:rPr>
      </w:pPr>
      <w:r>
        <w:rPr>
          <w:rFonts w:hint="eastAsia" w:ascii="黑体" w:hAnsi="黑体" w:eastAsia="黑体"/>
          <w:spacing w:val="21"/>
          <w:sz w:val="44"/>
          <w:szCs w:val="44"/>
        </w:rPr>
        <w:t>（草案）</w:t>
      </w:r>
    </w:p>
    <w:p>
      <w:pPr>
        <w:pStyle w:val="2"/>
        <w:ind w:firstLine="645"/>
        <w:rPr>
          <w:w w:val="101"/>
        </w:rPr>
      </w:pPr>
      <w:r>
        <w:rPr>
          <w:rFonts w:hint="eastAsia"/>
          <w:w w:val="101"/>
        </w:rPr>
        <w:t>目录</w:t>
      </w:r>
    </w:p>
    <w:p>
      <w:pPr>
        <w:pStyle w:val="11"/>
        <w:tabs>
          <w:tab w:val="right" w:pos="8300"/>
        </w:tabs>
        <w:snapToGrid w:val="0"/>
        <w:ind w:firstLine="600"/>
        <w:jc w:val="both"/>
        <w:rPr>
          <w:szCs w:val="30"/>
        </w:rPr>
      </w:pPr>
      <w:r>
        <w:rPr>
          <w:rFonts w:ascii="黑体" w:hAnsi="黑体" w:eastAsia="黑体"/>
          <w:spacing w:val="21"/>
          <w:szCs w:val="30"/>
        </w:rPr>
        <w:fldChar w:fldCharType="begin"/>
      </w:r>
      <w:r>
        <w:rPr>
          <w:rFonts w:ascii="黑体" w:hAnsi="黑体" w:eastAsia="黑体"/>
          <w:spacing w:val="21"/>
          <w:szCs w:val="30"/>
        </w:rPr>
        <w:instrText xml:space="preserve"> </w:instrText>
      </w:r>
      <w:r>
        <w:rPr>
          <w:rFonts w:hint="eastAsia" w:ascii="黑体" w:hAnsi="黑体" w:eastAsia="黑体"/>
          <w:spacing w:val="21"/>
          <w:szCs w:val="30"/>
        </w:rPr>
        <w:instrText xml:space="preserve">TOC \o "1-1" \h \z \u</w:instrText>
      </w:r>
      <w:r>
        <w:rPr>
          <w:rFonts w:ascii="黑体" w:hAnsi="黑体" w:eastAsia="黑体"/>
          <w:spacing w:val="21"/>
          <w:szCs w:val="30"/>
        </w:rPr>
        <w:instrText xml:space="preserve"> </w:instrText>
      </w:r>
      <w:r>
        <w:rPr>
          <w:rFonts w:ascii="黑体" w:hAnsi="黑体" w:eastAsia="黑体"/>
          <w:spacing w:val="21"/>
          <w:szCs w:val="30"/>
        </w:rPr>
        <w:fldChar w:fldCharType="separate"/>
      </w:r>
      <w:r>
        <w:fldChar w:fldCharType="begin"/>
      </w:r>
      <w:r>
        <w:instrText xml:space="preserve"> HYPERLINK \l "_Toc118276681" </w:instrText>
      </w:r>
      <w:r>
        <w:fldChar w:fldCharType="separate"/>
      </w:r>
      <w:r>
        <w:rPr>
          <w:rStyle w:val="15"/>
          <w:color w:val="auto"/>
          <w:w w:val="101"/>
          <w:szCs w:val="30"/>
        </w:rPr>
        <w:t>第一章 总</w:t>
      </w:r>
      <w:r>
        <w:rPr>
          <w:rStyle w:val="15"/>
          <w:color w:val="auto"/>
          <w:szCs w:val="30"/>
        </w:rPr>
        <w:t xml:space="preserve"> </w:t>
      </w:r>
      <w:r>
        <w:rPr>
          <w:rStyle w:val="15"/>
          <w:color w:val="auto"/>
          <w:w w:val="101"/>
          <w:szCs w:val="30"/>
        </w:rPr>
        <w:t>则</w:t>
      </w:r>
      <w:r>
        <w:rPr>
          <w:szCs w:val="30"/>
        </w:rPr>
        <w:tab/>
      </w:r>
      <w:r>
        <w:rPr>
          <w:szCs w:val="30"/>
        </w:rPr>
        <w:fldChar w:fldCharType="end"/>
      </w:r>
    </w:p>
    <w:p>
      <w:pPr>
        <w:pStyle w:val="11"/>
        <w:tabs>
          <w:tab w:val="right" w:pos="8300"/>
        </w:tabs>
        <w:snapToGrid w:val="0"/>
        <w:ind w:firstLine="600"/>
        <w:jc w:val="both"/>
        <w:rPr>
          <w:szCs w:val="30"/>
        </w:rPr>
      </w:pPr>
      <w:r>
        <w:fldChar w:fldCharType="begin"/>
      </w:r>
      <w:r>
        <w:instrText xml:space="preserve"> HYPERLINK \l "_Toc118276682" </w:instrText>
      </w:r>
      <w:r>
        <w:fldChar w:fldCharType="separate"/>
      </w:r>
      <w:r>
        <w:rPr>
          <w:rStyle w:val="15"/>
          <w:color w:val="auto"/>
          <w:szCs w:val="30"/>
        </w:rPr>
        <w:t>第二章 规划与建设</w:t>
      </w:r>
      <w:r>
        <w:rPr>
          <w:szCs w:val="30"/>
        </w:rPr>
        <w:tab/>
      </w:r>
      <w:r>
        <w:rPr>
          <w:szCs w:val="30"/>
        </w:rPr>
        <w:fldChar w:fldCharType="end"/>
      </w:r>
    </w:p>
    <w:p>
      <w:pPr>
        <w:pStyle w:val="11"/>
        <w:tabs>
          <w:tab w:val="right" w:pos="8300"/>
        </w:tabs>
        <w:snapToGrid w:val="0"/>
        <w:ind w:firstLine="600"/>
        <w:jc w:val="both"/>
        <w:rPr>
          <w:szCs w:val="30"/>
        </w:rPr>
      </w:pPr>
      <w:r>
        <w:fldChar w:fldCharType="begin"/>
      </w:r>
      <w:r>
        <w:instrText xml:space="preserve"> HYPERLINK \l "_Toc118276683" </w:instrText>
      </w:r>
      <w:r>
        <w:fldChar w:fldCharType="separate"/>
      </w:r>
      <w:r>
        <w:rPr>
          <w:rStyle w:val="15"/>
          <w:color w:val="auto"/>
          <w:szCs w:val="30"/>
        </w:rPr>
        <w:t>第三章 运行</w:t>
      </w:r>
      <w:r>
        <w:rPr>
          <w:rStyle w:val="15"/>
          <w:rFonts w:hint="eastAsia"/>
          <w:color w:val="auto"/>
          <w:szCs w:val="30"/>
        </w:rPr>
        <w:t>与</w:t>
      </w:r>
      <w:r>
        <w:rPr>
          <w:rStyle w:val="15"/>
          <w:color w:val="auto"/>
          <w:szCs w:val="30"/>
        </w:rPr>
        <w:t>改造</w:t>
      </w:r>
      <w:r>
        <w:rPr>
          <w:szCs w:val="30"/>
        </w:rPr>
        <w:tab/>
      </w:r>
      <w:r>
        <w:rPr>
          <w:szCs w:val="30"/>
        </w:rPr>
        <w:fldChar w:fldCharType="end"/>
      </w:r>
    </w:p>
    <w:p>
      <w:pPr>
        <w:pStyle w:val="11"/>
        <w:tabs>
          <w:tab w:val="right" w:pos="8300"/>
        </w:tabs>
        <w:snapToGrid w:val="0"/>
        <w:ind w:firstLine="600"/>
        <w:jc w:val="both"/>
        <w:rPr>
          <w:szCs w:val="30"/>
        </w:rPr>
      </w:pPr>
      <w:r>
        <w:fldChar w:fldCharType="begin"/>
      </w:r>
      <w:r>
        <w:instrText xml:space="preserve"> HYPERLINK \l "_Toc118276684" </w:instrText>
      </w:r>
      <w:r>
        <w:fldChar w:fldCharType="separate"/>
      </w:r>
      <w:r>
        <w:rPr>
          <w:rStyle w:val="15"/>
          <w:color w:val="auto"/>
          <w:szCs w:val="30"/>
        </w:rPr>
        <w:t>第四章 引导与激励</w:t>
      </w:r>
      <w:r>
        <w:rPr>
          <w:szCs w:val="30"/>
        </w:rPr>
        <w:tab/>
      </w:r>
      <w:r>
        <w:rPr>
          <w:szCs w:val="30"/>
        </w:rPr>
        <w:fldChar w:fldCharType="end"/>
      </w:r>
    </w:p>
    <w:p>
      <w:pPr>
        <w:pStyle w:val="11"/>
        <w:tabs>
          <w:tab w:val="right" w:pos="8300"/>
        </w:tabs>
        <w:snapToGrid w:val="0"/>
        <w:ind w:firstLine="600"/>
        <w:jc w:val="both"/>
        <w:rPr>
          <w:szCs w:val="30"/>
        </w:rPr>
      </w:pPr>
      <w:r>
        <w:fldChar w:fldCharType="begin"/>
      </w:r>
      <w:r>
        <w:instrText xml:space="preserve"> HYPERLINK \l "_Toc118276685" </w:instrText>
      </w:r>
      <w:r>
        <w:fldChar w:fldCharType="separate"/>
      </w:r>
      <w:r>
        <w:rPr>
          <w:rStyle w:val="15"/>
          <w:color w:val="auto"/>
          <w:szCs w:val="30"/>
        </w:rPr>
        <w:t>第五章 法律责任</w:t>
      </w:r>
      <w:r>
        <w:rPr>
          <w:szCs w:val="30"/>
        </w:rPr>
        <w:tab/>
      </w:r>
      <w:r>
        <w:rPr>
          <w:szCs w:val="30"/>
        </w:rPr>
        <w:fldChar w:fldCharType="end"/>
      </w:r>
    </w:p>
    <w:p>
      <w:pPr>
        <w:pStyle w:val="11"/>
        <w:tabs>
          <w:tab w:val="right" w:pos="8300"/>
        </w:tabs>
        <w:snapToGrid w:val="0"/>
        <w:ind w:firstLine="600"/>
        <w:jc w:val="both"/>
        <w:rPr>
          <w:szCs w:val="30"/>
        </w:rPr>
      </w:pPr>
      <w:r>
        <w:fldChar w:fldCharType="begin"/>
      </w:r>
      <w:r>
        <w:instrText xml:space="preserve"> HYPERLINK \l "_Toc118276686" </w:instrText>
      </w:r>
      <w:r>
        <w:fldChar w:fldCharType="separate"/>
      </w:r>
      <w:r>
        <w:rPr>
          <w:rStyle w:val="15"/>
          <w:color w:val="auto"/>
          <w:szCs w:val="30"/>
        </w:rPr>
        <w:t>第六章 附则</w:t>
      </w:r>
      <w:r>
        <w:rPr>
          <w:szCs w:val="30"/>
        </w:rPr>
        <w:tab/>
      </w:r>
      <w:r>
        <w:rPr>
          <w:szCs w:val="30"/>
        </w:rPr>
        <w:fldChar w:fldCharType="end"/>
      </w:r>
    </w:p>
    <w:p>
      <w:pPr>
        <w:pStyle w:val="7"/>
        <w:kinsoku w:val="0"/>
        <w:overflowPunct w:val="0"/>
        <w:snapToGrid w:val="0"/>
        <w:spacing w:before="0"/>
        <w:ind w:left="0" w:firstLine="600"/>
        <w:jc w:val="both"/>
        <w:rPr>
          <w:rFonts w:ascii="黑体" w:hAnsi="黑体" w:eastAsia="黑体"/>
          <w:spacing w:val="21"/>
          <w:sz w:val="30"/>
          <w:szCs w:val="30"/>
        </w:rPr>
      </w:pPr>
      <w:r>
        <w:rPr>
          <w:rFonts w:ascii="黑体" w:hAnsi="黑体" w:eastAsia="黑体"/>
          <w:spacing w:val="21"/>
          <w:sz w:val="30"/>
          <w:szCs w:val="30"/>
        </w:rPr>
        <w:fldChar w:fldCharType="end"/>
      </w:r>
    </w:p>
    <w:p>
      <w:pPr>
        <w:pStyle w:val="2"/>
        <w:ind w:firstLine="645"/>
        <w:rPr>
          <w:w w:val="101"/>
        </w:rPr>
      </w:pPr>
      <w:bookmarkStart w:id="0" w:name="_Toc118276681"/>
      <w:r>
        <w:rPr>
          <w:rFonts w:hint="eastAsia"/>
          <w:w w:val="101"/>
        </w:rPr>
        <w:t>第一章</w:t>
      </w:r>
      <w:r>
        <w:rPr>
          <w:w w:val="101"/>
        </w:rPr>
        <w:t xml:space="preserve"> </w:t>
      </w:r>
      <w:r>
        <w:rPr>
          <w:rFonts w:hint="eastAsia"/>
          <w:w w:val="101"/>
        </w:rPr>
        <w:t>总</w:t>
      </w:r>
      <w:r>
        <w:t xml:space="preserve"> </w:t>
      </w:r>
      <w:r>
        <w:rPr>
          <w:rFonts w:hint="eastAsia"/>
          <w:w w:val="101"/>
        </w:rPr>
        <w:t>则</w:t>
      </w:r>
      <w:bookmarkEnd w:id="0"/>
      <w:r>
        <w:rPr>
          <w:w w:val="101"/>
        </w:rPr>
        <w:t xml:space="preserve"> </w:t>
      </w:r>
    </w:p>
    <w:p>
      <w:pPr>
        <w:ind w:left="607" w:firstLine="0" w:firstLineChars="0"/>
        <w:outlineLvl w:val="1"/>
        <w:rPr>
          <w:b/>
        </w:rPr>
      </w:pPr>
      <w:r>
        <w:rPr>
          <w:rFonts w:hint="eastAsia"/>
          <w:b/>
        </w:rPr>
        <w:t>第一条 （目的和依据）</w:t>
      </w:r>
    </w:p>
    <w:p>
      <w:pPr>
        <w:ind w:firstLine="605"/>
        <w:rPr>
          <w:w w:val="101"/>
        </w:rPr>
      </w:pPr>
      <w:r>
        <w:rPr>
          <w:rFonts w:hint="eastAsia"/>
          <w:w w:val="101"/>
        </w:rPr>
        <w:t>为了贯彻绿色发展理念，推进绿色建筑高质量发展，</w:t>
      </w:r>
      <w:r>
        <w:rPr>
          <w:rFonts w:hint="eastAsia"/>
        </w:rPr>
        <w:t>规范绿色建筑活动，</w:t>
      </w:r>
      <w:r>
        <w:rPr>
          <w:rFonts w:hint="eastAsia"/>
          <w:w w:val="101"/>
        </w:rPr>
        <w:t>节约资源，提高人居环境质量，切实做好城乡建设领域碳达峰、碳中和工作。根据《中华人民共和国建筑法》《中华人民共和国节约能源法》《民用建筑节能条例》等法律、法规的</w:t>
      </w:r>
      <w:r>
        <w:rPr>
          <w:w w:val="101"/>
        </w:rPr>
        <w:t>规定</w:t>
      </w:r>
      <w:r>
        <w:rPr>
          <w:rFonts w:hint="eastAsia"/>
          <w:w w:val="101"/>
        </w:rPr>
        <w:t>，结合本省实际，制定本条例。</w:t>
      </w:r>
    </w:p>
    <w:p>
      <w:pPr>
        <w:ind w:left="607" w:firstLine="0" w:firstLineChars="0"/>
        <w:outlineLvl w:val="1"/>
        <w:rPr>
          <w:b/>
        </w:rPr>
      </w:pPr>
      <w:r>
        <w:rPr>
          <w:rFonts w:hint="eastAsia"/>
          <w:b/>
        </w:rPr>
        <w:t>第二条 （适用范围）</w:t>
      </w:r>
    </w:p>
    <w:p>
      <w:pPr>
        <w:ind w:firstLine="600"/>
      </w:pPr>
      <w:r>
        <w:t>本</w:t>
      </w:r>
      <w:r>
        <w:rPr>
          <w:rFonts w:hint="eastAsia"/>
        </w:rPr>
        <w:t>条例</w:t>
      </w:r>
      <w:r>
        <w:t>适用于</w:t>
      </w:r>
      <w:r>
        <w:rPr>
          <w:rFonts w:hint="eastAsia"/>
        </w:rPr>
        <w:t>本省行政区域内从事与绿色建筑的规划、设计、施工、运行、改造、技术推广应用、引导激励及其监督管理等相关活动。</w:t>
      </w:r>
    </w:p>
    <w:p>
      <w:pPr>
        <w:ind w:firstLine="600"/>
      </w:pPr>
      <w:r>
        <w:rPr>
          <w:rFonts w:hint="eastAsia"/>
        </w:rPr>
        <w:t>本条例所称绿色建筑，是指在建筑全寿命期内节约资源、保护环境、减少污染，为人们提供健康、适用、高效的使用空间，最大限度实现人与自然和谐共生的高质量建筑。</w:t>
      </w:r>
    </w:p>
    <w:p>
      <w:pPr>
        <w:ind w:left="607" w:firstLine="0" w:firstLineChars="0"/>
        <w:outlineLvl w:val="1"/>
        <w:rPr>
          <w:b/>
        </w:rPr>
      </w:pPr>
      <w:r>
        <w:rPr>
          <w:rFonts w:hint="eastAsia"/>
          <w:b/>
        </w:rPr>
        <w:t>第三条 （基本原则）</w:t>
      </w:r>
    </w:p>
    <w:p>
      <w:pPr>
        <w:ind w:firstLine="600"/>
      </w:pPr>
      <w:r>
        <w:rPr>
          <w:rFonts w:hint="eastAsia"/>
        </w:rPr>
        <w:t>绿色</w:t>
      </w:r>
      <w:r>
        <w:t>建筑发展应</w:t>
      </w:r>
      <w:r>
        <w:rPr>
          <w:rFonts w:hint="eastAsia"/>
        </w:rPr>
        <w:t>当</w:t>
      </w:r>
      <w:r>
        <w:t>贯彻新发展理念，</w:t>
      </w:r>
      <w:r>
        <w:rPr>
          <w:rFonts w:hint="eastAsia"/>
        </w:rPr>
        <w:t>坚持以人为本，低碳发展，遵循政府推动、市场主导、因地制宜、统筹兼顾、</w:t>
      </w:r>
      <w:r>
        <w:t>经济适用的原则</w:t>
      </w:r>
      <w:r>
        <w:rPr>
          <w:rFonts w:hint="eastAsia"/>
        </w:rPr>
        <w:t>。</w:t>
      </w:r>
    </w:p>
    <w:p>
      <w:pPr>
        <w:ind w:left="607" w:firstLine="0" w:firstLineChars="0"/>
        <w:outlineLvl w:val="1"/>
        <w:rPr>
          <w:b/>
        </w:rPr>
      </w:pPr>
      <w:r>
        <w:rPr>
          <w:rFonts w:hint="eastAsia"/>
          <w:b/>
        </w:rPr>
        <w:t>第四条 （组织领导）</w:t>
      </w:r>
    </w:p>
    <w:p>
      <w:pPr>
        <w:ind w:firstLine="600"/>
      </w:pPr>
      <w:r>
        <w:rPr>
          <w:rFonts w:hint="eastAsia"/>
        </w:rPr>
        <w:t>县级以上人民政府应当将绿色建筑发展纳入国民经济和社会发展规划，将绿色建筑发展目标完成情况纳入政府“双</w:t>
      </w:r>
      <w:r>
        <w:t>控</w:t>
      </w:r>
      <w:r>
        <w:rPr>
          <w:rFonts w:hint="eastAsia"/>
        </w:rPr>
        <w:t>”目标</w:t>
      </w:r>
      <w:r>
        <w:t>考核</w:t>
      </w:r>
      <w:r>
        <w:rPr>
          <w:rFonts w:hint="eastAsia"/>
        </w:rPr>
        <w:t>。</w:t>
      </w:r>
    </w:p>
    <w:p>
      <w:pPr>
        <w:ind w:firstLine="600"/>
      </w:pPr>
      <w:r>
        <w:rPr>
          <w:rFonts w:hint="eastAsia"/>
        </w:rPr>
        <w:t>县级以上人民政府应当组织建立绿色建筑工作协调机制，研究、协调本行政区域内绿色建筑发展中的重大事项。</w:t>
      </w:r>
    </w:p>
    <w:p>
      <w:pPr>
        <w:ind w:left="607" w:firstLine="0" w:firstLineChars="0"/>
        <w:outlineLvl w:val="1"/>
        <w:rPr>
          <w:b/>
        </w:rPr>
      </w:pPr>
      <w:r>
        <w:rPr>
          <w:rFonts w:hint="eastAsia"/>
          <w:b/>
        </w:rPr>
        <w:t>第五条（管理职责）</w:t>
      </w:r>
    </w:p>
    <w:p>
      <w:pPr>
        <w:ind w:firstLine="600"/>
      </w:pPr>
      <w:r>
        <w:rPr>
          <w:rFonts w:hint="eastAsia"/>
        </w:rPr>
        <w:t>省住房城乡建设主管部门是本省绿色建筑活动的综合监督管理部门，并负责绿色建筑活动的监督管理工作。县级以上住房城乡建设主管部门负责本行政区域内绿色建筑工作的指导和监督管理工作。</w:t>
      </w:r>
    </w:p>
    <w:p>
      <w:pPr>
        <w:ind w:firstLine="600"/>
      </w:pPr>
      <w:r>
        <w:rPr>
          <w:rFonts w:hint="eastAsia"/>
        </w:rPr>
        <w:t>县级以上发展和改革、自然资源、财政、经济和信息化、市场监管、科技、教育、生态环境、城市管理、</w:t>
      </w:r>
      <w:r>
        <w:rPr>
          <w:rFonts w:hint="eastAsia"/>
          <w:shd w:val="clear" w:color="auto" w:fill="FFFFFF"/>
        </w:rPr>
        <w:t>机关事务管理</w:t>
      </w:r>
      <w:r>
        <w:rPr>
          <w:rFonts w:hint="eastAsia"/>
        </w:rPr>
        <w:t>等部门在各自职责范围内，做好绿色建筑发展相关工作。</w:t>
      </w:r>
    </w:p>
    <w:p>
      <w:pPr>
        <w:ind w:left="607" w:firstLine="0" w:firstLineChars="0"/>
        <w:outlineLvl w:val="1"/>
        <w:rPr>
          <w:b/>
        </w:rPr>
      </w:pPr>
      <w:r>
        <w:rPr>
          <w:b/>
        </w:rPr>
        <w:t>第</w:t>
      </w:r>
      <w:r>
        <w:rPr>
          <w:rFonts w:hint="eastAsia"/>
          <w:b/>
        </w:rPr>
        <w:t>六</w:t>
      </w:r>
      <w:r>
        <w:rPr>
          <w:b/>
        </w:rPr>
        <w:t>条</w:t>
      </w:r>
      <w:r>
        <w:rPr>
          <w:rFonts w:hint="eastAsia"/>
          <w:b/>
        </w:rPr>
        <w:t xml:space="preserve"> （宣传培训）</w:t>
      </w:r>
    </w:p>
    <w:p>
      <w:pPr>
        <w:ind w:firstLine="600"/>
      </w:pPr>
      <w:r>
        <w:rPr>
          <w:rFonts w:hint="eastAsia"/>
        </w:rPr>
        <w:t>县级以上人民政府及其相关部门应当鼓励行业协会和其他组织</w:t>
      </w:r>
      <w:r>
        <w:t>通过绿色建筑项目示范、产品展示、技术交流、设计竞赛等</w:t>
      </w:r>
      <w:r>
        <w:rPr>
          <w:rFonts w:hint="eastAsia"/>
        </w:rPr>
        <w:t>多种</w:t>
      </w:r>
      <w:r>
        <w:t>形式，</w:t>
      </w:r>
      <w:r>
        <w:rPr>
          <w:rFonts w:hint="eastAsia"/>
        </w:rPr>
        <w:t>广泛</w:t>
      </w:r>
      <w:r>
        <w:t>开展绿色建筑</w:t>
      </w:r>
      <w:r>
        <w:rPr>
          <w:rFonts w:hint="eastAsia"/>
        </w:rPr>
        <w:t>宣传</w:t>
      </w:r>
      <w:r>
        <w:t>培训，</w:t>
      </w:r>
      <w:r>
        <w:rPr>
          <w:rFonts w:hint="eastAsia"/>
        </w:rPr>
        <w:t>普及绿色建筑相关知识，提高</w:t>
      </w:r>
      <w:r>
        <w:t>城乡居民对绿色建筑的</w:t>
      </w:r>
      <w:r>
        <w:rPr>
          <w:rFonts w:hint="eastAsia"/>
        </w:rPr>
        <w:t>认识</w:t>
      </w:r>
      <w:r>
        <w:t>，</w:t>
      </w:r>
      <w:r>
        <w:rPr>
          <w:rFonts w:hint="eastAsia"/>
        </w:rPr>
        <w:t>推动形成崇尚绿色生活的社会氛围，提升从业人员的专业技术水平。</w:t>
      </w:r>
    </w:p>
    <w:p>
      <w:pPr>
        <w:ind w:firstLine="600"/>
      </w:pPr>
      <w:r>
        <w:rPr>
          <w:rFonts w:hint="eastAsia"/>
        </w:rPr>
        <w:t>对在绿色建筑发展工作中做出突出贡献的单位和个人，县级以上人民政府按照国家和本省有关规定给予表彰奖励。</w:t>
      </w:r>
    </w:p>
    <w:p>
      <w:pPr>
        <w:ind w:left="607" w:firstLine="0" w:firstLineChars="0"/>
        <w:outlineLvl w:val="1"/>
        <w:rPr>
          <w:b/>
        </w:rPr>
      </w:pPr>
      <w:r>
        <w:rPr>
          <w:rFonts w:hint="eastAsia"/>
          <w:b/>
        </w:rPr>
        <w:t>第七条</w:t>
      </w:r>
      <w:r>
        <w:rPr>
          <w:b/>
        </w:rPr>
        <w:t xml:space="preserve"> </w:t>
      </w:r>
      <w:r>
        <w:rPr>
          <w:rFonts w:hint="eastAsia"/>
          <w:b/>
        </w:rPr>
        <w:t>（绿色建筑标准）</w:t>
      </w:r>
    </w:p>
    <w:p>
      <w:pPr>
        <w:ind w:firstLine="600"/>
      </w:pPr>
      <w:r>
        <w:rPr>
          <w:rFonts w:hint="eastAsia"/>
        </w:rPr>
        <w:t>省住房城乡建设主管部门应当会同省市场监督管理主管部门按照国家标准规定，结合本省气候、环境、资源、文化等特点和经济发展水平，组织编制和完善地方绿色建筑标准，健全绿色建筑标准体系。</w:t>
      </w:r>
    </w:p>
    <w:p>
      <w:pPr>
        <w:ind w:left="607" w:firstLine="0" w:firstLineChars="0"/>
        <w:outlineLvl w:val="1"/>
        <w:rPr>
          <w:b/>
        </w:rPr>
      </w:pPr>
      <w:r>
        <w:rPr>
          <w:rFonts w:hint="eastAsia"/>
          <w:b/>
        </w:rPr>
        <w:t>第八条</w:t>
      </w:r>
      <w:r>
        <w:rPr>
          <w:b/>
        </w:rPr>
        <w:t xml:space="preserve"> </w:t>
      </w:r>
      <w:r>
        <w:rPr>
          <w:rFonts w:hint="eastAsia"/>
          <w:b/>
        </w:rPr>
        <w:t>（绿色建筑标识）</w:t>
      </w:r>
    </w:p>
    <w:p>
      <w:pPr>
        <w:ind w:firstLine="600"/>
      </w:pPr>
      <w:r>
        <w:rPr>
          <w:rFonts w:hint="eastAsia"/>
        </w:rPr>
        <w:t>按照国家规定，绿色建筑实行标识制度。绿色建筑等级按照国家标准，由低到高划分为基本级、一星级、二星级、三星级。</w:t>
      </w:r>
    </w:p>
    <w:p>
      <w:pPr>
        <w:ind w:left="607" w:firstLine="0" w:firstLineChars="0"/>
        <w:outlineLvl w:val="1"/>
        <w:rPr>
          <w:b/>
        </w:rPr>
      </w:pPr>
      <w:r>
        <w:rPr>
          <w:rFonts w:hint="eastAsia"/>
          <w:b/>
        </w:rPr>
        <w:t>第九条（绿色生态城区）</w:t>
      </w:r>
    </w:p>
    <w:p>
      <w:pPr>
        <w:ind w:firstLine="600"/>
      </w:pPr>
      <w:r>
        <w:rPr>
          <w:rFonts w:hint="eastAsia"/>
        </w:rPr>
        <w:t>县级以上住房城乡建设主管部门可以按照国家和本省有关规定，结合本地实际，提高绿色建筑发展水平，促进绿色建筑规模化、集约化发展，推进绿色生态城区示范工作，发挥绿色建筑集约发展效应。</w:t>
      </w:r>
    </w:p>
    <w:p>
      <w:pPr>
        <w:ind w:firstLine="600"/>
      </w:pPr>
    </w:p>
    <w:p>
      <w:pPr>
        <w:pStyle w:val="2"/>
        <w:ind w:firstLine="640"/>
      </w:pPr>
      <w:bookmarkStart w:id="1" w:name="_Toc118276682"/>
      <w:r>
        <w:rPr>
          <w:rFonts w:hint="eastAsia"/>
        </w:rPr>
        <w:t>第二章</w:t>
      </w:r>
      <w:r>
        <w:t xml:space="preserve"> </w:t>
      </w:r>
      <w:r>
        <w:rPr>
          <w:rFonts w:hint="eastAsia"/>
        </w:rPr>
        <w:t>规划与建设</w:t>
      </w:r>
      <w:bookmarkEnd w:id="1"/>
    </w:p>
    <w:p>
      <w:pPr>
        <w:ind w:left="607" w:firstLine="0" w:firstLineChars="0"/>
        <w:outlineLvl w:val="1"/>
      </w:pPr>
      <w:r>
        <w:rPr>
          <w:rFonts w:hint="eastAsia"/>
          <w:b/>
        </w:rPr>
        <w:t>第十条 （总体要求）</w:t>
      </w:r>
    </w:p>
    <w:p>
      <w:pPr>
        <w:ind w:firstLine="600"/>
      </w:pPr>
      <w:r>
        <w:rPr>
          <w:rFonts w:hint="eastAsia"/>
        </w:rPr>
        <w:t>全省城镇新建民用建筑应当按照绿色建筑标准建设。县以上中心城区国家机关办公建筑、大型公共建筑以及政府投资的公益性建筑，应当按照绿色建筑二星级及以上标准建设；保障性住房按照绿色建筑一星级及以上标准建设。鼓励其他民用建筑按照一星级及以上绿色建筑标准进行建设。</w:t>
      </w:r>
    </w:p>
    <w:p>
      <w:pPr>
        <w:ind w:left="607" w:firstLine="0" w:firstLineChars="0"/>
        <w:outlineLvl w:val="1"/>
        <w:rPr>
          <w:b/>
        </w:rPr>
      </w:pPr>
      <w:r>
        <w:rPr>
          <w:rFonts w:hint="eastAsia"/>
          <w:b/>
        </w:rPr>
        <w:t>第十一条（专项规划）</w:t>
      </w:r>
    </w:p>
    <w:p>
      <w:pPr>
        <w:ind w:firstLine="600"/>
      </w:pPr>
      <w:r>
        <w:rPr>
          <w:rFonts w:hint="eastAsia"/>
        </w:rPr>
        <w:t>县级以上住房城乡建设主管部门应当组织编制绿色建筑发展专项规划，报本级人民政府批准后向社会公布。绿色建筑发展专项规划应当符合国土空间总体规划，并与相关规划相衔接。自然资源主管部门应当将绿色建筑发展专项规划相关内容纳入控制性详细规划，根据控制性详细规划在建设用地规划条件中明确绿色建筑等级和控制</w:t>
      </w:r>
      <w:r>
        <w:t>指标</w:t>
      </w:r>
      <w:r>
        <w:rPr>
          <w:rFonts w:hint="eastAsia"/>
        </w:rPr>
        <w:t>。</w:t>
      </w:r>
    </w:p>
    <w:p>
      <w:pPr>
        <w:ind w:left="607" w:firstLine="0" w:firstLineChars="0"/>
        <w:outlineLvl w:val="1"/>
        <w:rPr>
          <w:b/>
        </w:rPr>
      </w:pPr>
      <w:r>
        <w:rPr>
          <w:rFonts w:hint="eastAsia"/>
          <w:b/>
        </w:rPr>
        <w:t>第十二条 （规划审批要求）</w:t>
      </w:r>
    </w:p>
    <w:p>
      <w:pPr>
        <w:ind w:firstLine="600"/>
      </w:pPr>
      <w:r>
        <w:rPr>
          <w:rFonts w:hint="eastAsia"/>
        </w:rPr>
        <w:t>在土地出让或者划拨时，县级以上自然资源主管部门应当就绿色建筑具体要求，并将绿色建筑</w:t>
      </w:r>
      <w:r>
        <w:t>等级</w:t>
      </w:r>
      <w:r>
        <w:rPr>
          <w:rFonts w:hint="eastAsia"/>
        </w:rPr>
        <w:t>和</w:t>
      </w:r>
      <w:r>
        <w:t>控制指标</w:t>
      </w:r>
      <w:r>
        <w:rPr>
          <w:rFonts w:hint="eastAsia"/>
        </w:rPr>
        <w:t>纳入国有土地</w:t>
      </w:r>
      <w:r>
        <w:t>有偿</w:t>
      </w:r>
      <w:r>
        <w:rPr>
          <w:rFonts w:hint="eastAsia"/>
        </w:rPr>
        <w:t>使用使用合同或者国有土地划拨决定书。</w:t>
      </w:r>
    </w:p>
    <w:p>
      <w:pPr>
        <w:ind w:firstLine="600"/>
      </w:pPr>
      <w:r>
        <w:rPr>
          <w:rFonts w:hint="eastAsia"/>
        </w:rPr>
        <w:t>县级以上自然资源</w:t>
      </w:r>
      <w:r>
        <w:t>主管部门</w:t>
      </w:r>
      <w:r>
        <w:rPr>
          <w:rFonts w:hint="eastAsia"/>
        </w:rPr>
        <w:t>应当</w:t>
      </w:r>
      <w:r>
        <w:t>对</w:t>
      </w:r>
      <w:r>
        <w:rPr>
          <w:rFonts w:hint="eastAsia"/>
        </w:rPr>
        <w:t>规划</w:t>
      </w:r>
      <w:r>
        <w:t>方案</w:t>
      </w:r>
      <w:r>
        <w:rPr>
          <w:rFonts w:hint="eastAsia"/>
        </w:rPr>
        <w:t>中</w:t>
      </w:r>
      <w:r>
        <w:t>绿色建筑相关要求是否达到</w:t>
      </w:r>
      <w:r>
        <w:rPr>
          <w:rFonts w:hint="eastAsia"/>
        </w:rPr>
        <w:t>建设用地规划条件予以核实，并将</w:t>
      </w:r>
      <w:r>
        <w:t>绿色建筑等级</w:t>
      </w:r>
      <w:r>
        <w:rPr>
          <w:rFonts w:hint="eastAsia"/>
        </w:rPr>
        <w:t>和</w:t>
      </w:r>
      <w:r>
        <w:t>控制指标</w:t>
      </w:r>
      <w:r>
        <w:rPr>
          <w:rFonts w:hint="eastAsia"/>
        </w:rPr>
        <w:t>纳入</w:t>
      </w:r>
      <w:r>
        <w:t>建筑工程规划许可证。</w:t>
      </w:r>
    </w:p>
    <w:p>
      <w:pPr>
        <w:ind w:firstLine="600"/>
      </w:pPr>
      <w:r>
        <w:rPr>
          <w:rFonts w:hint="eastAsia"/>
        </w:rPr>
        <w:t>县级以上发展和改革主管部门审批、核准政府投资的民用建筑项目，应当审查绿色建筑等级是否符合</w:t>
      </w:r>
      <w:r>
        <w:rPr>
          <w:rFonts w:ascii="仿宋_GB2312" w:hAnsi="宋体" w:eastAsia="仿宋_GB2312" w:cs="仿宋_GB2312"/>
          <w:sz w:val="32"/>
          <w:szCs w:val="32"/>
          <w:lang w:bidi="ar"/>
        </w:rPr>
        <w:t>控制性</w:t>
      </w:r>
      <w:r>
        <w:rPr>
          <w:rFonts w:hint="eastAsia"/>
        </w:rPr>
        <w:t>详细规划要求，并将绿色建筑要求纳入固定资产投资项目节能评估和审查范围。</w:t>
      </w:r>
    </w:p>
    <w:p>
      <w:pPr>
        <w:ind w:firstLine="602"/>
        <w:rPr>
          <w:b/>
        </w:rPr>
      </w:pPr>
      <w:r>
        <w:rPr>
          <w:rFonts w:hint="eastAsia"/>
          <w:b/>
        </w:rPr>
        <w:t>第十三条 （建设单位要求）</w:t>
      </w:r>
    </w:p>
    <w:p>
      <w:pPr>
        <w:ind w:firstLine="600"/>
      </w:pPr>
      <w:r>
        <w:rPr>
          <w:rFonts w:hint="eastAsia"/>
        </w:rPr>
        <w:t>建设单位应当按照</w:t>
      </w:r>
      <w:r>
        <w:t>建筑工程规划许可证</w:t>
      </w:r>
      <w:r>
        <w:rPr>
          <w:rFonts w:hint="eastAsia"/>
        </w:rPr>
        <w:t>注明的绿色建筑等级要求进行建设，加强对绿色建筑建设全过程的质量管理，</w:t>
      </w:r>
      <w:r>
        <w:t>承担建设单位的工程质量管理责任</w:t>
      </w:r>
      <w:r>
        <w:rPr>
          <w:rFonts w:hint="eastAsia"/>
        </w:rPr>
        <w:t>。</w:t>
      </w:r>
    </w:p>
    <w:p>
      <w:pPr>
        <w:ind w:firstLine="600"/>
      </w:pPr>
      <w:r>
        <w:rPr>
          <w:rFonts w:hint="eastAsia"/>
        </w:rPr>
        <w:t>新建民用建筑项目的项目建议书、可行性研究报告或者项目申请报告应当包含绿色建筑设计说明或者专篇，设计说明或者专篇中应当包含绿色建筑等级、技术以及节能</w:t>
      </w:r>
      <w:r>
        <w:t>减排</w:t>
      </w:r>
      <w:r>
        <w:rPr>
          <w:rFonts w:hint="eastAsia"/>
        </w:rPr>
        <w:t>等内容，并将绿色建筑的相关建设费用纳入工程投资概预算。</w:t>
      </w:r>
    </w:p>
    <w:p>
      <w:pPr>
        <w:ind w:firstLine="600"/>
      </w:pPr>
      <w:r>
        <w:rPr>
          <w:rFonts w:hint="eastAsia"/>
        </w:rPr>
        <w:t>建设单位在进行建设项目咨询、设计、施工、监理的招标或者委托时，应当在招标文件和合同中载明建设项目的绿色建筑等级及相关要求，并督促建设工程各参与单位予以落实。</w:t>
      </w:r>
    </w:p>
    <w:p>
      <w:pPr>
        <w:ind w:firstLine="600"/>
      </w:pPr>
      <w:r>
        <w:rPr>
          <w:rFonts w:hint="eastAsia"/>
        </w:rPr>
        <w:t>建设单位组织项目竣工验收，应当包含绿色</w:t>
      </w:r>
      <w:r>
        <w:t>建筑</w:t>
      </w:r>
      <w:r>
        <w:rPr>
          <w:rFonts w:hint="eastAsia"/>
        </w:rPr>
        <w:t>工程</w:t>
      </w:r>
      <w:r>
        <w:t>验收信息表等</w:t>
      </w:r>
      <w:r>
        <w:rPr>
          <w:rFonts w:hint="eastAsia"/>
        </w:rPr>
        <w:t>绿色建筑专项验收内容，对建筑是否符合施工图设计文件进行查验，对不符合施工图设计文件的，不得出具竣工验收合格报告。</w:t>
      </w:r>
    </w:p>
    <w:p>
      <w:pPr>
        <w:ind w:left="607" w:firstLine="0" w:firstLineChars="0"/>
        <w:outlineLvl w:val="1"/>
        <w:rPr>
          <w:b/>
        </w:rPr>
      </w:pPr>
      <w:r>
        <w:rPr>
          <w:rFonts w:hint="eastAsia"/>
          <w:b/>
        </w:rPr>
        <w:t>第十四条 （设计单位要求）</w:t>
      </w:r>
    </w:p>
    <w:p>
      <w:pPr>
        <w:ind w:firstLine="600"/>
      </w:pPr>
      <w:r>
        <w:rPr>
          <w:rFonts w:hint="eastAsia"/>
        </w:rPr>
        <w:t>设计单位应当按照建设工程规划许可证注明的绿色建筑等级要求，在绿色建筑方案设计、初步设计、施工图设计等工程设计文件中明确绿色建筑等级，编制绿色建筑设计说明或者专篇。在绿色建筑工程竣工验收前，出具绿色建筑评价意见。</w:t>
      </w:r>
    </w:p>
    <w:p>
      <w:pPr>
        <w:ind w:firstLine="600"/>
      </w:pPr>
      <w:r>
        <w:rPr>
          <w:rFonts w:hint="eastAsia"/>
        </w:rPr>
        <w:t>新建民用建筑设计时应当按照国家和本省有关规定，采用太阳能、地热</w:t>
      </w:r>
      <w:r>
        <w:t>能</w:t>
      </w:r>
      <w:r>
        <w:rPr>
          <w:rFonts w:hint="eastAsia"/>
        </w:rPr>
        <w:t>、空气能等一种或者多种形式的可再生能源。</w:t>
      </w:r>
    </w:p>
    <w:p>
      <w:pPr>
        <w:ind w:left="607" w:firstLine="0" w:firstLineChars="0"/>
        <w:outlineLvl w:val="1"/>
        <w:rPr>
          <w:b/>
        </w:rPr>
      </w:pPr>
      <w:r>
        <w:rPr>
          <w:rFonts w:hint="eastAsia"/>
          <w:b/>
        </w:rPr>
        <w:t>第十五条（图审机构要求）</w:t>
      </w:r>
    </w:p>
    <w:p>
      <w:pPr>
        <w:ind w:firstLine="600"/>
      </w:pPr>
      <w:r>
        <w:rPr>
          <w:rFonts w:hint="eastAsia"/>
        </w:rPr>
        <w:t>施工图审查机构应当按照建设工程规划许可证注明的绿色建筑等级要求依法对施工图设计文件中的绿色建筑内容进行审查，未经审查或者经审查不符合要求的，不得出具施工图设计文件审查合格证书。</w:t>
      </w:r>
    </w:p>
    <w:p>
      <w:pPr>
        <w:ind w:firstLine="600"/>
      </w:pPr>
      <w:r>
        <w:rPr>
          <w:rFonts w:hint="eastAsia"/>
        </w:rPr>
        <w:t>通过审查的绿色建筑相关内容不得擅自变更；涉及主要内容变更的，应当重新审查。</w:t>
      </w:r>
    </w:p>
    <w:p>
      <w:pPr>
        <w:ind w:left="607" w:firstLine="0" w:firstLineChars="0"/>
        <w:outlineLvl w:val="1"/>
        <w:rPr>
          <w:b/>
        </w:rPr>
      </w:pPr>
      <w:r>
        <w:rPr>
          <w:rFonts w:hint="eastAsia"/>
          <w:b/>
        </w:rPr>
        <w:t>第十六条（施工单位要求）</w:t>
      </w:r>
    </w:p>
    <w:p>
      <w:pPr>
        <w:ind w:firstLine="600"/>
      </w:pPr>
      <w:r>
        <w:rPr>
          <w:rFonts w:hint="eastAsia"/>
        </w:rPr>
        <w:t>施工单位应当按照国家和本省绿色施工有关技术标准要求，以及审查合格的施工图设计文件，编制绿色建筑施工方案，并组织实施。</w:t>
      </w:r>
    </w:p>
    <w:p>
      <w:pPr>
        <w:ind w:firstLine="600"/>
      </w:pPr>
      <w:r>
        <w:rPr>
          <w:rFonts w:hint="eastAsia"/>
        </w:rPr>
        <w:t>施工单位应当在建筑工程施工现场公示绿色建筑等级和主要技术指标。对进入施工现场的墙体材料、保温材料、门窗、供暖制冷设备、电气照明设备、非传统水源利用设施、给排水设备等进行检查。不符合施工图设计文件要求的，不得使用，在绿色建筑工程竣工验收前，出具绿色建筑自评报告。</w:t>
      </w:r>
    </w:p>
    <w:p>
      <w:pPr>
        <w:ind w:left="607" w:firstLine="0" w:firstLineChars="0"/>
        <w:outlineLvl w:val="1"/>
        <w:rPr>
          <w:b/>
        </w:rPr>
      </w:pPr>
      <w:r>
        <w:rPr>
          <w:rFonts w:hint="eastAsia"/>
          <w:b/>
        </w:rPr>
        <w:t>第十七条（监理单位要求）</w:t>
      </w:r>
    </w:p>
    <w:p>
      <w:pPr>
        <w:ind w:firstLine="600"/>
      </w:pPr>
      <w:r>
        <w:rPr>
          <w:rFonts w:hint="eastAsia"/>
        </w:rPr>
        <w:t>监理单位应当按照国家和本省绿色施工有关技术标准要求，以及审查合格的施工图设计文件，编制绿色建筑监理方案，并实施监理。</w:t>
      </w:r>
    </w:p>
    <w:p>
      <w:pPr>
        <w:ind w:firstLine="600"/>
      </w:pPr>
      <w:r>
        <w:rPr>
          <w:rFonts w:hint="eastAsia"/>
        </w:rPr>
        <w:t>监理单位发现施工单位不按照施工图设计文件要求施工的，应当要求改正，拒不改正的，应当及时告知建设单位。在绿色建筑工程竣工验收前，出具绿色建筑评估报告。</w:t>
      </w:r>
    </w:p>
    <w:p>
      <w:pPr>
        <w:ind w:left="607" w:firstLine="0" w:firstLineChars="0"/>
        <w:outlineLvl w:val="1"/>
        <w:rPr>
          <w:b/>
        </w:rPr>
      </w:pPr>
      <w:r>
        <w:rPr>
          <w:b/>
        </w:rPr>
        <w:t>第十</w:t>
      </w:r>
      <w:r>
        <w:rPr>
          <w:rFonts w:hint="eastAsia"/>
          <w:b/>
        </w:rPr>
        <w:t>八</w:t>
      </w:r>
      <w:r>
        <w:rPr>
          <w:b/>
        </w:rPr>
        <w:t>条</w:t>
      </w:r>
      <w:r>
        <w:rPr>
          <w:rFonts w:hint="eastAsia"/>
          <w:b/>
        </w:rPr>
        <w:t>（检测和</w:t>
      </w:r>
      <w:r>
        <w:rPr>
          <w:b/>
        </w:rPr>
        <w:t>能效评估</w:t>
      </w:r>
      <w:r>
        <w:rPr>
          <w:rFonts w:hint="eastAsia"/>
          <w:b/>
        </w:rPr>
        <w:t>机构要求）</w:t>
      </w:r>
    </w:p>
    <w:p>
      <w:pPr>
        <w:ind w:firstLine="600"/>
      </w:pPr>
      <w:r>
        <w:rPr>
          <w:rFonts w:hint="eastAsia"/>
        </w:rPr>
        <w:t>工程质量检测和</w:t>
      </w:r>
      <w:r>
        <w:t>能效评估</w:t>
      </w:r>
      <w:r>
        <w:rPr>
          <w:rFonts w:hint="eastAsia"/>
        </w:rPr>
        <w:t>机构应当按照建设工程质量管理要求和相关标准，对绿色建筑工程质量进行检测和评估，出具检测和</w:t>
      </w:r>
      <w:r>
        <w:t>能效评估报告</w:t>
      </w:r>
      <w:r>
        <w:rPr>
          <w:rFonts w:hint="eastAsia"/>
        </w:rPr>
        <w:t>，并对其真实性、准确性负责。</w:t>
      </w:r>
    </w:p>
    <w:p>
      <w:pPr>
        <w:ind w:left="607" w:firstLine="0" w:firstLineChars="0"/>
        <w:outlineLvl w:val="1"/>
        <w:rPr>
          <w:b/>
        </w:rPr>
      </w:pPr>
      <w:r>
        <w:rPr>
          <w:b/>
        </w:rPr>
        <w:t>第十</w:t>
      </w:r>
      <w:r>
        <w:rPr>
          <w:rFonts w:hint="eastAsia"/>
          <w:b/>
        </w:rPr>
        <w:t>九</w:t>
      </w:r>
      <w:r>
        <w:rPr>
          <w:b/>
        </w:rPr>
        <w:t>条</w:t>
      </w:r>
      <w:r>
        <w:rPr>
          <w:rFonts w:hint="eastAsia"/>
          <w:b/>
        </w:rPr>
        <w:t>（质量保证）</w:t>
      </w:r>
    </w:p>
    <w:p>
      <w:pPr>
        <w:ind w:firstLine="600"/>
      </w:pPr>
      <w:r>
        <w:rPr>
          <w:rFonts w:hint="eastAsia"/>
        </w:rPr>
        <w:t>建设、设计、施工、监理单位应当遵守建筑工程质量、安全生产相关法律法规的规定，保证绿色建筑工程的质量和安全。</w:t>
      </w:r>
    </w:p>
    <w:p>
      <w:pPr>
        <w:ind w:left="607" w:firstLine="0" w:firstLineChars="0"/>
        <w:outlineLvl w:val="1"/>
        <w:rPr>
          <w:b/>
        </w:rPr>
      </w:pPr>
      <w:r>
        <w:rPr>
          <w:rFonts w:hint="eastAsia"/>
          <w:b/>
        </w:rPr>
        <w:t>第二十条（监督管理）</w:t>
      </w:r>
    </w:p>
    <w:p>
      <w:pPr>
        <w:ind w:firstLine="600"/>
      </w:pPr>
      <w:r>
        <w:rPr>
          <w:rFonts w:hint="eastAsia"/>
        </w:rPr>
        <w:t>县级以上住房城乡建设主管部门应当依据</w:t>
      </w:r>
      <w:r>
        <w:t>绿色建筑标准和相关法律、法规，对建筑实体质量和勘察、设计、施工、监理</w:t>
      </w:r>
      <w:r>
        <w:rPr>
          <w:rFonts w:hint="eastAsia"/>
        </w:rPr>
        <w:t>、</w:t>
      </w:r>
      <w:r>
        <w:t>质量检测</w:t>
      </w:r>
      <w:r>
        <w:rPr>
          <w:rFonts w:hint="eastAsia"/>
        </w:rPr>
        <w:t>和</w:t>
      </w:r>
      <w:r>
        <w:t>能效评估</w:t>
      </w:r>
      <w:r>
        <w:rPr>
          <w:rFonts w:hint="eastAsia"/>
        </w:rPr>
        <w:t>单位</w:t>
      </w:r>
      <w:r>
        <w:t>的质量行为进行</w:t>
      </w:r>
      <w:r>
        <w:rPr>
          <w:rFonts w:hint="eastAsia"/>
        </w:rPr>
        <w:t>监督检查，发现建设单位未按照绿色建筑相关要求进行验收的，应当责令重新组织验收。</w:t>
      </w:r>
    </w:p>
    <w:p>
      <w:pPr>
        <w:ind w:firstLine="600"/>
      </w:pPr>
      <w:r>
        <w:rPr>
          <w:rFonts w:hint="eastAsia"/>
        </w:rPr>
        <w:t>城建档案主管部门在签收档案资料时，应当对竣工验收报告中的绿色</w:t>
      </w:r>
      <w:r>
        <w:t>建筑</w:t>
      </w:r>
      <w:r>
        <w:rPr>
          <w:rFonts w:hint="eastAsia"/>
        </w:rPr>
        <w:t>工程</w:t>
      </w:r>
      <w:r>
        <w:t>验收信息表等</w:t>
      </w:r>
      <w:r>
        <w:rPr>
          <w:rFonts w:hint="eastAsia"/>
        </w:rPr>
        <w:t>绿色建筑专项验收相关资料的完备性进行查验。</w:t>
      </w:r>
    </w:p>
    <w:p>
      <w:pPr>
        <w:ind w:firstLine="600"/>
      </w:pPr>
      <w:r>
        <w:rPr>
          <w:rFonts w:hint="eastAsia"/>
        </w:rPr>
        <w:t>一星级、二星级、三星级绿色建筑的</w:t>
      </w:r>
      <w:r>
        <w:t>认定按照国家和本省相关规定开展实施。</w:t>
      </w:r>
    </w:p>
    <w:p>
      <w:pPr>
        <w:ind w:firstLine="600"/>
      </w:pPr>
      <w:r>
        <w:rPr>
          <w:rFonts w:hint="eastAsia"/>
        </w:rPr>
        <w:t>住宅绿色性能和全装修质量应当纳入分户验收范围。</w:t>
      </w:r>
    </w:p>
    <w:p>
      <w:pPr>
        <w:pStyle w:val="2"/>
        <w:ind w:firstLine="640"/>
      </w:pPr>
      <w:bookmarkStart w:id="2" w:name="_Toc118276683"/>
      <w:r>
        <w:rPr>
          <w:rFonts w:hint="eastAsia"/>
        </w:rPr>
        <w:t>第三章</w:t>
      </w:r>
      <w:r>
        <w:t xml:space="preserve"> </w:t>
      </w:r>
      <w:r>
        <w:rPr>
          <w:rFonts w:hint="eastAsia"/>
        </w:rPr>
        <w:t>运行与改造</w:t>
      </w:r>
      <w:bookmarkEnd w:id="2"/>
    </w:p>
    <w:p>
      <w:pPr>
        <w:ind w:left="607" w:firstLine="0" w:firstLineChars="0"/>
        <w:outlineLvl w:val="1"/>
        <w:rPr>
          <w:b/>
        </w:rPr>
      </w:pPr>
      <w:r>
        <w:rPr>
          <w:rFonts w:hint="eastAsia"/>
          <w:b/>
        </w:rPr>
        <w:t>第二十一条</w:t>
      </w:r>
      <w:r>
        <w:rPr>
          <w:b/>
        </w:rPr>
        <w:t xml:space="preserve"> </w:t>
      </w:r>
      <w:r>
        <w:rPr>
          <w:rFonts w:hint="eastAsia"/>
          <w:b/>
        </w:rPr>
        <w:t>（绿色建筑信息提供）</w:t>
      </w:r>
    </w:p>
    <w:p>
      <w:pPr>
        <w:ind w:firstLine="600"/>
      </w:pPr>
      <w:r>
        <w:rPr>
          <w:rFonts w:hint="eastAsia"/>
        </w:rPr>
        <w:t>新建建筑投入使用前，建设单位应当按照规定，向建筑所有权人、使用权人或者运行管理单位提供绿色建筑等级、关键技术指标、可再生能源应用系统相关设施设备的品牌、型号、维护要求以及绿色建筑相关设施设备、材料的保修单位、保修范围和保修期等信息。</w:t>
      </w:r>
    </w:p>
    <w:p>
      <w:pPr>
        <w:ind w:firstLine="600"/>
      </w:pPr>
      <w:r>
        <w:rPr>
          <w:rFonts w:hint="eastAsia"/>
        </w:rPr>
        <w:t>新建建筑商品房买卖合同和住宅质量保证书、住宅使用说明书中应当如实载明所销售房屋的绿色建筑等级、技术指标、质量保修责任，并在售楼现场予以明示。</w:t>
      </w:r>
    </w:p>
    <w:p>
      <w:pPr>
        <w:ind w:left="607" w:firstLine="0" w:firstLineChars="0"/>
        <w:outlineLvl w:val="1"/>
        <w:rPr>
          <w:b/>
        </w:rPr>
      </w:pPr>
      <w:r>
        <w:rPr>
          <w:rFonts w:hint="eastAsia"/>
          <w:b/>
        </w:rPr>
        <w:t>第二十二条 （运行维护责任主体）</w:t>
      </w:r>
    </w:p>
    <w:p>
      <w:pPr>
        <w:ind w:firstLine="600"/>
      </w:pPr>
      <w:r>
        <w:rPr>
          <w:rFonts w:hint="eastAsia"/>
        </w:rPr>
        <w:t>建筑所有权人或者使用权人</w:t>
      </w:r>
      <w:r>
        <w:t>应</w:t>
      </w:r>
      <w:r>
        <w:rPr>
          <w:rFonts w:hint="eastAsia"/>
        </w:rPr>
        <w:t>当</w:t>
      </w:r>
      <w:r>
        <w:t>强化绿色建筑运行管理，定期核查绿色建筑主要性能指标运行情况，按年度及时上报属地住房城乡建设</w:t>
      </w:r>
      <w:r>
        <w:rPr>
          <w:rFonts w:hint="eastAsia"/>
        </w:rPr>
        <w:t>主管</w:t>
      </w:r>
      <w:r>
        <w:t>部门或</w:t>
      </w:r>
      <w:r>
        <w:rPr>
          <w:rFonts w:hint="eastAsia"/>
        </w:rPr>
        <w:t>“</w:t>
      </w:r>
      <w:r>
        <w:t>绿色建筑标识管理信息系统</w:t>
      </w:r>
      <w:r>
        <w:rPr>
          <w:rFonts w:hint="eastAsia"/>
        </w:rPr>
        <w:t>”</w:t>
      </w:r>
      <w:r>
        <w:t>。</w:t>
      </w:r>
    </w:p>
    <w:p>
      <w:pPr>
        <w:ind w:firstLine="600"/>
      </w:pPr>
      <w:r>
        <w:rPr>
          <w:rFonts w:hint="eastAsia"/>
        </w:rPr>
        <w:t>绿色建筑所有权人或者使用权人应当对绿色建筑的设施设备进行维护和保养，保障绿色建筑相关设施设备正常运行。</w:t>
      </w:r>
    </w:p>
    <w:p>
      <w:pPr>
        <w:ind w:left="607" w:firstLine="0" w:firstLineChars="0"/>
        <w:outlineLvl w:val="1"/>
        <w:rPr>
          <w:b/>
        </w:rPr>
      </w:pPr>
      <w:r>
        <w:rPr>
          <w:rFonts w:hint="eastAsia"/>
          <w:b/>
        </w:rPr>
        <w:t>第二十三条</w:t>
      </w:r>
      <w:r>
        <w:rPr>
          <w:b/>
        </w:rPr>
        <w:t xml:space="preserve"> </w:t>
      </w:r>
      <w:r>
        <w:rPr>
          <w:rFonts w:hint="eastAsia"/>
          <w:b/>
        </w:rPr>
        <w:t>（运行维护要求）</w:t>
      </w:r>
    </w:p>
    <w:p>
      <w:pPr>
        <w:ind w:firstLine="600"/>
      </w:pPr>
      <w:r>
        <w:rPr>
          <w:rFonts w:hint="eastAsia"/>
        </w:rPr>
        <w:t>绿色建筑的运行维护服务应当符合下列要求：</w:t>
      </w:r>
    </w:p>
    <w:p>
      <w:pPr>
        <w:ind w:firstLine="600"/>
      </w:pPr>
      <w:r>
        <w:rPr>
          <w:rFonts w:hint="eastAsia"/>
        </w:rPr>
        <w:t>（一）运行管理制度完备；</w:t>
      </w:r>
    </w:p>
    <w:p>
      <w:pPr>
        <w:ind w:firstLine="600"/>
      </w:pPr>
      <w:r>
        <w:rPr>
          <w:rFonts w:hint="eastAsia"/>
        </w:rPr>
        <w:t>（二）屋顶、外墙、外门窗等建筑围护结构完好，遮阳等设施设备运行正常；</w:t>
      </w:r>
    </w:p>
    <w:p>
      <w:pPr>
        <w:ind w:firstLine="600"/>
      </w:pPr>
      <w:r>
        <w:rPr>
          <w:rFonts w:hint="eastAsia"/>
        </w:rPr>
        <w:t>（三）供暖、通风、空调、照明、给排水、电气、燃气等设备系统运行正常、记录完整；</w:t>
      </w:r>
    </w:p>
    <w:p>
      <w:pPr>
        <w:ind w:firstLine="600"/>
      </w:pPr>
      <w:r>
        <w:rPr>
          <w:rFonts w:hint="eastAsia"/>
        </w:rPr>
        <w:t>（四）节电、节水指标符合国家和本省的规定；</w:t>
      </w:r>
    </w:p>
    <w:p>
      <w:pPr>
        <w:ind w:firstLine="600"/>
      </w:pPr>
      <w:r>
        <w:rPr>
          <w:rFonts w:hint="eastAsia"/>
        </w:rPr>
        <w:t>（五）绿地率和室内的温湿度、噪声、空气质量等环境指标达到绿色建筑相应标准；</w:t>
      </w:r>
    </w:p>
    <w:p>
      <w:pPr>
        <w:ind w:firstLine="600"/>
      </w:pPr>
      <w:r>
        <w:rPr>
          <w:rFonts w:hint="eastAsia"/>
        </w:rPr>
        <w:t>（六）废气、污水、固体废弃物及其他有害物质排放和处置符合国家和本省的规定。</w:t>
      </w:r>
    </w:p>
    <w:p>
      <w:pPr>
        <w:ind w:left="607" w:firstLine="0" w:firstLineChars="0"/>
        <w:outlineLvl w:val="1"/>
        <w:rPr>
          <w:b/>
        </w:rPr>
      </w:pPr>
      <w:r>
        <w:rPr>
          <w:rFonts w:hint="eastAsia"/>
          <w:b/>
        </w:rPr>
        <w:t>第二十四条</w:t>
      </w:r>
      <w:r>
        <w:rPr>
          <w:b/>
        </w:rPr>
        <w:t xml:space="preserve"> </w:t>
      </w:r>
      <w:r>
        <w:rPr>
          <w:rFonts w:hint="eastAsia"/>
          <w:b/>
        </w:rPr>
        <w:t>（能耗监测与统计）</w:t>
      </w:r>
    </w:p>
    <w:p>
      <w:pPr>
        <w:ind w:firstLine="600"/>
      </w:pPr>
      <w:r>
        <w:rPr>
          <w:rFonts w:hint="eastAsia"/>
        </w:rPr>
        <w:t>县级以上人民政府应当建立城市建筑用水、用电、用气、用热等数据共享机制，提升建筑能耗监测能力。</w:t>
      </w:r>
    </w:p>
    <w:p>
      <w:pPr>
        <w:ind w:firstLine="600"/>
      </w:pPr>
      <w:r>
        <w:rPr>
          <w:rFonts w:hint="eastAsia"/>
        </w:rPr>
        <w:t>县级以上住房城乡建设主管部门应当建立健全建筑能耗统计、能源审计、能耗监测和信息公示制度，实施能耗限额管理，为科学、高效监管绿色建筑运行提供依据。</w:t>
      </w:r>
    </w:p>
    <w:p>
      <w:pPr>
        <w:ind w:firstLine="600"/>
      </w:pPr>
      <w:r>
        <w:rPr>
          <w:rFonts w:hint="eastAsia"/>
        </w:rPr>
        <w:t>新建国家机关办公建筑和大型公共建筑，应当同步安装与本省建筑能耗监管信息系统联网的能耗监测装置。</w:t>
      </w:r>
    </w:p>
    <w:p>
      <w:pPr>
        <w:ind w:left="607" w:firstLine="0" w:firstLineChars="0"/>
        <w:outlineLvl w:val="1"/>
        <w:rPr>
          <w:b/>
        </w:rPr>
      </w:pPr>
      <w:r>
        <w:rPr>
          <w:rFonts w:hint="eastAsia"/>
          <w:b/>
        </w:rPr>
        <w:t>第二十五条</w:t>
      </w:r>
      <w:r>
        <w:rPr>
          <w:b/>
        </w:rPr>
        <w:t xml:space="preserve"> </w:t>
      </w:r>
      <w:r>
        <w:rPr>
          <w:rFonts w:hint="eastAsia"/>
          <w:b/>
        </w:rPr>
        <w:t>（能效评估）</w:t>
      </w:r>
    </w:p>
    <w:p>
      <w:pPr>
        <w:ind w:firstLine="600"/>
      </w:pPr>
      <w:r>
        <w:t>全面推行建筑能效测评制度</w:t>
      </w:r>
      <w:r>
        <w:rPr>
          <w:rFonts w:hint="eastAsia"/>
        </w:rPr>
        <w:t>，对反映建筑物能源消耗量及建筑物用能系统效率等性能指标进行计算、核查与必要的检测，评定建筑能效等级，并在建筑物显著位置进行公示。</w:t>
      </w:r>
    </w:p>
    <w:p>
      <w:pPr>
        <w:ind w:left="607" w:firstLine="0" w:firstLineChars="0"/>
        <w:outlineLvl w:val="1"/>
        <w:rPr>
          <w:b/>
        </w:rPr>
      </w:pPr>
      <w:r>
        <w:rPr>
          <w:rFonts w:hint="eastAsia"/>
          <w:b/>
        </w:rPr>
        <w:t>第二十六条</w:t>
      </w:r>
      <w:r>
        <w:rPr>
          <w:b/>
        </w:rPr>
        <w:t xml:space="preserve"> </w:t>
      </w:r>
      <w:r>
        <w:rPr>
          <w:rFonts w:hint="eastAsia"/>
          <w:b/>
        </w:rPr>
        <w:t>（既有建筑绿色改造）</w:t>
      </w:r>
    </w:p>
    <w:p>
      <w:pPr>
        <w:ind w:firstLine="600"/>
      </w:pPr>
      <w:r>
        <w:rPr>
          <w:rFonts w:hint="eastAsia"/>
        </w:rPr>
        <w:t>县级以上人民政府应当根据实际情况制定政策、编制计划，推动既有民用建筑造按照国家和本省有关规定进行绿色</w:t>
      </w:r>
      <w:r>
        <w:t>改造</w:t>
      </w:r>
      <w:r>
        <w:rPr>
          <w:rFonts w:hint="eastAsia"/>
        </w:rPr>
        <w:t>。</w:t>
      </w:r>
    </w:p>
    <w:p>
      <w:pPr>
        <w:ind w:firstLine="600"/>
      </w:pPr>
      <w:r>
        <w:rPr>
          <w:rFonts w:hint="eastAsia"/>
        </w:rPr>
        <w:t>既有大型公共建筑和国家机关办公建筑、国有资金参与投资建设的其他公共建筑不符合相应绿色建筑标准的，应当纳入绿色改造计划，</w:t>
      </w:r>
      <w:r>
        <w:t>改造应</w:t>
      </w:r>
      <w:r>
        <w:rPr>
          <w:rFonts w:hint="eastAsia"/>
        </w:rPr>
        <w:t>当同步安装与本省建筑能耗监管信息系统联网的能耗监测装置。</w:t>
      </w:r>
    </w:p>
    <w:p>
      <w:pPr>
        <w:ind w:firstLine="600"/>
      </w:pPr>
      <w:r>
        <w:rPr>
          <w:rFonts w:hint="eastAsia"/>
        </w:rPr>
        <w:t>鼓励建筑节能服务机构为建筑运行和既有民用建筑绿色化改造提供合同能源管理服务。改造后节约能耗产生的收益，可以按照合同约定用于支付节能服务机构的服务费用。</w:t>
      </w:r>
    </w:p>
    <w:p>
      <w:pPr>
        <w:ind w:firstLine="600"/>
      </w:pPr>
      <w:r>
        <w:rPr>
          <w:rFonts w:hint="eastAsia"/>
        </w:rPr>
        <w:t>鼓励结合城市更新和城镇老旧小区改造，有序推动既有民用建筑实施绿色改造，全面提升既有建筑的综合性能。鼓励在既有建筑改造中利用可再生能源。</w:t>
      </w:r>
    </w:p>
    <w:p>
      <w:pPr>
        <w:pStyle w:val="2"/>
        <w:ind w:firstLine="640"/>
      </w:pPr>
      <w:bookmarkStart w:id="3" w:name="_Toc118276684"/>
      <w:r>
        <w:rPr>
          <w:rFonts w:hint="eastAsia"/>
        </w:rPr>
        <w:t>第四章</w:t>
      </w:r>
      <w:r>
        <w:t xml:space="preserve"> 引导与激励</w:t>
      </w:r>
      <w:bookmarkEnd w:id="3"/>
    </w:p>
    <w:p>
      <w:pPr>
        <w:ind w:left="607" w:firstLine="0" w:firstLineChars="0"/>
        <w:outlineLvl w:val="1"/>
        <w:rPr>
          <w:b/>
        </w:rPr>
      </w:pPr>
      <w:r>
        <w:rPr>
          <w:rFonts w:hint="eastAsia"/>
          <w:b/>
        </w:rPr>
        <w:t>第二十七条 （政策保障）</w:t>
      </w:r>
    </w:p>
    <w:p>
      <w:pPr>
        <w:ind w:firstLine="600"/>
      </w:pPr>
      <w:r>
        <w:rPr>
          <w:rFonts w:hint="eastAsia"/>
        </w:rPr>
        <w:t>省人民政府应当将绿色建筑技术的研发、应用以及推广纳入战略性新兴产业发展规划，推动绿色建筑产业发展，优先将绿色建筑重点项目纳入省重大建设项目开发储备库。</w:t>
      </w:r>
    </w:p>
    <w:p>
      <w:pPr>
        <w:ind w:firstLine="600"/>
      </w:pPr>
      <w:r>
        <w:rPr>
          <w:rFonts w:hint="eastAsia"/>
        </w:rPr>
        <w:t>县级以上人民政府及其有关部门根据产业发展规划，因地制宜制定鼓励政策，统筹安排资金，促进绿色建筑产业发展，重点用于下列工作：</w:t>
      </w:r>
    </w:p>
    <w:p>
      <w:pPr>
        <w:ind w:firstLine="600"/>
      </w:pPr>
      <w:r>
        <w:rPr>
          <w:rFonts w:hint="eastAsia"/>
        </w:rPr>
        <w:t>（一）绿色建筑相关的新技术、新工艺、新材料、新设备的研究和推广应用；</w:t>
      </w:r>
    </w:p>
    <w:p>
      <w:pPr>
        <w:ind w:firstLine="600"/>
      </w:pPr>
      <w:r>
        <w:rPr>
          <w:rFonts w:hint="eastAsia"/>
        </w:rPr>
        <w:t>（二）绿色建筑标识认定、合同能源管理、可再生能源建筑应用、超低能耗建筑、装配式建筑、既有民用建筑改造等项目示范和区域示范；</w:t>
      </w:r>
    </w:p>
    <w:p>
      <w:pPr>
        <w:ind w:firstLine="600"/>
      </w:pPr>
      <w:r>
        <w:rPr>
          <w:rFonts w:hint="eastAsia"/>
        </w:rPr>
        <w:t>（三）绿色建筑政策法规、技术标准等培训和公共信息服务；</w:t>
      </w:r>
    </w:p>
    <w:p>
      <w:pPr>
        <w:ind w:firstLine="600"/>
      </w:pPr>
      <w:r>
        <w:rPr>
          <w:rFonts w:hint="eastAsia"/>
        </w:rPr>
        <w:t>（四）绿色建筑发展宣传培训。</w:t>
      </w:r>
    </w:p>
    <w:p>
      <w:pPr>
        <w:ind w:left="607" w:firstLine="0" w:firstLineChars="0"/>
        <w:outlineLvl w:val="1"/>
        <w:rPr>
          <w:b/>
        </w:rPr>
      </w:pPr>
      <w:r>
        <w:rPr>
          <w:rFonts w:hint="eastAsia"/>
          <w:b/>
        </w:rPr>
        <w:t>第二十八条</w:t>
      </w:r>
      <w:r>
        <w:rPr>
          <w:b/>
        </w:rPr>
        <w:t xml:space="preserve"> </w:t>
      </w:r>
      <w:r>
        <w:rPr>
          <w:rFonts w:hint="eastAsia"/>
          <w:b/>
        </w:rPr>
        <w:t>（技术创新）</w:t>
      </w:r>
    </w:p>
    <w:p>
      <w:pPr>
        <w:ind w:firstLine="600"/>
      </w:pPr>
      <w:r>
        <w:rPr>
          <w:rFonts w:hint="eastAsia"/>
        </w:rPr>
        <w:t>县级以上人民政府应当鼓励和支持绿色建筑活动各参与单位以及高等院校、科研机构、行业协会等开展绿色建筑相关新技术、新工艺、新材料、新设备的研发、应用、示范、推广，培育市场导向下的绿色建筑技术创新体系，促进绿色建筑技术进步与创新。</w:t>
      </w:r>
    </w:p>
    <w:p>
      <w:pPr>
        <w:ind w:firstLine="600"/>
      </w:pPr>
      <w:r>
        <w:rPr>
          <w:rFonts w:hint="eastAsia"/>
        </w:rPr>
        <w:t>鼓励开展超低能耗建筑、近零能耗建筑、零碳建筑的试点示范。鼓励绿色建筑执行更高建筑节能标准，降低建筑的采暖、制冷、照明、热水能耗。</w:t>
      </w:r>
    </w:p>
    <w:p>
      <w:pPr>
        <w:ind w:firstLine="600"/>
        <w:rPr>
          <w:bCs/>
          <w:szCs w:val="30"/>
        </w:rPr>
      </w:pPr>
      <w:r>
        <w:rPr>
          <w:rFonts w:hint="eastAsia"/>
          <w:bCs/>
          <w:szCs w:val="30"/>
        </w:rPr>
        <w:t>鼓励绿色</w:t>
      </w:r>
      <w:r>
        <w:rPr>
          <w:bCs/>
          <w:szCs w:val="30"/>
        </w:rPr>
        <w:t>建筑上下游产业</w:t>
      </w:r>
      <w:r>
        <w:rPr>
          <w:rFonts w:hint="eastAsia"/>
          <w:bCs/>
          <w:szCs w:val="30"/>
        </w:rPr>
        <w:t>协同</w:t>
      </w:r>
      <w:r>
        <w:rPr>
          <w:bCs/>
          <w:szCs w:val="30"/>
        </w:rPr>
        <w:t>，</w:t>
      </w:r>
      <w:r>
        <w:rPr>
          <w:rFonts w:hint="eastAsia"/>
          <w:bCs/>
          <w:szCs w:val="30"/>
        </w:rPr>
        <w:t>通过</w:t>
      </w:r>
      <w:r>
        <w:rPr>
          <w:bCs/>
          <w:szCs w:val="30"/>
        </w:rPr>
        <w:t>技术创新，</w:t>
      </w:r>
      <w:r>
        <w:rPr>
          <w:rFonts w:hint="eastAsia"/>
          <w:bCs/>
          <w:szCs w:val="30"/>
        </w:rPr>
        <w:t>优化</w:t>
      </w:r>
      <w:r>
        <w:rPr>
          <w:bCs/>
          <w:szCs w:val="30"/>
        </w:rPr>
        <w:t>资源配置，</w:t>
      </w:r>
      <w:r>
        <w:rPr>
          <w:rFonts w:hint="eastAsia"/>
          <w:bCs/>
          <w:szCs w:val="30"/>
        </w:rPr>
        <w:t>搭建</w:t>
      </w:r>
      <w:r>
        <w:rPr>
          <w:bCs/>
          <w:szCs w:val="30"/>
        </w:rPr>
        <w:t>绿色建筑产业链。</w:t>
      </w:r>
    </w:p>
    <w:p>
      <w:pPr>
        <w:ind w:firstLine="600"/>
      </w:pPr>
      <w:r>
        <w:rPr>
          <w:rFonts w:hint="eastAsia"/>
        </w:rPr>
        <w:t>鼓励在绿色建筑活动中，采用合同能源管理、绿色运行专业托管以及其他创新模式。</w:t>
      </w:r>
    </w:p>
    <w:p>
      <w:pPr>
        <w:ind w:left="607" w:firstLine="0" w:firstLineChars="0"/>
        <w:outlineLvl w:val="1"/>
        <w:rPr>
          <w:b/>
        </w:rPr>
      </w:pPr>
      <w:r>
        <w:rPr>
          <w:rFonts w:hint="eastAsia"/>
          <w:b/>
        </w:rPr>
        <w:t>第二十九条 （重点技术）</w:t>
      </w:r>
    </w:p>
    <w:p>
      <w:pPr>
        <w:ind w:firstLine="600"/>
      </w:pPr>
      <w:r>
        <w:rPr>
          <w:rFonts w:hint="eastAsia"/>
        </w:rPr>
        <w:t>省</w:t>
      </w:r>
      <w:r>
        <w:t>人民政府及其相关部门应当推动建材工业转型升级，支持企业开展绿色建材</w:t>
      </w:r>
      <w:r>
        <w:rPr>
          <w:rFonts w:hint="eastAsia"/>
        </w:rPr>
        <w:t>生产</w:t>
      </w:r>
      <w:r>
        <w:t>和</w:t>
      </w:r>
      <w:r>
        <w:rPr>
          <w:rFonts w:hint="eastAsia"/>
        </w:rPr>
        <w:t>应用</w:t>
      </w:r>
      <w:r>
        <w:t>技术改造，促进绿色建材和绿色建筑融合。</w:t>
      </w:r>
      <w:r>
        <w:rPr>
          <w:rFonts w:hint="eastAsia"/>
        </w:rPr>
        <w:t>推广使用绿色建筑新技术、新工艺、新材料和新设备，限制或者禁止使用高耗能、高耗水、高污染的技术、工艺、材料和设备。省住房城乡建设主管部门应当制定、公布并及时更新推广使用、限制使用、禁止使用目录。</w:t>
      </w:r>
    </w:p>
    <w:p>
      <w:pPr>
        <w:ind w:firstLine="600"/>
      </w:pPr>
      <w:r>
        <w:rPr>
          <w:rFonts w:hint="eastAsia"/>
        </w:rPr>
        <w:t>鼓励采用绿色建筑技术清单：</w:t>
      </w:r>
    </w:p>
    <w:p>
      <w:pPr>
        <w:ind w:firstLine="600"/>
      </w:pPr>
      <w:r>
        <w:rPr>
          <w:rFonts w:hint="eastAsia"/>
        </w:rPr>
        <w:t>（一）高强钢筋和高性能混凝土、再生骨料混凝土技术；</w:t>
      </w:r>
    </w:p>
    <w:p>
      <w:pPr>
        <w:ind w:firstLine="600"/>
      </w:pPr>
      <w:r>
        <w:rPr>
          <w:rFonts w:hint="eastAsia"/>
        </w:rPr>
        <w:t>（二）高性能外墙保温技术、高性能门窗技术；</w:t>
      </w:r>
    </w:p>
    <w:p>
      <w:pPr>
        <w:ind w:firstLine="600"/>
      </w:pPr>
      <w:r>
        <w:rPr>
          <w:rFonts w:hint="eastAsia"/>
        </w:rPr>
        <w:t>（三）雨水、再生水利用技术；</w:t>
      </w:r>
    </w:p>
    <w:p>
      <w:pPr>
        <w:ind w:firstLine="600"/>
      </w:pPr>
      <w:r>
        <w:rPr>
          <w:rFonts w:hint="eastAsia"/>
        </w:rPr>
        <w:t>（四）装配式建筑技术；</w:t>
      </w:r>
    </w:p>
    <w:p>
      <w:pPr>
        <w:ind w:firstLine="600"/>
      </w:pPr>
      <w:r>
        <w:rPr>
          <w:rFonts w:hint="eastAsia"/>
        </w:rPr>
        <w:t>（五）建筑信息模型应用技术；</w:t>
      </w:r>
    </w:p>
    <w:p>
      <w:pPr>
        <w:ind w:firstLine="600"/>
      </w:pPr>
      <w:r>
        <w:rPr>
          <w:rFonts w:hint="eastAsia"/>
        </w:rPr>
        <w:t>（六）绿色施工技术；</w:t>
      </w:r>
    </w:p>
    <w:p>
      <w:pPr>
        <w:ind w:firstLine="600"/>
      </w:pPr>
      <w:r>
        <w:rPr>
          <w:rFonts w:hint="eastAsia"/>
        </w:rPr>
        <w:t>（七）其他绿色建筑新技术。</w:t>
      </w:r>
    </w:p>
    <w:p>
      <w:pPr>
        <w:ind w:left="607" w:firstLine="0" w:firstLineChars="0"/>
        <w:outlineLvl w:val="1"/>
        <w:rPr>
          <w:b/>
        </w:rPr>
      </w:pPr>
      <w:r>
        <w:rPr>
          <w:rFonts w:hint="eastAsia"/>
          <w:b/>
        </w:rPr>
        <w:t>第三十条 （激励政策）</w:t>
      </w:r>
    </w:p>
    <w:p>
      <w:pPr>
        <w:ind w:firstLine="600"/>
      </w:pPr>
      <w:r>
        <w:rPr>
          <w:rFonts w:hint="eastAsia"/>
        </w:rPr>
        <w:t>绿色建筑项目按照国家和本省有关规定，享受信用</w:t>
      </w:r>
      <w:r>
        <w:t>、</w:t>
      </w:r>
      <w:r>
        <w:rPr>
          <w:rFonts w:hint="eastAsia"/>
        </w:rPr>
        <w:t>财政、税收、融资等优惠政策。</w:t>
      </w:r>
    </w:p>
    <w:p>
      <w:pPr>
        <w:ind w:firstLine="600"/>
      </w:pPr>
      <w:r>
        <w:rPr>
          <w:rFonts w:hint="eastAsia"/>
        </w:rPr>
        <w:t>县级以上人民政府应当按照国家和本省规定，将绿色建筑活动参与单位相关信用信息归集到公共信用信息服务平台，并依法采取守信激励措施。</w:t>
      </w:r>
    </w:p>
    <w:p>
      <w:pPr>
        <w:ind w:firstLine="600"/>
      </w:pPr>
      <w:r>
        <w:rPr>
          <w:rFonts w:hint="eastAsia"/>
        </w:rPr>
        <w:t>加大促进绿色建筑发展的资金投入，鼓励和引导社会资本投资、运行绿色建筑。</w:t>
      </w:r>
    </w:p>
    <w:p>
      <w:pPr>
        <w:ind w:firstLine="600"/>
      </w:pPr>
      <w:r>
        <w:rPr>
          <w:rFonts w:hint="eastAsia"/>
        </w:rPr>
        <w:t>建设、购买、运行绿色建筑，实行</w:t>
      </w:r>
      <w:r>
        <w:t>下列扶持政策：</w:t>
      </w:r>
    </w:p>
    <w:p>
      <w:pPr>
        <w:ind w:firstLine="600"/>
      </w:pPr>
      <w:r>
        <w:rPr>
          <w:rFonts w:hint="eastAsia"/>
        </w:rPr>
        <w:t>（一）执行一星级及以上的绿色建筑，可按建筑面积给予一定的财政补贴，其房屋契税征收基数按购房合同总价款扣除全装修成本后计取，并可分期交纳土地出让金，同时在收取国家规定的各类保证金时，可实行相应的减免政策；</w:t>
      </w:r>
    </w:p>
    <w:p>
      <w:pPr>
        <w:ind w:firstLine="600"/>
      </w:pPr>
      <w:r>
        <w:rPr>
          <w:rFonts w:hint="eastAsia"/>
        </w:rPr>
        <w:t>（二）使用住房公积金贷款购买一星级及以上绿色建筑商品房或者超低能耗建筑商品房，贷款额度上浮一定比例，具体上浮比例由住房城乡建设主管部门确定；住房公积金贷款额度不超过当地住房公积金个人贷款额度上限；</w:t>
      </w:r>
    </w:p>
    <w:p>
      <w:pPr>
        <w:ind w:firstLine="600"/>
      </w:pPr>
      <w:r>
        <w:rPr>
          <w:rFonts w:hint="eastAsia"/>
        </w:rPr>
        <w:t>（三）执行一星级及以上的绿色建筑，通过绿色通道，依法提供审批、审核、审查等相关事项快捷服务。对参与建设的开发和施工单位，可优先办理资质升级、延期、预售许可等相关手续；</w:t>
      </w:r>
    </w:p>
    <w:p>
      <w:pPr>
        <w:ind w:firstLine="600"/>
      </w:pPr>
      <w:r>
        <w:rPr>
          <w:rFonts w:hint="eastAsia"/>
        </w:rPr>
        <w:t>（四）鼓励金融机构向绿色建筑产业提供一系列用于项目投资、建材生产、工程设计、施工、改造和消费等全生命周期的金融服务。依据项目的绿色建筑等级、建筑能耗水平或装配率在融资额度、贷款利率、保险费率等方面提供差异化服务；</w:t>
      </w:r>
    </w:p>
    <w:p>
      <w:pPr>
        <w:ind w:firstLine="600"/>
      </w:pPr>
      <w:r>
        <w:rPr>
          <w:rFonts w:hint="eastAsia"/>
        </w:rPr>
        <w:t>（五）一星级及以上绿色建筑、装配式建筑、超低能耗建筑、近零能耗建筑、零能耗建筑、低碳建筑、零碳建筑等项目在各类工程建设项目评优及相关示范工程评选中优先。并将获得星级绿色建筑标识作为其必备条件；</w:t>
      </w:r>
    </w:p>
    <w:p>
      <w:pPr>
        <w:ind w:firstLine="600"/>
      </w:pPr>
      <w:r>
        <w:rPr>
          <w:rFonts w:hint="eastAsia"/>
        </w:rPr>
        <w:t>（六）对实施绿色建筑成效显著的企业，在项目招投标中给予加分奖励。</w:t>
      </w:r>
    </w:p>
    <w:p>
      <w:pPr>
        <w:ind w:firstLine="600"/>
      </w:pPr>
      <w:r>
        <w:rPr>
          <w:rFonts w:hint="eastAsia"/>
        </w:rPr>
        <w:t>各市、州、直管市、神农架林区人民政府可以依据本地实际情况制定其他扶持政策。</w:t>
      </w:r>
    </w:p>
    <w:p>
      <w:pPr>
        <w:pStyle w:val="2"/>
        <w:ind w:firstLine="640"/>
      </w:pPr>
      <w:bookmarkStart w:id="4" w:name="_Toc118276685"/>
      <w:r>
        <w:rPr>
          <w:rFonts w:hint="eastAsia"/>
        </w:rPr>
        <w:t>第五章</w:t>
      </w:r>
      <w:r>
        <w:t xml:space="preserve"> </w:t>
      </w:r>
      <w:r>
        <w:rPr>
          <w:rFonts w:hint="eastAsia"/>
        </w:rPr>
        <w:t>法律责任</w:t>
      </w:r>
      <w:bookmarkEnd w:id="4"/>
    </w:p>
    <w:p>
      <w:pPr>
        <w:ind w:left="607" w:firstLine="0" w:firstLineChars="0"/>
        <w:outlineLvl w:val="1"/>
        <w:rPr>
          <w:b/>
        </w:rPr>
      </w:pPr>
      <w:r>
        <w:rPr>
          <w:rFonts w:hint="eastAsia"/>
          <w:b/>
        </w:rPr>
        <w:t>第三十一条</w:t>
      </w:r>
      <w:r>
        <w:rPr>
          <w:b/>
        </w:rPr>
        <w:t xml:space="preserve"> </w:t>
      </w:r>
      <w:r>
        <w:rPr>
          <w:rFonts w:hint="eastAsia"/>
          <w:b/>
        </w:rPr>
        <w:t>（指引性规定）</w:t>
      </w:r>
    </w:p>
    <w:p>
      <w:pPr>
        <w:ind w:firstLine="600"/>
      </w:pPr>
      <w:r>
        <w:rPr>
          <w:rFonts w:hint="eastAsia"/>
        </w:rPr>
        <w:t>违反本条例的行为，法律、法规已有处理规定的，从其规定。</w:t>
      </w:r>
    </w:p>
    <w:p>
      <w:pPr>
        <w:ind w:left="607" w:firstLine="0" w:firstLineChars="0"/>
        <w:outlineLvl w:val="1"/>
        <w:rPr>
          <w:b/>
        </w:rPr>
      </w:pPr>
      <w:r>
        <w:rPr>
          <w:rFonts w:hint="eastAsia"/>
          <w:b/>
        </w:rPr>
        <w:t>第三十二条</w:t>
      </w:r>
      <w:r>
        <w:rPr>
          <w:b/>
        </w:rPr>
        <w:t xml:space="preserve"> </w:t>
      </w:r>
      <w:r>
        <w:rPr>
          <w:rFonts w:hint="eastAsia"/>
          <w:b/>
        </w:rPr>
        <w:t>（行政责任）</w:t>
      </w:r>
    </w:p>
    <w:p>
      <w:pPr>
        <w:ind w:firstLine="600"/>
      </w:pPr>
      <w:r>
        <w:rPr>
          <w:rFonts w:hint="eastAsia"/>
        </w:rPr>
        <w:t>县级以上人民</w:t>
      </w:r>
      <w:r>
        <w:t>政府</w:t>
      </w:r>
      <w:r>
        <w:rPr>
          <w:rFonts w:hint="eastAsia"/>
        </w:rPr>
        <w:t>和其他相关部门及其工作人员违反本条例规定，有下列情形之一的，依法给予处分：</w:t>
      </w:r>
    </w:p>
    <w:p>
      <w:pPr>
        <w:ind w:firstLine="600"/>
      </w:pPr>
      <w:r>
        <w:rPr>
          <w:rFonts w:hint="eastAsia"/>
        </w:rPr>
        <w:t>（一）违法实施行政许可或者行政处罚的；</w:t>
      </w:r>
    </w:p>
    <w:p>
      <w:pPr>
        <w:ind w:firstLine="600"/>
      </w:pPr>
      <w:r>
        <w:rPr>
          <w:rFonts w:hint="eastAsia"/>
        </w:rPr>
        <w:t>（二）未按照本条例规定履行监督检查职责的；</w:t>
      </w:r>
    </w:p>
    <w:p>
      <w:pPr>
        <w:ind w:firstLine="600"/>
      </w:pPr>
      <w:r>
        <w:rPr>
          <w:rFonts w:hint="eastAsia"/>
        </w:rPr>
        <w:t>（三）发现违法行为不及时查处，或者包庇、纵容违法行为，造成后果的；</w:t>
      </w:r>
    </w:p>
    <w:p>
      <w:pPr>
        <w:ind w:firstLine="600"/>
      </w:pPr>
      <w:r>
        <w:rPr>
          <w:rFonts w:hint="eastAsia"/>
        </w:rPr>
        <w:t>（四）其他玩忽职守、滥用职权、徇私舞弊的。</w:t>
      </w:r>
    </w:p>
    <w:p>
      <w:pPr>
        <w:ind w:left="607" w:firstLine="0" w:firstLineChars="0"/>
        <w:outlineLvl w:val="1"/>
        <w:rPr>
          <w:b/>
        </w:rPr>
      </w:pPr>
      <w:r>
        <w:rPr>
          <w:b/>
        </w:rPr>
        <w:t>第</w:t>
      </w:r>
      <w:r>
        <w:rPr>
          <w:rFonts w:hint="eastAsia"/>
          <w:b/>
        </w:rPr>
        <w:t>三十三</w:t>
      </w:r>
      <w:r>
        <w:rPr>
          <w:b/>
        </w:rPr>
        <w:t>条</w:t>
      </w:r>
      <w:r>
        <w:rPr>
          <w:rFonts w:hint="eastAsia"/>
          <w:b/>
        </w:rPr>
        <w:t xml:space="preserve"> （建设单位责任）</w:t>
      </w:r>
    </w:p>
    <w:p>
      <w:pPr>
        <w:ind w:firstLine="600"/>
      </w:pPr>
      <w:r>
        <w:rPr>
          <w:rFonts w:hint="eastAsia"/>
        </w:rPr>
        <w:t>违反</w:t>
      </w:r>
      <w:r>
        <w:t>本条例第十三条</w:t>
      </w:r>
      <w:r>
        <w:rPr>
          <w:rFonts w:hint="eastAsia"/>
        </w:rPr>
        <w:t>第一款、第二款、</w:t>
      </w:r>
      <w:r>
        <w:t>第三款</w:t>
      </w:r>
      <w:r>
        <w:rPr>
          <w:rFonts w:hint="eastAsia"/>
        </w:rPr>
        <w:t>规定</w:t>
      </w:r>
      <w:r>
        <w:t>，</w:t>
      </w:r>
      <w:r>
        <w:rPr>
          <w:rFonts w:hint="eastAsia"/>
        </w:rPr>
        <w:t>建设单位未在新建民用建筑项目委托设计、施工、监理合同中载明绿色建筑等级等相关要求或者明示、暗示其委托的单位违反绿色建筑要求进行项目设计、施工、监理的，由县级以上住房城乡建设主管部门责令改正，处二十万元以上五十万元以下的罚款。</w:t>
      </w:r>
    </w:p>
    <w:p>
      <w:pPr>
        <w:ind w:firstLine="600"/>
      </w:pPr>
      <w:r>
        <w:rPr>
          <w:rFonts w:hint="eastAsia"/>
        </w:rPr>
        <w:t>违反</w:t>
      </w:r>
      <w:r>
        <w:t>本条例第十三条</w:t>
      </w:r>
      <w:r>
        <w:rPr>
          <w:rFonts w:hint="eastAsia"/>
        </w:rPr>
        <w:t>第四款规定</w:t>
      </w:r>
      <w:r>
        <w:t>，</w:t>
      </w:r>
      <w:r>
        <w:rPr>
          <w:rFonts w:hint="eastAsia"/>
        </w:rPr>
        <w:t>建设单位在</w:t>
      </w:r>
      <w:r>
        <w:t>组织工程竣工验收时，未</w:t>
      </w:r>
      <w:r>
        <w:rPr>
          <w:rFonts w:hint="eastAsia"/>
        </w:rPr>
        <w:t>进行</w:t>
      </w:r>
      <w:r>
        <w:t>绿色建筑专项验收，或者将不符合施工图设计文件要求的工程通过</w:t>
      </w:r>
      <w:r>
        <w:rPr>
          <w:rFonts w:hint="eastAsia"/>
        </w:rPr>
        <w:t>竣工</w:t>
      </w:r>
      <w:r>
        <w:t>验收的，</w:t>
      </w:r>
      <w:r>
        <w:rPr>
          <w:rFonts w:hint="eastAsia"/>
        </w:rPr>
        <w:t>由县级以上住房城乡建设主管部门责令改正，处工程合同</w:t>
      </w:r>
      <w:r>
        <w:t>价款百分之二以上百分之四一下</w:t>
      </w:r>
      <w:r>
        <w:rPr>
          <w:rFonts w:hint="eastAsia"/>
        </w:rPr>
        <w:t>的罚款。</w:t>
      </w:r>
    </w:p>
    <w:p>
      <w:pPr>
        <w:ind w:left="607" w:firstLine="0" w:firstLineChars="0"/>
        <w:outlineLvl w:val="1"/>
        <w:rPr>
          <w:b/>
        </w:rPr>
      </w:pPr>
      <w:r>
        <w:rPr>
          <w:b/>
        </w:rPr>
        <w:t>第</w:t>
      </w:r>
      <w:r>
        <w:rPr>
          <w:rFonts w:hint="eastAsia"/>
          <w:b/>
        </w:rPr>
        <w:t>三十四</w:t>
      </w:r>
      <w:r>
        <w:rPr>
          <w:b/>
        </w:rPr>
        <w:t>条</w:t>
      </w:r>
      <w:r>
        <w:rPr>
          <w:rFonts w:hint="eastAsia"/>
          <w:b/>
        </w:rPr>
        <w:t xml:space="preserve"> （设计单位责任）</w:t>
      </w:r>
    </w:p>
    <w:p>
      <w:pPr>
        <w:ind w:firstLine="600"/>
      </w:pPr>
      <w:r>
        <w:rPr>
          <w:rFonts w:hint="eastAsia"/>
        </w:rPr>
        <w:t>违反</w:t>
      </w:r>
      <w:r>
        <w:t>本条例第十</w:t>
      </w:r>
      <w:r>
        <w:rPr>
          <w:rFonts w:hint="eastAsia"/>
        </w:rPr>
        <w:t>四</w:t>
      </w:r>
      <w:r>
        <w:t>条</w:t>
      </w:r>
      <w:r>
        <w:rPr>
          <w:rFonts w:hint="eastAsia"/>
        </w:rPr>
        <w:t>规定</w:t>
      </w:r>
      <w:r>
        <w:t>，</w:t>
      </w:r>
      <w:r>
        <w:rPr>
          <w:rFonts w:hint="eastAsia"/>
        </w:rPr>
        <w:t>设计单位未按照建设工程规划许可证注明的绿色建筑等级进行设计，或者施工图设计文件未包含绿色建筑设计说明</w:t>
      </w:r>
      <w:r>
        <w:t>或者</w:t>
      </w:r>
      <w:r>
        <w:rPr>
          <w:rFonts w:hint="eastAsia"/>
        </w:rPr>
        <w:t>专篇内容的，由县级以上住房城乡建设管理部门责令改正，处十万元以上三十万元以下罚款；造成损失的，依法承担赔偿责任。</w:t>
      </w:r>
    </w:p>
    <w:p>
      <w:pPr>
        <w:ind w:left="607" w:firstLine="0" w:firstLineChars="0"/>
        <w:outlineLvl w:val="1"/>
        <w:rPr>
          <w:b/>
        </w:rPr>
      </w:pPr>
      <w:r>
        <w:rPr>
          <w:b/>
        </w:rPr>
        <w:t>第</w:t>
      </w:r>
      <w:r>
        <w:rPr>
          <w:rFonts w:hint="eastAsia"/>
          <w:b/>
        </w:rPr>
        <w:t>三十五</w:t>
      </w:r>
      <w:r>
        <w:rPr>
          <w:b/>
        </w:rPr>
        <w:t>条</w:t>
      </w:r>
      <w:r>
        <w:rPr>
          <w:rFonts w:hint="eastAsia"/>
          <w:b/>
        </w:rPr>
        <w:t xml:space="preserve"> （图审机构责任）</w:t>
      </w:r>
    </w:p>
    <w:p>
      <w:pPr>
        <w:ind w:firstLine="600"/>
      </w:pPr>
      <w:r>
        <w:rPr>
          <w:rFonts w:hint="eastAsia"/>
        </w:rPr>
        <w:t>违反本条例</w:t>
      </w:r>
      <w:r>
        <w:t>第十</w:t>
      </w:r>
      <w:r>
        <w:rPr>
          <w:rFonts w:hint="eastAsia"/>
        </w:rPr>
        <w:t>五</w:t>
      </w:r>
      <w:r>
        <w:t>条</w:t>
      </w:r>
      <w:r>
        <w:rPr>
          <w:rFonts w:hint="eastAsia"/>
        </w:rPr>
        <w:t>规定，施工图设计文件审查的机构未按照绿色建筑标准要求进行审查或者对不符合绿色建筑标准要求的施工图设计文件出具施工图审查合格意见的，由县级以上住房城乡建设主管部门责令改正，处一万元以上三万元以下的罚款；情节严重的，给予该审查机构一年以内不得从事施工图设计审查的处罚。</w:t>
      </w:r>
    </w:p>
    <w:p>
      <w:pPr>
        <w:ind w:left="607" w:firstLine="0" w:firstLineChars="0"/>
        <w:outlineLvl w:val="1"/>
        <w:rPr>
          <w:b/>
        </w:rPr>
      </w:pPr>
      <w:r>
        <w:rPr>
          <w:b/>
        </w:rPr>
        <w:t>第</w:t>
      </w:r>
      <w:r>
        <w:rPr>
          <w:rFonts w:hint="eastAsia"/>
          <w:b/>
        </w:rPr>
        <w:t>三十六</w:t>
      </w:r>
      <w:r>
        <w:rPr>
          <w:b/>
        </w:rPr>
        <w:t>条</w:t>
      </w:r>
      <w:r>
        <w:rPr>
          <w:rFonts w:hint="eastAsia"/>
          <w:b/>
        </w:rPr>
        <w:t xml:space="preserve"> （施工单位责任）</w:t>
      </w:r>
    </w:p>
    <w:p>
      <w:pPr>
        <w:ind w:firstLine="600"/>
      </w:pPr>
      <w:r>
        <w:rPr>
          <w:rFonts w:hint="eastAsia"/>
        </w:rPr>
        <w:t>违反本条例</w:t>
      </w:r>
      <w:r>
        <w:t>第十</w:t>
      </w:r>
      <w:r>
        <w:rPr>
          <w:rFonts w:hint="eastAsia"/>
        </w:rPr>
        <w:t>六</w:t>
      </w:r>
      <w:r>
        <w:t>条</w:t>
      </w:r>
      <w:r>
        <w:rPr>
          <w:rFonts w:hint="eastAsia"/>
        </w:rPr>
        <w:t>第二款规定，施工单位未按照国家和本省绿色施工有关技术标准要求以及施工图设计文件组织施工的，由县级以上住房城乡建设管理部门责令改正，处建筑项目合同价款的百分之二以上百分之四以下罚款；造成损失的，依法承担赔偿责任。</w:t>
      </w:r>
    </w:p>
    <w:p>
      <w:pPr>
        <w:ind w:left="607" w:firstLine="0" w:firstLineChars="0"/>
        <w:outlineLvl w:val="1"/>
        <w:rPr>
          <w:b/>
        </w:rPr>
      </w:pPr>
      <w:r>
        <w:rPr>
          <w:b/>
        </w:rPr>
        <w:t>第</w:t>
      </w:r>
      <w:r>
        <w:rPr>
          <w:rFonts w:hint="eastAsia"/>
          <w:b/>
        </w:rPr>
        <w:t>三十七</w:t>
      </w:r>
      <w:r>
        <w:rPr>
          <w:b/>
        </w:rPr>
        <w:t>条</w:t>
      </w:r>
      <w:r>
        <w:rPr>
          <w:rFonts w:hint="eastAsia"/>
          <w:b/>
        </w:rPr>
        <w:t xml:space="preserve"> （监理单位责任）</w:t>
      </w:r>
    </w:p>
    <w:p>
      <w:pPr>
        <w:ind w:firstLine="600"/>
      </w:pPr>
      <w:r>
        <w:rPr>
          <w:rFonts w:hint="eastAsia"/>
        </w:rPr>
        <w:t>违反本条例</w:t>
      </w:r>
      <w:r>
        <w:t>第十</w:t>
      </w:r>
      <w:r>
        <w:rPr>
          <w:rFonts w:hint="eastAsia"/>
        </w:rPr>
        <w:t>七</w:t>
      </w:r>
      <w:r>
        <w:t>条</w:t>
      </w:r>
      <w:r>
        <w:rPr>
          <w:rFonts w:hint="eastAsia"/>
        </w:rPr>
        <w:t>规定，监理单位未按照国家和本省绿色施工有关技术标准要求以及施工图设计文件进行监理的，由县级以上住房城乡建设管理部门责令限期改正；逾期未改正的，处五十万元以上一百万元以下的罚款；情节严重的，依法降低资质等级或者吊销资质证书；造成损失的，依法承担赔偿责任。</w:t>
      </w:r>
    </w:p>
    <w:p>
      <w:pPr>
        <w:ind w:left="607" w:firstLine="0" w:firstLineChars="0"/>
        <w:outlineLvl w:val="1"/>
        <w:rPr>
          <w:b/>
        </w:rPr>
      </w:pPr>
      <w:r>
        <w:rPr>
          <w:b/>
        </w:rPr>
        <w:t>第</w:t>
      </w:r>
      <w:r>
        <w:rPr>
          <w:rFonts w:hint="eastAsia"/>
          <w:b/>
        </w:rPr>
        <w:t>三十八</w:t>
      </w:r>
      <w:r>
        <w:rPr>
          <w:b/>
        </w:rPr>
        <w:t>条</w:t>
      </w:r>
      <w:r>
        <w:rPr>
          <w:rFonts w:hint="eastAsia"/>
          <w:b/>
        </w:rPr>
        <w:t xml:space="preserve"> （检测和</w:t>
      </w:r>
      <w:r>
        <w:rPr>
          <w:b/>
        </w:rPr>
        <w:t>能效评估机构</w:t>
      </w:r>
      <w:r>
        <w:rPr>
          <w:rFonts w:hint="eastAsia"/>
          <w:b/>
        </w:rPr>
        <w:t>责任）</w:t>
      </w:r>
    </w:p>
    <w:p>
      <w:pPr>
        <w:ind w:firstLine="600"/>
      </w:pPr>
      <w:r>
        <w:rPr>
          <w:rFonts w:hint="eastAsia"/>
        </w:rPr>
        <w:t>违反</w:t>
      </w:r>
      <w:bookmarkStart w:id="6" w:name="_GoBack"/>
      <w:bookmarkEnd w:id="6"/>
      <w:r>
        <w:rPr>
          <w:rFonts w:hint="eastAsia"/>
        </w:rPr>
        <w:t>本条例</w:t>
      </w:r>
      <w:r>
        <w:t>第十</w:t>
      </w:r>
      <w:r>
        <w:rPr>
          <w:rFonts w:hint="eastAsia"/>
        </w:rPr>
        <w:t>八</w:t>
      </w:r>
      <w:r>
        <w:t>条</w:t>
      </w:r>
      <w:r>
        <w:rPr>
          <w:rFonts w:hint="eastAsia"/>
        </w:rPr>
        <w:t>规定，第三方检测机构或评估机构，伪造或者出具虚假评估报告的，由县级以上住房城乡建设管理部门责令限期改正，并处一万元以上三万元以下罚款；情节严重的，由负责资质认定的部门取消其评估资格；</w:t>
      </w:r>
      <w:r>
        <w:rPr>
          <w:rFonts w:hint="eastAsia" w:ascii="仿宋" w:hAnsi="仿宋"/>
          <w:sz w:val="32"/>
          <w:szCs w:val="32"/>
        </w:rPr>
        <w:t>构成犯罪的，依法追究其刑事责任。</w:t>
      </w:r>
    </w:p>
    <w:p>
      <w:pPr>
        <w:ind w:firstLine="600"/>
      </w:pPr>
    </w:p>
    <w:p>
      <w:pPr>
        <w:pStyle w:val="2"/>
        <w:ind w:firstLine="640"/>
      </w:pPr>
      <w:bookmarkStart w:id="5" w:name="_Toc118276686"/>
      <w:r>
        <w:rPr>
          <w:rFonts w:hint="eastAsia"/>
        </w:rPr>
        <w:t>第六章</w:t>
      </w:r>
      <w:r>
        <w:t xml:space="preserve"> </w:t>
      </w:r>
      <w:r>
        <w:rPr>
          <w:rFonts w:hint="eastAsia"/>
        </w:rPr>
        <w:t>附则</w:t>
      </w:r>
      <w:bookmarkEnd w:id="5"/>
    </w:p>
    <w:p>
      <w:pPr>
        <w:ind w:left="607" w:firstLine="0" w:firstLineChars="0"/>
        <w:outlineLvl w:val="1"/>
        <w:rPr>
          <w:b/>
        </w:rPr>
      </w:pPr>
      <w:r>
        <w:rPr>
          <w:rFonts w:hint="eastAsia"/>
          <w:b/>
        </w:rPr>
        <w:t>第三十九条</w:t>
      </w:r>
      <w:r>
        <w:rPr>
          <w:b/>
        </w:rPr>
        <w:t xml:space="preserve"> </w:t>
      </w:r>
      <w:r>
        <w:rPr>
          <w:rFonts w:hint="eastAsia"/>
          <w:b/>
        </w:rPr>
        <w:t>（名词解释）</w:t>
      </w:r>
    </w:p>
    <w:p>
      <w:pPr>
        <w:ind w:firstLine="600"/>
      </w:pPr>
      <w:r>
        <w:rPr>
          <w:rFonts w:hint="eastAsia"/>
        </w:rPr>
        <w:t>本条例中</w:t>
      </w:r>
      <w:r>
        <w:t>下列</w:t>
      </w:r>
      <w:r>
        <w:rPr>
          <w:rFonts w:hint="eastAsia"/>
        </w:rPr>
        <w:t>用语</w:t>
      </w:r>
      <w:r>
        <w:t>的含义：</w:t>
      </w:r>
    </w:p>
    <w:p>
      <w:pPr>
        <w:ind w:firstLine="600"/>
      </w:pPr>
      <w:r>
        <w:rPr>
          <w:rFonts w:hint="eastAsia"/>
        </w:rPr>
        <w:t>（一）民用建筑，是指居住建筑、国家机关办公建筑和商业、服务业、教育、卫生等其他公共建筑。</w:t>
      </w:r>
    </w:p>
    <w:p>
      <w:pPr>
        <w:ind w:firstLine="600"/>
      </w:pPr>
      <w:r>
        <w:rPr>
          <w:rFonts w:hint="eastAsia"/>
        </w:rPr>
        <w:t>（二）超低能耗建筑，是指适应气候特征和场地条件，采用高效的围护结构保温系统、高性能的外门窗系统、良好的建筑气密性系统、无热桥的建筑节点构造和高效热回收的通风系统，以及自然通风、自然采光、太阳辐射利用与遮蔽等绿色节能技术，大幅度降低建筑本体的能源需求，通过优化能源供应方案、提升能源利用效率，同时满足室内环境热舒适性和建筑能效性要求的绿色建筑。</w:t>
      </w:r>
    </w:p>
    <w:p>
      <w:pPr>
        <w:ind w:firstLine="600"/>
      </w:pPr>
      <w:r>
        <w:rPr>
          <w:rFonts w:hint="eastAsia"/>
        </w:rPr>
        <w:t>（三）装配式建筑，是指装配率符合国家和本省有关标准要求，由预制部品部件在工地装配而成的建筑。包括装配式混凝土建筑、装配式钢结构建筑、装配式木结构建筑等。</w:t>
      </w:r>
    </w:p>
    <w:p>
      <w:pPr>
        <w:ind w:firstLine="600"/>
      </w:pPr>
      <w:r>
        <w:rPr>
          <w:rFonts w:hint="eastAsia"/>
        </w:rPr>
        <w:t>（四）绿色施工，是指在保证质量、安全等基本要求的前提下，以人为本，通过科学管理和技术进步，最大限度地节约资源，减少对生态环境影响的工程施工活动。</w:t>
      </w:r>
    </w:p>
    <w:p>
      <w:pPr>
        <w:ind w:firstLine="600"/>
      </w:pPr>
      <w:r>
        <w:rPr>
          <w:rFonts w:hint="eastAsia"/>
        </w:rPr>
        <w:t>（五）绿色建材，是指在建筑的全寿命期内可减少对资源的消耗和对生态环境的影响，具有节能、减排、安全、健康、便利和可循环特征的建材产品。</w:t>
      </w:r>
    </w:p>
    <w:p>
      <w:pPr>
        <w:ind w:left="607" w:firstLine="0" w:firstLineChars="0"/>
        <w:outlineLvl w:val="1"/>
        <w:rPr>
          <w:b/>
        </w:rPr>
      </w:pPr>
      <w:r>
        <w:rPr>
          <w:rFonts w:hint="eastAsia"/>
          <w:b/>
        </w:rPr>
        <w:t>第四十条（其他建筑）</w:t>
      </w:r>
    </w:p>
    <w:p>
      <w:pPr>
        <w:ind w:firstLine="600"/>
      </w:pPr>
      <w:r>
        <w:rPr>
          <w:rFonts w:hint="eastAsia"/>
        </w:rPr>
        <w:t>其他民用建筑、工业建筑和市政基础设施等</w:t>
      </w:r>
      <w:r>
        <w:t>按绿色建筑标准进行</w:t>
      </w:r>
      <w:r>
        <w:rPr>
          <w:rFonts w:hint="eastAsia"/>
        </w:rPr>
        <w:t>新建</w:t>
      </w:r>
      <w:r>
        <w:t>或改（</w:t>
      </w:r>
      <w:r>
        <w:rPr>
          <w:rFonts w:hint="eastAsia"/>
        </w:rPr>
        <w:t>扩</w:t>
      </w:r>
      <w:r>
        <w:t>）</w:t>
      </w:r>
      <w:r>
        <w:rPr>
          <w:rFonts w:hint="eastAsia"/>
        </w:rPr>
        <w:t>建的，参照本条例执行。</w:t>
      </w:r>
    </w:p>
    <w:p>
      <w:pPr>
        <w:ind w:left="607" w:firstLine="0" w:firstLineChars="0"/>
        <w:outlineLvl w:val="1"/>
        <w:rPr>
          <w:b/>
        </w:rPr>
      </w:pPr>
      <w:r>
        <w:rPr>
          <w:rFonts w:hint="eastAsia"/>
          <w:b/>
        </w:rPr>
        <w:t>第四十一条</w:t>
      </w:r>
      <w:r>
        <w:rPr>
          <w:b/>
        </w:rPr>
        <w:t xml:space="preserve"> </w:t>
      </w:r>
      <w:r>
        <w:rPr>
          <w:rFonts w:hint="eastAsia"/>
          <w:b/>
        </w:rPr>
        <w:t>（施行时间）</w:t>
      </w:r>
    </w:p>
    <w:p>
      <w:pPr>
        <w:ind w:firstLine="600"/>
      </w:pPr>
      <w:r>
        <w:rPr>
          <w:rFonts w:hint="eastAsia"/>
        </w:rPr>
        <w:t>本条例自</w:t>
      </w:r>
      <w:r>
        <w:t xml:space="preserve">202X </w:t>
      </w:r>
      <w:r>
        <w:rPr>
          <w:rFonts w:hint="eastAsia"/>
        </w:rPr>
        <w:t>年</w:t>
      </w:r>
      <w:r>
        <w:t xml:space="preserve">X </w:t>
      </w:r>
      <w:r>
        <w:rPr>
          <w:rFonts w:hint="eastAsia"/>
        </w:rPr>
        <w:t>月</w:t>
      </w:r>
      <w:r>
        <w:t xml:space="preserve">X </w:t>
      </w:r>
      <w:r>
        <w:rPr>
          <w:rFonts w:hint="eastAsia"/>
        </w:rPr>
        <w:t>日起施行。</w:t>
      </w:r>
    </w:p>
    <w:sectPr>
      <w:headerReference r:id="rId7" w:type="first"/>
      <w:footerReference r:id="rId10" w:type="first"/>
      <w:headerReference r:id="rId5" w:type="default"/>
      <w:footerReference r:id="rId8" w:type="default"/>
      <w:headerReference r:id="rId6" w:type="even"/>
      <w:footerReference r:id="rId9" w:type="even"/>
      <w:pgSz w:w="11910" w:h="16840"/>
      <w:pgMar w:top="1440" w:right="1800" w:bottom="1440" w:left="1800" w:header="720" w:footer="720" w:gutter="0"/>
      <w:cols w:space="720" w:num="1"/>
      <w:docGrid w:linePitch="40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Calibri Light">
    <w:altName w:val="DejaVu Sans"/>
    <w:panose1 w:val="020F0302020204030204"/>
    <w:charset w:val="00"/>
    <w:family w:val="swiss"/>
    <w:pitch w:val="default"/>
    <w:sig w:usb0="00000000" w:usb1="00000000" w:usb2="00000000" w:usb3="00000000" w:csb0="0000019F" w:csb1="00000000"/>
  </w:font>
  <w:font w:name="Arial Unicode MS">
    <w:altName w:val="DejaVu Sans"/>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72223972"/>
    </w:sdtPr>
    <w:sdtEndPr>
      <w:rPr>
        <w:sz w:val="20"/>
      </w:rPr>
    </w:sdtEndPr>
    <w:sdtContent>
      <w:p>
        <w:pPr>
          <w:pStyle w:val="9"/>
          <w:ind w:firstLine="360"/>
          <w:jc w:val="center"/>
          <w:rPr>
            <w:sz w:val="20"/>
          </w:rPr>
        </w:pPr>
        <w:r>
          <w:rPr>
            <w:sz w:val="20"/>
          </w:rPr>
          <w:fldChar w:fldCharType="begin"/>
        </w:r>
        <w:r>
          <w:rPr>
            <w:sz w:val="20"/>
          </w:rPr>
          <w:instrText xml:space="preserve">PAGE   \* MERGEFORMAT</w:instrText>
        </w:r>
        <w:r>
          <w:rPr>
            <w:sz w:val="20"/>
          </w:rPr>
          <w:fldChar w:fldCharType="separate"/>
        </w:r>
        <w:r>
          <w:rPr>
            <w:sz w:val="20"/>
            <w:lang w:val="zh-CN"/>
          </w:rPr>
          <w:t>3</w:t>
        </w:r>
        <w:r>
          <w:rPr>
            <w:sz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rPr>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720"/>
  <w:drawingGridHorizontalSpacing w:val="120"/>
  <w:drawingGridVerticalSpacing w:val="120"/>
  <w:displayHorizontalDrawingGridEvery w:val="0"/>
  <w:displayVerticalDrawingGridEvery w:val="3"/>
  <w:doNotUseMarginsForDrawingGridOrigin w:val="true"/>
  <w:drawingGridHorizontalOrigin w:val="1800"/>
  <w:drawingGridVerticalOrigin w:val="1440"/>
  <w:doNotShadeFormData w:val="true"/>
  <w:characterSpacingControl w:val="doNotCompress"/>
  <w:doNotValidateAgainstSchema/>
  <w:doNotDemarcateInvalidXml/>
  <w:footnotePr>
    <w:footnote w:id="0"/>
    <w:footnote w:id="1"/>
  </w:footnotePr>
  <w:endnotePr>
    <w:endnote w:id="0"/>
    <w:endnote w:id="1"/>
  </w:endnotePr>
  <w:compat>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0ZjIwY2RkNGYzNTUwMzlmYzJkYjQ5ZDk2YTMxNjYifQ=="/>
  </w:docVars>
  <w:rsids>
    <w:rsidRoot w:val="00365EA4"/>
    <w:rsid w:val="00004462"/>
    <w:rsid w:val="00020A71"/>
    <w:rsid w:val="0002347C"/>
    <w:rsid w:val="00024AC7"/>
    <w:rsid w:val="00031301"/>
    <w:rsid w:val="00037767"/>
    <w:rsid w:val="000427CE"/>
    <w:rsid w:val="000429D5"/>
    <w:rsid w:val="00043E1D"/>
    <w:rsid w:val="0004613F"/>
    <w:rsid w:val="000558E2"/>
    <w:rsid w:val="00063061"/>
    <w:rsid w:val="000654DA"/>
    <w:rsid w:val="00072FFF"/>
    <w:rsid w:val="000777B7"/>
    <w:rsid w:val="00083A09"/>
    <w:rsid w:val="00093DDA"/>
    <w:rsid w:val="000A3900"/>
    <w:rsid w:val="000A600C"/>
    <w:rsid w:val="000A713A"/>
    <w:rsid w:val="000B43A0"/>
    <w:rsid w:val="000C5A4F"/>
    <w:rsid w:val="000C5F61"/>
    <w:rsid w:val="000C6082"/>
    <w:rsid w:val="000D0A78"/>
    <w:rsid w:val="000D67AB"/>
    <w:rsid w:val="000E26DF"/>
    <w:rsid w:val="000E7A98"/>
    <w:rsid w:val="000E7FDB"/>
    <w:rsid w:val="000F4A07"/>
    <w:rsid w:val="000F5BDA"/>
    <w:rsid w:val="000F7DA4"/>
    <w:rsid w:val="0010516A"/>
    <w:rsid w:val="001110FA"/>
    <w:rsid w:val="00112714"/>
    <w:rsid w:val="00113C44"/>
    <w:rsid w:val="0011535B"/>
    <w:rsid w:val="001236A1"/>
    <w:rsid w:val="001260FC"/>
    <w:rsid w:val="00133F88"/>
    <w:rsid w:val="00134D5C"/>
    <w:rsid w:val="001375D5"/>
    <w:rsid w:val="00141BCC"/>
    <w:rsid w:val="00154B91"/>
    <w:rsid w:val="00160EF3"/>
    <w:rsid w:val="00164B3F"/>
    <w:rsid w:val="001723CE"/>
    <w:rsid w:val="00174409"/>
    <w:rsid w:val="00176519"/>
    <w:rsid w:val="001779C2"/>
    <w:rsid w:val="00181157"/>
    <w:rsid w:val="00181C69"/>
    <w:rsid w:val="00183579"/>
    <w:rsid w:val="00191ACC"/>
    <w:rsid w:val="00192B39"/>
    <w:rsid w:val="001973AF"/>
    <w:rsid w:val="00197E56"/>
    <w:rsid w:val="001A0FDE"/>
    <w:rsid w:val="001A7B70"/>
    <w:rsid w:val="001B1882"/>
    <w:rsid w:val="001B1B2C"/>
    <w:rsid w:val="001B2F15"/>
    <w:rsid w:val="001B431C"/>
    <w:rsid w:val="001B4F43"/>
    <w:rsid w:val="001C6BBD"/>
    <w:rsid w:val="001C7C11"/>
    <w:rsid w:val="001D3039"/>
    <w:rsid w:val="001D3735"/>
    <w:rsid w:val="001D4132"/>
    <w:rsid w:val="001D6DE8"/>
    <w:rsid w:val="001D7646"/>
    <w:rsid w:val="001F14DF"/>
    <w:rsid w:val="001F15C4"/>
    <w:rsid w:val="00202032"/>
    <w:rsid w:val="00204CDC"/>
    <w:rsid w:val="00204D4E"/>
    <w:rsid w:val="0020759F"/>
    <w:rsid w:val="00217978"/>
    <w:rsid w:val="00217A8B"/>
    <w:rsid w:val="00222AD5"/>
    <w:rsid w:val="00227C82"/>
    <w:rsid w:val="00233426"/>
    <w:rsid w:val="00242EA5"/>
    <w:rsid w:val="00243ABA"/>
    <w:rsid w:val="00245C99"/>
    <w:rsid w:val="00247969"/>
    <w:rsid w:val="00250C80"/>
    <w:rsid w:val="0025426D"/>
    <w:rsid w:val="002556B7"/>
    <w:rsid w:val="00255E20"/>
    <w:rsid w:val="002638AB"/>
    <w:rsid w:val="00265FC1"/>
    <w:rsid w:val="002663FB"/>
    <w:rsid w:val="002669B3"/>
    <w:rsid w:val="0026715D"/>
    <w:rsid w:val="002740C9"/>
    <w:rsid w:val="002744DB"/>
    <w:rsid w:val="00274D2D"/>
    <w:rsid w:val="00277FCD"/>
    <w:rsid w:val="002808A7"/>
    <w:rsid w:val="002920AD"/>
    <w:rsid w:val="002945BB"/>
    <w:rsid w:val="002A0B58"/>
    <w:rsid w:val="002A116A"/>
    <w:rsid w:val="002A4319"/>
    <w:rsid w:val="002A535B"/>
    <w:rsid w:val="002B764C"/>
    <w:rsid w:val="002B7B76"/>
    <w:rsid w:val="002C3CFB"/>
    <w:rsid w:val="002C3E08"/>
    <w:rsid w:val="002C4A10"/>
    <w:rsid w:val="002C5FD5"/>
    <w:rsid w:val="002E0CE7"/>
    <w:rsid w:val="002E4FC1"/>
    <w:rsid w:val="002E529A"/>
    <w:rsid w:val="002E7C27"/>
    <w:rsid w:val="002F15CD"/>
    <w:rsid w:val="002F2871"/>
    <w:rsid w:val="003014D8"/>
    <w:rsid w:val="003038B2"/>
    <w:rsid w:val="00304165"/>
    <w:rsid w:val="00306E0F"/>
    <w:rsid w:val="00310E7A"/>
    <w:rsid w:val="00313027"/>
    <w:rsid w:val="003173DF"/>
    <w:rsid w:val="00320A64"/>
    <w:rsid w:val="00320BFA"/>
    <w:rsid w:val="003214B7"/>
    <w:rsid w:val="003227EB"/>
    <w:rsid w:val="003232DF"/>
    <w:rsid w:val="00326708"/>
    <w:rsid w:val="00330347"/>
    <w:rsid w:val="0033585B"/>
    <w:rsid w:val="0033778B"/>
    <w:rsid w:val="0034285A"/>
    <w:rsid w:val="00350BC7"/>
    <w:rsid w:val="00351073"/>
    <w:rsid w:val="00356340"/>
    <w:rsid w:val="00357B02"/>
    <w:rsid w:val="0036010D"/>
    <w:rsid w:val="00360B90"/>
    <w:rsid w:val="0036371E"/>
    <w:rsid w:val="00365EA4"/>
    <w:rsid w:val="00367679"/>
    <w:rsid w:val="00373727"/>
    <w:rsid w:val="00380E63"/>
    <w:rsid w:val="003832C0"/>
    <w:rsid w:val="003872DA"/>
    <w:rsid w:val="00387688"/>
    <w:rsid w:val="00390160"/>
    <w:rsid w:val="00392873"/>
    <w:rsid w:val="00392A8F"/>
    <w:rsid w:val="00396CE0"/>
    <w:rsid w:val="003A0A56"/>
    <w:rsid w:val="003A0F35"/>
    <w:rsid w:val="003A1295"/>
    <w:rsid w:val="003B4A93"/>
    <w:rsid w:val="003C2082"/>
    <w:rsid w:val="003C47C4"/>
    <w:rsid w:val="003D38DE"/>
    <w:rsid w:val="003E1DFC"/>
    <w:rsid w:val="003E71FD"/>
    <w:rsid w:val="003F63EB"/>
    <w:rsid w:val="004005FE"/>
    <w:rsid w:val="00402353"/>
    <w:rsid w:val="00402FB8"/>
    <w:rsid w:val="00410C9A"/>
    <w:rsid w:val="00411371"/>
    <w:rsid w:val="00411F1F"/>
    <w:rsid w:val="00413114"/>
    <w:rsid w:val="00416238"/>
    <w:rsid w:val="0042036B"/>
    <w:rsid w:val="004210E9"/>
    <w:rsid w:val="004215AE"/>
    <w:rsid w:val="00422777"/>
    <w:rsid w:val="004243B3"/>
    <w:rsid w:val="00430F39"/>
    <w:rsid w:val="004349EC"/>
    <w:rsid w:val="00434ECA"/>
    <w:rsid w:val="004367EA"/>
    <w:rsid w:val="00440F44"/>
    <w:rsid w:val="00444632"/>
    <w:rsid w:val="00450795"/>
    <w:rsid w:val="00454F09"/>
    <w:rsid w:val="004578C6"/>
    <w:rsid w:val="00462E5F"/>
    <w:rsid w:val="0046773D"/>
    <w:rsid w:val="004743D7"/>
    <w:rsid w:val="00474F05"/>
    <w:rsid w:val="00477379"/>
    <w:rsid w:val="004864A7"/>
    <w:rsid w:val="00496495"/>
    <w:rsid w:val="00497717"/>
    <w:rsid w:val="004A0674"/>
    <w:rsid w:val="004A3725"/>
    <w:rsid w:val="004A60D0"/>
    <w:rsid w:val="004B12E2"/>
    <w:rsid w:val="004B2004"/>
    <w:rsid w:val="004B2421"/>
    <w:rsid w:val="004B3F22"/>
    <w:rsid w:val="004B4431"/>
    <w:rsid w:val="004B6F82"/>
    <w:rsid w:val="004C0E38"/>
    <w:rsid w:val="004C3D61"/>
    <w:rsid w:val="004D3293"/>
    <w:rsid w:val="004D34EE"/>
    <w:rsid w:val="004E5133"/>
    <w:rsid w:val="004F1E79"/>
    <w:rsid w:val="004F4132"/>
    <w:rsid w:val="004F64AF"/>
    <w:rsid w:val="00500F2D"/>
    <w:rsid w:val="00507A9B"/>
    <w:rsid w:val="005108AF"/>
    <w:rsid w:val="005155EE"/>
    <w:rsid w:val="00520FB0"/>
    <w:rsid w:val="00521749"/>
    <w:rsid w:val="00524BEB"/>
    <w:rsid w:val="00525EDC"/>
    <w:rsid w:val="00526563"/>
    <w:rsid w:val="005316FA"/>
    <w:rsid w:val="00531B7D"/>
    <w:rsid w:val="00533D70"/>
    <w:rsid w:val="00536CB6"/>
    <w:rsid w:val="00537A6D"/>
    <w:rsid w:val="005427C8"/>
    <w:rsid w:val="00553C96"/>
    <w:rsid w:val="00554208"/>
    <w:rsid w:val="00557042"/>
    <w:rsid w:val="00561510"/>
    <w:rsid w:val="0056289E"/>
    <w:rsid w:val="005633E4"/>
    <w:rsid w:val="005660EF"/>
    <w:rsid w:val="00567553"/>
    <w:rsid w:val="005710C0"/>
    <w:rsid w:val="00586C70"/>
    <w:rsid w:val="00590E05"/>
    <w:rsid w:val="00590F3B"/>
    <w:rsid w:val="005A4F0C"/>
    <w:rsid w:val="005A7519"/>
    <w:rsid w:val="005B0A79"/>
    <w:rsid w:val="005B0B1C"/>
    <w:rsid w:val="005B111F"/>
    <w:rsid w:val="005B36AB"/>
    <w:rsid w:val="005B569F"/>
    <w:rsid w:val="005C23D7"/>
    <w:rsid w:val="005C2C14"/>
    <w:rsid w:val="005C7C1F"/>
    <w:rsid w:val="005D525C"/>
    <w:rsid w:val="005E6350"/>
    <w:rsid w:val="005E6F57"/>
    <w:rsid w:val="005E7D1B"/>
    <w:rsid w:val="005F25ED"/>
    <w:rsid w:val="005F2E91"/>
    <w:rsid w:val="005F5F5C"/>
    <w:rsid w:val="0060261F"/>
    <w:rsid w:val="0060596C"/>
    <w:rsid w:val="0061096B"/>
    <w:rsid w:val="00613D97"/>
    <w:rsid w:val="00616B19"/>
    <w:rsid w:val="006170D7"/>
    <w:rsid w:val="006171D4"/>
    <w:rsid w:val="0062081F"/>
    <w:rsid w:val="00622442"/>
    <w:rsid w:val="00622C81"/>
    <w:rsid w:val="006232AE"/>
    <w:rsid w:val="00631117"/>
    <w:rsid w:val="006318D8"/>
    <w:rsid w:val="00636879"/>
    <w:rsid w:val="00636EAC"/>
    <w:rsid w:val="006425E7"/>
    <w:rsid w:val="006472A9"/>
    <w:rsid w:val="00650C83"/>
    <w:rsid w:val="006546E2"/>
    <w:rsid w:val="006738A4"/>
    <w:rsid w:val="00676222"/>
    <w:rsid w:val="00676F1A"/>
    <w:rsid w:val="00683AD3"/>
    <w:rsid w:val="0069438D"/>
    <w:rsid w:val="006A2F17"/>
    <w:rsid w:val="006B1B56"/>
    <w:rsid w:val="006B2957"/>
    <w:rsid w:val="006B3CED"/>
    <w:rsid w:val="006B59F6"/>
    <w:rsid w:val="006C59AA"/>
    <w:rsid w:val="006C6E44"/>
    <w:rsid w:val="006D299B"/>
    <w:rsid w:val="006D33EB"/>
    <w:rsid w:val="006D375E"/>
    <w:rsid w:val="006E0609"/>
    <w:rsid w:val="006E2812"/>
    <w:rsid w:val="006E7B4B"/>
    <w:rsid w:val="006F0760"/>
    <w:rsid w:val="006F5A08"/>
    <w:rsid w:val="006F61DC"/>
    <w:rsid w:val="00703FCF"/>
    <w:rsid w:val="00707B5B"/>
    <w:rsid w:val="00712BA7"/>
    <w:rsid w:val="00714795"/>
    <w:rsid w:val="00721053"/>
    <w:rsid w:val="00733A6F"/>
    <w:rsid w:val="00736982"/>
    <w:rsid w:val="0074589E"/>
    <w:rsid w:val="0074668E"/>
    <w:rsid w:val="007548FA"/>
    <w:rsid w:val="00771C30"/>
    <w:rsid w:val="00771CD8"/>
    <w:rsid w:val="00774B2A"/>
    <w:rsid w:val="00783F69"/>
    <w:rsid w:val="00784006"/>
    <w:rsid w:val="007A155E"/>
    <w:rsid w:val="007A47F3"/>
    <w:rsid w:val="007A4994"/>
    <w:rsid w:val="007A564B"/>
    <w:rsid w:val="007A57BB"/>
    <w:rsid w:val="007B2DB1"/>
    <w:rsid w:val="007C31C9"/>
    <w:rsid w:val="007D462F"/>
    <w:rsid w:val="007E081B"/>
    <w:rsid w:val="007E1A8A"/>
    <w:rsid w:val="007F2FFA"/>
    <w:rsid w:val="00812423"/>
    <w:rsid w:val="00812C2E"/>
    <w:rsid w:val="008134B9"/>
    <w:rsid w:val="00813CE0"/>
    <w:rsid w:val="00814BE1"/>
    <w:rsid w:val="00823407"/>
    <w:rsid w:val="00834AB0"/>
    <w:rsid w:val="00840E94"/>
    <w:rsid w:val="00843229"/>
    <w:rsid w:val="008523CE"/>
    <w:rsid w:val="00852C78"/>
    <w:rsid w:val="00854AF7"/>
    <w:rsid w:val="008551ED"/>
    <w:rsid w:val="008575FB"/>
    <w:rsid w:val="00860A1A"/>
    <w:rsid w:val="0087252B"/>
    <w:rsid w:val="00872D65"/>
    <w:rsid w:val="00875B16"/>
    <w:rsid w:val="0088326F"/>
    <w:rsid w:val="008861B7"/>
    <w:rsid w:val="00896194"/>
    <w:rsid w:val="008A1561"/>
    <w:rsid w:val="008A15C0"/>
    <w:rsid w:val="008B4286"/>
    <w:rsid w:val="008C3C70"/>
    <w:rsid w:val="008C59B8"/>
    <w:rsid w:val="008D1C6C"/>
    <w:rsid w:val="008D7A27"/>
    <w:rsid w:val="008E4C96"/>
    <w:rsid w:val="008F1428"/>
    <w:rsid w:val="008F2952"/>
    <w:rsid w:val="008F350F"/>
    <w:rsid w:val="00903B3F"/>
    <w:rsid w:val="009045BE"/>
    <w:rsid w:val="00911C29"/>
    <w:rsid w:val="009123E8"/>
    <w:rsid w:val="009134F2"/>
    <w:rsid w:val="00914373"/>
    <w:rsid w:val="00914CFF"/>
    <w:rsid w:val="00917AB0"/>
    <w:rsid w:val="00924517"/>
    <w:rsid w:val="00924DAA"/>
    <w:rsid w:val="00924EF4"/>
    <w:rsid w:val="0092793F"/>
    <w:rsid w:val="00937112"/>
    <w:rsid w:val="00945AFA"/>
    <w:rsid w:val="0094707C"/>
    <w:rsid w:val="009525AC"/>
    <w:rsid w:val="009575F1"/>
    <w:rsid w:val="00957A22"/>
    <w:rsid w:val="00960136"/>
    <w:rsid w:val="0096187B"/>
    <w:rsid w:val="00963F56"/>
    <w:rsid w:val="00970D6F"/>
    <w:rsid w:val="00975C33"/>
    <w:rsid w:val="0097619B"/>
    <w:rsid w:val="00982C0A"/>
    <w:rsid w:val="0098482E"/>
    <w:rsid w:val="00987600"/>
    <w:rsid w:val="0099614D"/>
    <w:rsid w:val="00996217"/>
    <w:rsid w:val="00996D0D"/>
    <w:rsid w:val="009972F0"/>
    <w:rsid w:val="009A657A"/>
    <w:rsid w:val="009A6BF6"/>
    <w:rsid w:val="009A7F25"/>
    <w:rsid w:val="009B473C"/>
    <w:rsid w:val="009B66F1"/>
    <w:rsid w:val="009B68C5"/>
    <w:rsid w:val="009C4091"/>
    <w:rsid w:val="009C457A"/>
    <w:rsid w:val="009C459F"/>
    <w:rsid w:val="009C548F"/>
    <w:rsid w:val="009C799C"/>
    <w:rsid w:val="009C79AA"/>
    <w:rsid w:val="009D0E57"/>
    <w:rsid w:val="009E4D92"/>
    <w:rsid w:val="009F1ED5"/>
    <w:rsid w:val="009F6D28"/>
    <w:rsid w:val="009F6E7F"/>
    <w:rsid w:val="00A00D12"/>
    <w:rsid w:val="00A15C20"/>
    <w:rsid w:val="00A16FE5"/>
    <w:rsid w:val="00A224B7"/>
    <w:rsid w:val="00A23152"/>
    <w:rsid w:val="00A2513A"/>
    <w:rsid w:val="00A252D7"/>
    <w:rsid w:val="00A2786E"/>
    <w:rsid w:val="00A33654"/>
    <w:rsid w:val="00A35BBD"/>
    <w:rsid w:val="00A4224E"/>
    <w:rsid w:val="00A43B52"/>
    <w:rsid w:val="00A457EF"/>
    <w:rsid w:val="00A458EA"/>
    <w:rsid w:val="00A5476E"/>
    <w:rsid w:val="00A560CF"/>
    <w:rsid w:val="00A6154B"/>
    <w:rsid w:val="00A63259"/>
    <w:rsid w:val="00A71B6E"/>
    <w:rsid w:val="00A77FC7"/>
    <w:rsid w:val="00A82BAD"/>
    <w:rsid w:val="00A87A8A"/>
    <w:rsid w:val="00A90F17"/>
    <w:rsid w:val="00A91D60"/>
    <w:rsid w:val="00AA2D95"/>
    <w:rsid w:val="00AA3310"/>
    <w:rsid w:val="00AA36FC"/>
    <w:rsid w:val="00AA4080"/>
    <w:rsid w:val="00AA45A9"/>
    <w:rsid w:val="00AB1328"/>
    <w:rsid w:val="00AB1E39"/>
    <w:rsid w:val="00AB2F98"/>
    <w:rsid w:val="00AB452D"/>
    <w:rsid w:val="00AB5A64"/>
    <w:rsid w:val="00AC7768"/>
    <w:rsid w:val="00AE1B17"/>
    <w:rsid w:val="00AE2347"/>
    <w:rsid w:val="00AE7C9D"/>
    <w:rsid w:val="00AF2992"/>
    <w:rsid w:val="00AF306A"/>
    <w:rsid w:val="00B032B4"/>
    <w:rsid w:val="00B052AF"/>
    <w:rsid w:val="00B07194"/>
    <w:rsid w:val="00B07A45"/>
    <w:rsid w:val="00B13F49"/>
    <w:rsid w:val="00B22B53"/>
    <w:rsid w:val="00B2530B"/>
    <w:rsid w:val="00B26A1F"/>
    <w:rsid w:val="00B26C1A"/>
    <w:rsid w:val="00B27948"/>
    <w:rsid w:val="00B305B4"/>
    <w:rsid w:val="00B3181B"/>
    <w:rsid w:val="00B32C68"/>
    <w:rsid w:val="00B34F55"/>
    <w:rsid w:val="00B369B8"/>
    <w:rsid w:val="00B3744B"/>
    <w:rsid w:val="00B40603"/>
    <w:rsid w:val="00B42BB4"/>
    <w:rsid w:val="00B448EE"/>
    <w:rsid w:val="00B47FC2"/>
    <w:rsid w:val="00B55702"/>
    <w:rsid w:val="00B604BC"/>
    <w:rsid w:val="00B60718"/>
    <w:rsid w:val="00B62D79"/>
    <w:rsid w:val="00B64122"/>
    <w:rsid w:val="00B64FD6"/>
    <w:rsid w:val="00B65173"/>
    <w:rsid w:val="00B70607"/>
    <w:rsid w:val="00B70A29"/>
    <w:rsid w:val="00B7433C"/>
    <w:rsid w:val="00B7480E"/>
    <w:rsid w:val="00B7502C"/>
    <w:rsid w:val="00B77BCB"/>
    <w:rsid w:val="00B82BDF"/>
    <w:rsid w:val="00B9706A"/>
    <w:rsid w:val="00B9761A"/>
    <w:rsid w:val="00B97A24"/>
    <w:rsid w:val="00BA46E2"/>
    <w:rsid w:val="00BD0F24"/>
    <w:rsid w:val="00BD0FE3"/>
    <w:rsid w:val="00BD3E3E"/>
    <w:rsid w:val="00BD47BA"/>
    <w:rsid w:val="00BD70AD"/>
    <w:rsid w:val="00BE079F"/>
    <w:rsid w:val="00BE695C"/>
    <w:rsid w:val="00BE79FA"/>
    <w:rsid w:val="00C01A31"/>
    <w:rsid w:val="00C0526B"/>
    <w:rsid w:val="00C12A8D"/>
    <w:rsid w:val="00C213FD"/>
    <w:rsid w:val="00C21C27"/>
    <w:rsid w:val="00C238C5"/>
    <w:rsid w:val="00C2499C"/>
    <w:rsid w:val="00C25BD5"/>
    <w:rsid w:val="00C3269F"/>
    <w:rsid w:val="00C37CBD"/>
    <w:rsid w:val="00C42A56"/>
    <w:rsid w:val="00C43053"/>
    <w:rsid w:val="00C456DF"/>
    <w:rsid w:val="00C45A3A"/>
    <w:rsid w:val="00C4657E"/>
    <w:rsid w:val="00C5174D"/>
    <w:rsid w:val="00C51BBA"/>
    <w:rsid w:val="00C616A7"/>
    <w:rsid w:val="00C63151"/>
    <w:rsid w:val="00C64447"/>
    <w:rsid w:val="00C70673"/>
    <w:rsid w:val="00C72964"/>
    <w:rsid w:val="00C74441"/>
    <w:rsid w:val="00C87173"/>
    <w:rsid w:val="00C92D1B"/>
    <w:rsid w:val="00C93606"/>
    <w:rsid w:val="00C970D0"/>
    <w:rsid w:val="00CA005B"/>
    <w:rsid w:val="00CA1375"/>
    <w:rsid w:val="00CA441A"/>
    <w:rsid w:val="00CA638E"/>
    <w:rsid w:val="00CB2FA1"/>
    <w:rsid w:val="00CB3381"/>
    <w:rsid w:val="00CB6CF6"/>
    <w:rsid w:val="00CB7694"/>
    <w:rsid w:val="00CC77F0"/>
    <w:rsid w:val="00CC7B39"/>
    <w:rsid w:val="00CD066A"/>
    <w:rsid w:val="00CD4EED"/>
    <w:rsid w:val="00CD7A46"/>
    <w:rsid w:val="00CE242D"/>
    <w:rsid w:val="00CE3F7E"/>
    <w:rsid w:val="00CF312C"/>
    <w:rsid w:val="00D042FD"/>
    <w:rsid w:val="00D12774"/>
    <w:rsid w:val="00D230E5"/>
    <w:rsid w:val="00D30C0F"/>
    <w:rsid w:val="00D36A3A"/>
    <w:rsid w:val="00D4192F"/>
    <w:rsid w:val="00D50101"/>
    <w:rsid w:val="00D52983"/>
    <w:rsid w:val="00D6033E"/>
    <w:rsid w:val="00D66B48"/>
    <w:rsid w:val="00D718B9"/>
    <w:rsid w:val="00D75976"/>
    <w:rsid w:val="00D825B3"/>
    <w:rsid w:val="00D83E17"/>
    <w:rsid w:val="00DA5CB7"/>
    <w:rsid w:val="00DB1DCE"/>
    <w:rsid w:val="00DB32D4"/>
    <w:rsid w:val="00DC0B2F"/>
    <w:rsid w:val="00DC761D"/>
    <w:rsid w:val="00DD5A24"/>
    <w:rsid w:val="00DD6D0B"/>
    <w:rsid w:val="00DD7DD4"/>
    <w:rsid w:val="00DE0E37"/>
    <w:rsid w:val="00DE10DE"/>
    <w:rsid w:val="00DE275C"/>
    <w:rsid w:val="00DE74CE"/>
    <w:rsid w:val="00DF0441"/>
    <w:rsid w:val="00DF677F"/>
    <w:rsid w:val="00E022DE"/>
    <w:rsid w:val="00E03957"/>
    <w:rsid w:val="00E051ED"/>
    <w:rsid w:val="00E05D95"/>
    <w:rsid w:val="00E07761"/>
    <w:rsid w:val="00E10D4E"/>
    <w:rsid w:val="00E12933"/>
    <w:rsid w:val="00E1563B"/>
    <w:rsid w:val="00E213E6"/>
    <w:rsid w:val="00E25BCC"/>
    <w:rsid w:val="00E2780C"/>
    <w:rsid w:val="00E32A5A"/>
    <w:rsid w:val="00E33DD7"/>
    <w:rsid w:val="00E34493"/>
    <w:rsid w:val="00E34EC2"/>
    <w:rsid w:val="00E35957"/>
    <w:rsid w:val="00E42720"/>
    <w:rsid w:val="00E50619"/>
    <w:rsid w:val="00E517EC"/>
    <w:rsid w:val="00E551E6"/>
    <w:rsid w:val="00E666CF"/>
    <w:rsid w:val="00E67D69"/>
    <w:rsid w:val="00E71355"/>
    <w:rsid w:val="00E739E8"/>
    <w:rsid w:val="00E761B3"/>
    <w:rsid w:val="00E7667D"/>
    <w:rsid w:val="00E77E8D"/>
    <w:rsid w:val="00E82D59"/>
    <w:rsid w:val="00E86811"/>
    <w:rsid w:val="00E8761E"/>
    <w:rsid w:val="00E878CB"/>
    <w:rsid w:val="00E91B91"/>
    <w:rsid w:val="00E9420D"/>
    <w:rsid w:val="00EA300B"/>
    <w:rsid w:val="00EA3C7B"/>
    <w:rsid w:val="00EB1CF6"/>
    <w:rsid w:val="00EB3DCA"/>
    <w:rsid w:val="00EB6B1C"/>
    <w:rsid w:val="00ED21E6"/>
    <w:rsid w:val="00ED2484"/>
    <w:rsid w:val="00EF17C6"/>
    <w:rsid w:val="00EF2936"/>
    <w:rsid w:val="00F06285"/>
    <w:rsid w:val="00F113E1"/>
    <w:rsid w:val="00F1279D"/>
    <w:rsid w:val="00F12AC7"/>
    <w:rsid w:val="00F12D63"/>
    <w:rsid w:val="00F17AFE"/>
    <w:rsid w:val="00F21C49"/>
    <w:rsid w:val="00F23185"/>
    <w:rsid w:val="00F2395A"/>
    <w:rsid w:val="00F27065"/>
    <w:rsid w:val="00F3064A"/>
    <w:rsid w:val="00F34A9D"/>
    <w:rsid w:val="00F40AFD"/>
    <w:rsid w:val="00F459B8"/>
    <w:rsid w:val="00F4634C"/>
    <w:rsid w:val="00F505B2"/>
    <w:rsid w:val="00F514A3"/>
    <w:rsid w:val="00F52926"/>
    <w:rsid w:val="00F56AF9"/>
    <w:rsid w:val="00F60F5A"/>
    <w:rsid w:val="00F63AD4"/>
    <w:rsid w:val="00F70748"/>
    <w:rsid w:val="00F81D6D"/>
    <w:rsid w:val="00F83349"/>
    <w:rsid w:val="00F84932"/>
    <w:rsid w:val="00F84FEE"/>
    <w:rsid w:val="00F853E6"/>
    <w:rsid w:val="00F86E31"/>
    <w:rsid w:val="00F931DB"/>
    <w:rsid w:val="00F95FFA"/>
    <w:rsid w:val="00FA280A"/>
    <w:rsid w:val="00FA4188"/>
    <w:rsid w:val="00FA5AC0"/>
    <w:rsid w:val="00FA66EF"/>
    <w:rsid w:val="00FC1232"/>
    <w:rsid w:val="00FC18A2"/>
    <w:rsid w:val="00FC216C"/>
    <w:rsid w:val="00FC52A4"/>
    <w:rsid w:val="00FC7053"/>
    <w:rsid w:val="00FC7779"/>
    <w:rsid w:val="00FD1373"/>
    <w:rsid w:val="00FD2F8F"/>
    <w:rsid w:val="00FE29CA"/>
    <w:rsid w:val="00FE3519"/>
    <w:rsid w:val="00FE42C9"/>
    <w:rsid w:val="00FF5DB3"/>
    <w:rsid w:val="168D0316"/>
    <w:rsid w:val="25396A69"/>
    <w:rsid w:val="FAFD736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spacing w:line="360" w:lineRule="auto"/>
      <w:ind w:firstLine="200" w:firstLineChars="200"/>
    </w:pPr>
    <w:rPr>
      <w:rFonts w:ascii="Times New Roman" w:hAnsi="Times New Roman" w:eastAsia="仿宋" w:cs="Times New Roman"/>
      <w:sz w:val="30"/>
      <w:szCs w:val="24"/>
      <w:lang w:val="en-US" w:eastAsia="zh-CN" w:bidi="ar-SA"/>
    </w:rPr>
  </w:style>
  <w:style w:type="paragraph" w:styleId="2">
    <w:name w:val="heading 1"/>
    <w:basedOn w:val="1"/>
    <w:next w:val="1"/>
    <w:link w:val="17"/>
    <w:qFormat/>
    <w:uiPriority w:val="9"/>
    <w:pPr>
      <w:keepNext/>
      <w:keepLines/>
      <w:spacing w:before="100" w:beforeAutospacing="1" w:after="100" w:afterAutospacing="1"/>
      <w:ind w:firstLine="646"/>
      <w:jc w:val="center"/>
      <w:outlineLvl w:val="0"/>
    </w:pPr>
    <w:rPr>
      <w:rFonts w:eastAsia="黑体"/>
      <w:bCs/>
      <w:kern w:val="44"/>
      <w:sz w:val="32"/>
      <w:szCs w:val="44"/>
    </w:rPr>
  </w:style>
  <w:style w:type="paragraph" w:styleId="3">
    <w:name w:val="heading 2"/>
    <w:basedOn w:val="1"/>
    <w:next w:val="1"/>
    <w:link w:val="23"/>
    <w:unhideWhenUsed/>
    <w:qFormat/>
    <w:uiPriority w:val="9"/>
    <w:pPr>
      <w:keepNext/>
      <w:keepLines/>
      <w:spacing w:before="100" w:beforeAutospacing="1" w:after="100" w:afterAutospacing="1"/>
      <w:outlineLvl w:val="1"/>
    </w:pPr>
    <w:rPr>
      <w:rFonts w:asciiTheme="majorHAnsi" w:hAnsiTheme="majorHAnsi" w:cstheme="majorBidi"/>
      <w:b/>
      <w:bCs/>
      <w:szCs w:val="32"/>
    </w:rPr>
  </w:style>
  <w:style w:type="paragraph" w:styleId="4">
    <w:name w:val="heading 3"/>
    <w:basedOn w:val="1"/>
    <w:next w:val="1"/>
    <w:link w:val="27"/>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4"/>
    <w:unhideWhenUsed/>
    <w:qFormat/>
    <w:uiPriority w:val="99"/>
  </w:style>
  <w:style w:type="paragraph" w:styleId="7">
    <w:name w:val="Body Text"/>
    <w:basedOn w:val="1"/>
    <w:link w:val="18"/>
    <w:qFormat/>
    <w:uiPriority w:val="1"/>
    <w:pPr>
      <w:spacing w:before="5"/>
      <w:ind w:left="100" w:firstLine="628"/>
    </w:pPr>
    <w:rPr>
      <w:rFonts w:ascii="Arial Unicode MS" w:eastAsia="Arial Unicode MS" w:cs="Arial Unicode MS"/>
      <w:sz w:val="29"/>
      <w:szCs w:val="29"/>
    </w:rPr>
  </w:style>
  <w:style w:type="paragraph" w:styleId="8">
    <w:name w:val="Balloon Text"/>
    <w:basedOn w:val="1"/>
    <w:link w:val="26"/>
    <w:semiHidden/>
    <w:unhideWhenUsed/>
    <w:qFormat/>
    <w:uiPriority w:val="99"/>
    <w:pPr>
      <w:spacing w:line="240" w:lineRule="auto"/>
    </w:pPr>
    <w:rPr>
      <w:sz w:val="18"/>
      <w:szCs w:val="18"/>
    </w:rPr>
  </w:style>
  <w:style w:type="paragraph" w:styleId="9">
    <w:name w:val="footer"/>
    <w:basedOn w:val="1"/>
    <w:link w:val="22"/>
    <w:unhideWhenUsed/>
    <w:qFormat/>
    <w:uiPriority w:val="99"/>
    <w:pPr>
      <w:tabs>
        <w:tab w:val="center" w:pos="4153"/>
        <w:tab w:val="right" w:pos="8306"/>
      </w:tabs>
      <w:snapToGrid w:val="0"/>
      <w:spacing w:line="240" w:lineRule="auto"/>
    </w:pPr>
    <w:rPr>
      <w:sz w:val="18"/>
      <w:szCs w:val="18"/>
    </w:rPr>
  </w:style>
  <w:style w:type="paragraph" w:styleId="10">
    <w:name w:val="header"/>
    <w:basedOn w:val="1"/>
    <w:link w:val="2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1">
    <w:name w:val="toc 1"/>
    <w:basedOn w:val="1"/>
    <w:next w:val="1"/>
    <w:unhideWhenUsed/>
    <w:qFormat/>
    <w:uiPriority w:val="39"/>
  </w:style>
  <w:style w:type="paragraph" w:styleId="12">
    <w:name w:val="annotation subject"/>
    <w:basedOn w:val="6"/>
    <w:next w:val="6"/>
    <w:link w:val="25"/>
    <w:semiHidden/>
    <w:unhideWhenUsed/>
    <w:qFormat/>
    <w:uiPriority w:val="99"/>
    <w:rPr>
      <w:b/>
      <w:bCs/>
    </w:rPr>
  </w:style>
  <w:style w:type="character" w:styleId="15">
    <w:name w:val="Hyperlink"/>
    <w:basedOn w:val="14"/>
    <w:unhideWhenUsed/>
    <w:qFormat/>
    <w:uiPriority w:val="99"/>
    <w:rPr>
      <w:color w:val="0563C1" w:themeColor="hyperlink"/>
      <w:u w:val="single"/>
      <w14:textFill>
        <w14:solidFill>
          <w14:schemeClr w14:val="hlink"/>
        </w14:solidFill>
      </w14:textFill>
    </w:rPr>
  </w:style>
  <w:style w:type="character" w:styleId="16">
    <w:name w:val="annotation reference"/>
    <w:basedOn w:val="14"/>
    <w:semiHidden/>
    <w:unhideWhenUsed/>
    <w:qFormat/>
    <w:uiPriority w:val="99"/>
    <w:rPr>
      <w:sz w:val="21"/>
      <w:szCs w:val="21"/>
    </w:rPr>
  </w:style>
  <w:style w:type="character" w:customStyle="1" w:styleId="17">
    <w:name w:val="标题 1 Char"/>
    <w:basedOn w:val="14"/>
    <w:link w:val="2"/>
    <w:qFormat/>
    <w:locked/>
    <w:uiPriority w:val="9"/>
    <w:rPr>
      <w:rFonts w:ascii="Times New Roman" w:hAnsi="Times New Roman" w:eastAsia="黑体" w:cs="Times New Roman"/>
      <w:bCs/>
      <w:kern w:val="44"/>
      <w:sz w:val="44"/>
      <w:szCs w:val="44"/>
    </w:rPr>
  </w:style>
  <w:style w:type="character" w:customStyle="1" w:styleId="18">
    <w:name w:val="正文文本 Char"/>
    <w:basedOn w:val="14"/>
    <w:link w:val="7"/>
    <w:semiHidden/>
    <w:qFormat/>
    <w:locked/>
    <w:uiPriority w:val="99"/>
    <w:rPr>
      <w:rFonts w:ascii="Times New Roman" w:hAnsi="Times New Roman" w:cs="Times New Roman"/>
      <w:kern w:val="0"/>
      <w:sz w:val="24"/>
      <w:szCs w:val="24"/>
    </w:rPr>
  </w:style>
  <w:style w:type="paragraph" w:styleId="19">
    <w:name w:val="List Paragraph"/>
    <w:basedOn w:val="1"/>
    <w:qFormat/>
    <w:uiPriority w:val="1"/>
    <w:pPr>
      <w:ind w:firstLine="0" w:firstLineChars="0"/>
    </w:pPr>
  </w:style>
  <w:style w:type="paragraph" w:customStyle="1" w:styleId="20">
    <w:name w:val="Table Paragraph"/>
    <w:basedOn w:val="1"/>
    <w:qFormat/>
    <w:uiPriority w:val="1"/>
  </w:style>
  <w:style w:type="character" w:customStyle="1" w:styleId="21">
    <w:name w:val="页眉 Char"/>
    <w:basedOn w:val="14"/>
    <w:link w:val="10"/>
    <w:qFormat/>
    <w:uiPriority w:val="99"/>
    <w:rPr>
      <w:rFonts w:ascii="Times New Roman" w:hAnsi="Times New Roman" w:eastAsia="仿宋"/>
      <w:kern w:val="0"/>
      <w:sz w:val="18"/>
      <w:szCs w:val="18"/>
    </w:rPr>
  </w:style>
  <w:style w:type="character" w:customStyle="1" w:styleId="22">
    <w:name w:val="页脚 Char"/>
    <w:basedOn w:val="14"/>
    <w:link w:val="9"/>
    <w:qFormat/>
    <w:uiPriority w:val="99"/>
    <w:rPr>
      <w:rFonts w:ascii="Times New Roman" w:hAnsi="Times New Roman" w:eastAsia="仿宋"/>
      <w:kern w:val="0"/>
      <w:sz w:val="18"/>
      <w:szCs w:val="18"/>
    </w:rPr>
  </w:style>
  <w:style w:type="character" w:customStyle="1" w:styleId="23">
    <w:name w:val="标题 2 Char"/>
    <w:basedOn w:val="14"/>
    <w:link w:val="3"/>
    <w:qFormat/>
    <w:uiPriority w:val="9"/>
    <w:rPr>
      <w:rFonts w:eastAsia="仿宋" w:asciiTheme="majorHAnsi" w:hAnsiTheme="majorHAnsi" w:cstheme="majorBidi"/>
      <w:b/>
      <w:bCs/>
      <w:kern w:val="0"/>
      <w:sz w:val="30"/>
      <w:szCs w:val="32"/>
    </w:rPr>
  </w:style>
  <w:style w:type="character" w:customStyle="1" w:styleId="24">
    <w:name w:val="批注文字 Char"/>
    <w:basedOn w:val="14"/>
    <w:link w:val="6"/>
    <w:qFormat/>
    <w:uiPriority w:val="99"/>
    <w:rPr>
      <w:rFonts w:ascii="Times New Roman" w:hAnsi="Times New Roman" w:eastAsia="仿宋"/>
      <w:kern w:val="0"/>
      <w:sz w:val="30"/>
      <w:szCs w:val="24"/>
    </w:rPr>
  </w:style>
  <w:style w:type="character" w:customStyle="1" w:styleId="25">
    <w:name w:val="批注主题 Char"/>
    <w:basedOn w:val="24"/>
    <w:link w:val="12"/>
    <w:semiHidden/>
    <w:qFormat/>
    <w:uiPriority w:val="99"/>
    <w:rPr>
      <w:rFonts w:ascii="Times New Roman" w:hAnsi="Times New Roman" w:eastAsia="仿宋"/>
      <w:b/>
      <w:bCs/>
      <w:kern w:val="0"/>
      <w:sz w:val="30"/>
      <w:szCs w:val="24"/>
    </w:rPr>
  </w:style>
  <w:style w:type="character" w:customStyle="1" w:styleId="26">
    <w:name w:val="批注框文本 Char"/>
    <w:basedOn w:val="14"/>
    <w:link w:val="8"/>
    <w:semiHidden/>
    <w:qFormat/>
    <w:uiPriority w:val="99"/>
    <w:rPr>
      <w:rFonts w:ascii="Times New Roman" w:hAnsi="Times New Roman" w:eastAsia="仿宋"/>
      <w:kern w:val="0"/>
      <w:sz w:val="18"/>
      <w:szCs w:val="18"/>
    </w:rPr>
  </w:style>
  <w:style w:type="character" w:customStyle="1" w:styleId="27">
    <w:name w:val="标题 3 Char"/>
    <w:basedOn w:val="14"/>
    <w:link w:val="4"/>
    <w:semiHidden/>
    <w:qFormat/>
    <w:uiPriority w:val="9"/>
    <w:rPr>
      <w:rFonts w:ascii="Times New Roman" w:hAnsi="Times New Roman" w:eastAsia="仿宋"/>
      <w:b/>
      <w:bCs/>
      <w:kern w:val="0"/>
      <w:sz w:val="32"/>
      <w:szCs w:val="32"/>
    </w:rPr>
  </w:style>
  <w:style w:type="character" w:customStyle="1" w:styleId="28">
    <w:name w:val="标题 4 Char"/>
    <w:basedOn w:val="14"/>
    <w:link w:val="5"/>
    <w:semiHidden/>
    <w:qFormat/>
    <w:uiPriority w:val="9"/>
    <w:rPr>
      <w:rFonts w:asciiTheme="majorHAnsi" w:hAnsiTheme="majorHAnsi" w:eastAsiaTheme="majorEastAsia" w:cstheme="majorBidi"/>
      <w:b/>
      <w:bCs/>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16</Pages>
  <Words>7453</Words>
  <Characters>447</Characters>
  <Lines>3</Lines>
  <Paragraphs>15</Paragraphs>
  <TotalTime>1292</TotalTime>
  <ScaleCrop>false</ScaleCrop>
  <LinksUpToDate>false</LinksUpToDate>
  <CharactersWithSpaces>7885</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2022-12-02T15:33:00Z</dcterms:created>
  <dc:creator>作者</dc:creator>
  <cp:keywords>关键字</cp:keywords>
  <cp:lastModifiedBy>user</cp:lastModifiedBy>
  <cp:lastPrinted>2022-10-31T16:10:00Z</cp:lastPrinted>
  <dcterms:modified xsi:type="dcterms:W3CDTF">2023-03-23T09:15:21Z</dcterms:modified>
  <dc:subject>科目</dc:subject>
  <dc:title>标题</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创建者</vt:lpwstr>
  </property>
  <property fmtid="{D5CDD505-2E9C-101B-9397-08002B2CF9AE}" pid="3" name="KSOProductBuildVer">
    <vt:lpwstr>2052-11.8.2.10489</vt:lpwstr>
  </property>
  <property fmtid="{D5CDD505-2E9C-101B-9397-08002B2CF9AE}" pid="4" name="ICV">
    <vt:lpwstr>C295ABD857E14620A9CCFCBE21C31772</vt:lpwstr>
  </property>
</Properties>
</file>