
<file path=[Content_Types].xml><?xml version="1.0" encoding="utf-8"?>
<Types xmlns="http://schemas.openxmlformats.org/package/2006/content-types">
  <Default Extension="xml" ContentType="application/xml"/>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bookmarkStart w:id="223" w:name="_GoBack"/>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91.140.01</w:t>
            </w:r>
            <w:r>
              <w:rPr>
                <w:rFonts w:ascii="黑体" w:hAnsi="黑体" w:eastAsia="黑体"/>
                <w:sz w:val="21"/>
                <w:szCs w:val="21"/>
              </w:rPr>
              <w:fldChar w:fldCharType="end"/>
            </w:r>
            <w:bookmarkEnd w:id="223"/>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P 40</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pPr>
              <w:pStyle w:val="49"/>
              <w:framePr w:w="0" w:hRule="auto" w:wrap="auto" w:vAnchor="margin" w:hAnchor="text" w:xAlign="left" w:yAlign="inline"/>
              <w:rPr>
                <w:rFonts w:ascii="宋体" w:hAnsi="宋体"/>
                <w:sz w:val="28"/>
                <w:szCs w:val="28"/>
              </w:rPr>
            </w:pPr>
            <w:bookmarkStart w:id="2" w:name="_Hlk26473981"/>
            <w:r>
              <w:rPr>
                <w:rFonts w:hint="eastAsia"/>
              </w:rPr>
              <w:t>DB</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D</w:t>
            </w:r>
            <w:r>
              <w:t>42</w:t>
            </w:r>
            <w:r>
              <w:fldChar w:fldCharType="end"/>
            </w:r>
            <w:bookmarkEnd w:id="3"/>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framePr/>
        <w:rPr>
          <w:lang w:val="fr-FR"/>
        </w:rPr>
      </w:pPr>
      <w:r>
        <w:rPr>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42/T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t>XXXX</w:t>
      </w:r>
      <w:r>
        <w:fldChar w:fldCharType="end"/>
      </w:r>
      <w:bookmarkEnd w:id="7"/>
    </w:p>
    <w:p>
      <w:pPr>
        <w:pStyle w:val="196"/>
        <w:framePr/>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FBgAAAAAAAAAAAAAAAAAAAAAAAFBLAwQKAAAAAACHTuJAAAAAAAAAAAAAAAAABAAAAGRycy9Q&#10;SwMEFAAAAAgAh07iQCeDSZbYAAAADAEAAA8AAABkcnMvZG93bnJldi54bWxNj0tPwzAQhO9I/Adr&#10;kbhU1E76UBXi9ADkxoXSius23iYR8TqN3Qf8+roSUjnOzmjm23x5tp040uBbxxqSsQJBXDnTcq1h&#10;/Vk+LUD4gGywc0wafsjDsri/yzEz7sQfdFyFWsQS9hlqaELoMyl91ZBFP3Y9cfR2brAYohxqaQY8&#10;xXLbyVSpubTYclxosKeXhqrv1cFq8OWG9uXvqBqpr0ntKN2/vr+h1o8PiXoGEegcbmG44kd0KCLT&#10;1h3YeNFFPU0ietAwTWcTENdEomZzENu/kyxy+f+J4gJQSwMEFAAAAAgAh07iQEn04FrMAQAAYQMA&#10;AA4AAABkcnMvZTJvRG9jLnhtbK1TzY7TMBC+I/EOlu80adEuEDXdQ1fLZYFKuzzA1HESC9tj2W6T&#10;vgQvgMQNThy58zYsj8HY/dlduCFyGMWemc/zfZ89vxiNZlvpg0Jb8+mk5ExagY2yXc3f3149e8lZ&#10;iGAb0GhlzXcy8IvF0yfzwVVyhj3qRnpGIDZUg6t5H6OriiKIXhoIE3TSUrJFbyDS0ndF42EgdKOL&#10;WVmeFwP6xnkUMgTavdwn+SLjt60U8V3bBhmZrjnNFnP0Oa5TLBZzqDoPrlfiMAb8wxQGlKVDT1CX&#10;EIFtvPoLyijhMWAbJwJNgW2rhMwciM20/IPNTQ9OZi4kTnAnmcL/gxVvtyvPVFPzF885s2DIo7tP&#10;339+/PLrx2eKd9++MsqQTIMLFVUv7conomK0N+4axYfALC57sJ3M497uHEFEv5GpqXjUlRbB0Xnr&#10;4Q02VAabiFm2sfUmoZIgbMzu7E7uyDEyQZvnUzK8JBPFMVdAdWx0PsTXEg1LPzXXyibhoILtdYhp&#10;EKiOJWnb4pXSOpuvLRtq/upsdpYbAmrVpGQqC75bL7VnW0jXJ3+ZFWUelnnc2GZ/iLYH0onnXrQ1&#10;NruVP4pBPuZpDncuXZSH69x9/zI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ng0mW2AAAAAwB&#10;AAAPAAAAAAAAAAEAIAAAADgAAABkcnMvZG93bnJldi54bWxQSwECFAAUAAAACACHTuJASfTgWswB&#10;AABhAwAADgAAAAAAAAABACAAAAA9AQAAZHJzL2Uyb0RvYy54bWxQSwUGAAAAAAYABgBZAQAAewUA&#10;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Pr>
          <w:rFonts w:hint="eastAsia"/>
        </w:rPr>
        <w:t>盾构法隧道现浇钢筋混凝土二次衬砌技术规程</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eastAsia="黑体"/>
          <w:szCs w:val="28"/>
        </w:rPr>
        <w:t>Technical Specification for Cast-in-Place Reinforced Concrete Secondary Lining of Shi</w:t>
      </w:r>
      <w:r>
        <w:rPr>
          <w:rFonts w:hint="eastAsia" w:eastAsia="黑体"/>
          <w:szCs w:val="28"/>
        </w:rPr>
        <w:t>e</w:t>
      </w:r>
      <w:r>
        <w:rPr>
          <w:rFonts w:eastAsia="黑体"/>
          <w:szCs w:val="28"/>
        </w:rPr>
        <w:t>ld H</w:t>
      </w:r>
      <w:r>
        <w:rPr>
          <w:rFonts w:hint="eastAsia" w:eastAsia="黑体"/>
          <w:szCs w:val="28"/>
        </w:rPr>
        <w:t>y</w:t>
      </w:r>
      <w:r>
        <w:rPr>
          <w:rFonts w:eastAsia="黑体"/>
          <w:szCs w:val="28"/>
        </w:rPr>
        <w:t>draulic Tunnel</w:t>
      </w:r>
      <w:r>
        <w:rPr>
          <w:rFonts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pPr>
        <w:pStyle w:val="193"/>
        <w:framePr w:y="14176"/>
      </w:pPr>
      <w:r>
        <w:rPr>
          <w:rFonts w:ascii="黑体"/>
        </w:rPr>
        <w:fldChar w:fldCharType="begin">
          <w:ffData>
            <w:name w:val="PLSH_DATE_Y"/>
            <w:enabled/>
            <w:calcOnExit w:val="0"/>
            <w:textInput>
              <w:default w:val="XXXX"/>
              <w:maxLength w:val="4"/>
            </w:textInput>
          </w:ffData>
        </w:fldChar>
      </w:r>
      <w:bookmarkStart w:id="13"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3"/>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6"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6"/>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7"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7"/>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8"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rPr>
          <w:rFonts w:hint="eastAsia"/>
        </w:rPr>
        <w:t>实施</w:t>
      </w:r>
    </w:p>
    <w:p>
      <w:pPr>
        <w:rPr>
          <w:rFonts w:ascii="宋体" w:hAnsi="宋体"/>
          <w:sz w:val="28"/>
          <w:szCs w:val="28"/>
        </w:r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true"/>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FBgAAAAAAAAAAAAAAAAAAAAAAAFBLAwQKAAAAAACHTuJAAAAAAAAAAAAAAAAABAAAAGRycy9Q&#10;SwMEFAAAAAgAh07iQKszHPvXAAAADgEAAA8AAABkcnMvZG93bnJldi54bWxNj81OwzAQhO9IvIO1&#10;SFyq1k4gLQpxegBy40IBcd3GSxIRr9PY/YGnxzlUcNvZHc1+U6xPthcHGn3nWEOyUCCIa2c6bjS8&#10;vVbzOxA+IBvsHZOGb/KwLi8vCsyNO/ILHTahETGEfY4a2hCGXEpft2TRL9xAHG+fbrQYohwbaUY8&#10;xnDby1SppbTYcfzQ4kAPLdVfm73V4Kt32lU/s3qmPm4aR+nu8fkJtb6+StQ9iECn8GeGCT+iQxmZ&#10;tm7Pxos+6ttkFa3TkK1SEJMlUVkGYnveybKQ/2uUv1BLAwQUAAAACACHTuJAEc9x0soBAABfAwAA&#10;DgAAAGRycy9lMm9Eb2MueG1srVPNjtMwEL4j8Q6W7zRppa4garqHrpbLApV2eYCp4yQWtsey3SZ9&#10;CV4AiRucOHLnbVgeg7H7w7J7Q+Qwij0zn+f7PntxORrNdtIHhbbm00nJmbQCG2W7mr+/u37xkrMQ&#10;wTag0cqa72Xgl8vnzxaDq+QMe9SN9IxAbKgGV/M+RlcVRRC9NBAm6KSlZIveQKSl74rGw0DoRhez&#10;srwoBvSN8yhkCLR7dUjyZcZvWyniu7YNMjJdc5ot5uhz3KRYLBdQdR5cr8RxDPiHKQwoS4eeoa4g&#10;Att69QTKKOExYBsnAk2BbauEzByIzbR8xOa2ByczFxInuLNM4f/Bire7tWeqqfmcMwuGLLr/9P3n&#10;xy+/fnymeP/tK5snkQYXKqpd2bVPNMVob90Nig+BWVz1YDuZh73bO0KIfitTU/FXV1oER6dthjfY&#10;UBlsI2bRxtabhEpysDF7sz97I8fIBG1eTMnukiwUp1wB1anR+RBfSzQs/dRcK5tkgwp2NyGmQaA6&#10;laRti9dK62y9tmyo+av5bJ4bAmrVpGQqC77brLRnO0iXJ3+ZFWUelnnc2uZwiLZH0onnQbQNNvu1&#10;P4lBLuZpjjcuXZOH69z9510sfw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rMxz71wAAAA4BAAAP&#10;AAAAAAAAAAEAIAAAADgAAABkcnMvZG93bnJldi54bWxQSwECFAAUAAAACACHTuJAEc9x0soBAABf&#10;AwAADgAAAAAAAAABACAAAAA8AQAAZHJzL2Uyb0RvYy54bWxQSwUGAAAAAAYABgBZAQAAeAUAAAAA&#10;">
                <v:fill on="f" focussize="0,0"/>
                <v:stroke color="#000000" joinstyle="round"/>
                <v:imagedata o:title=""/>
                <o:lock v:ext="edit" aspectratio="f"/>
                <w10:anchorlock/>
              </v:line>
            </w:pict>
          </mc:Fallback>
        </mc:AlternateContent>
      </w: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framePr w:w="4712" w:h="721" w:hRule="exact" w:hSpace="180" w:vSpace="180" w:wrap="around" w:vAnchor="page" w:hAnchor="page" w:x="3601" w:y="14971" w:anchorLock="1"/>
        <w:widowControl/>
        <w:adjustRightInd/>
        <w:spacing w:line="0" w:lineRule="atLeast"/>
        <w:jc w:val="distribute"/>
        <w:rPr>
          <w:rFonts w:ascii="Times New Roman" w:hAnsi="Times New Roman" w:eastAsia="黑体"/>
          <w:w w:val="135"/>
          <w:kern w:val="0"/>
          <w:sz w:val="28"/>
          <w:szCs w:val="28"/>
        </w:rPr>
      </w:pPr>
      <w:r>
        <w:rPr>
          <w:rFonts w:hint="eastAsia" w:ascii="Times New Roman" w:hAnsi="Times New Roman" w:eastAsia="黑体"/>
          <w:w w:val="135"/>
          <w:kern w:val="0"/>
          <w:sz w:val="28"/>
          <w:szCs w:val="28"/>
        </w:rPr>
        <w:t>湖北省住房和城乡建设厅</w:t>
      </w:r>
    </w:p>
    <w:p>
      <w:pPr>
        <w:framePr w:w="4712" w:h="721" w:hRule="exact" w:hSpace="180" w:vSpace="180" w:wrap="around" w:vAnchor="page" w:hAnchor="page" w:x="3601" w:y="14971" w:anchorLock="1"/>
        <w:widowControl/>
        <w:adjustRightInd/>
        <w:spacing w:line="0" w:lineRule="atLeast"/>
        <w:jc w:val="distribute"/>
        <w:rPr>
          <w:rFonts w:ascii="Times New Roman" w:hAnsi="Times New Roman" w:eastAsia="黑体"/>
          <w:w w:val="135"/>
          <w:kern w:val="0"/>
          <w:sz w:val="36"/>
          <w:szCs w:val="20"/>
        </w:rPr>
      </w:pPr>
      <w:r>
        <mc:AlternateContent>
          <mc:Choice Requires="wps">
            <w:drawing>
              <wp:anchor distT="0" distB="0" distL="114300" distR="114300" simplePos="0" relativeHeight="251662336" behindDoc="1" locked="0" layoutInCell="1" allowOverlap="1">
                <wp:simplePos x="0" y="0"/>
                <wp:positionH relativeFrom="column">
                  <wp:posOffset>1810385</wp:posOffset>
                </wp:positionH>
                <wp:positionV relativeFrom="paragraph">
                  <wp:posOffset>-3942715</wp:posOffset>
                </wp:positionV>
                <wp:extent cx="1270000" cy="304800"/>
                <wp:effectExtent l="0" t="0" r="6350" b="0"/>
                <wp:wrapNone/>
                <wp:docPr id="15" name="矩形 15"/>
                <wp:cNvGraphicFramePr/>
                <a:graphic xmlns:a="http://schemas.openxmlformats.org/drawingml/2006/main">
                  <a:graphicData uri="http://schemas.microsoft.com/office/word/2010/wordprocessingShape">
                    <wps:wsp>
                      <wps:cNvSpPr>
                        <a:spLocks noChangeArrowheads="true"/>
                      </wps:cNvSpPr>
                      <wps:spPr bwMode="auto">
                        <a:xfrm>
                          <a:off x="0" y="0"/>
                          <a:ext cx="1270000" cy="304800"/>
                        </a:xfrm>
                        <a:prstGeom prst="rect">
                          <a:avLst/>
                        </a:prstGeom>
                        <a:solidFill>
                          <a:srgbClr val="FFFFFF"/>
                        </a:solidFill>
                        <a:ln>
                          <a:noFill/>
                        </a:ln>
                        <a:effectLst/>
                      </wps:spPr>
                      <wps:txbx>
                        <w:txbxContent>
                          <w:p>
                            <w:pPr>
                              <w:jc w:val="center"/>
                            </w:pPr>
                          </w:p>
                        </w:txbxContent>
                      </wps:txbx>
                      <wps:bodyPr rot="0" vert="horz" wrap="square" lIns="91440" tIns="45720" rIns="91440" bIns="45720" anchor="t" anchorCtr="false" upright="true">
                        <a:noAutofit/>
                      </wps:bodyPr>
                    </wps:wsp>
                  </a:graphicData>
                </a:graphic>
              </wp:anchor>
            </w:drawing>
          </mc:Choice>
          <mc:Fallback>
            <w:pict>
              <v:rect id="_x0000_s1026" o:spid="_x0000_s1026" o:spt="1" style="position:absolute;left:0pt;margin-left:142.55pt;margin-top:-310.45pt;height:24pt;width:100pt;z-index:-251654144;mso-width-relative:page;mso-height-relative:page;" fillcolor="#FFFFFF" filled="t" stroked="f" coordsize="21600,21600" o:gfxdata="UEsFBgAAAAAAAAAAAAAAAAAAAAAAAFBLAwQKAAAAAACHTuJAAAAAAAAAAAAAAAAABAAAAGRycy9Q&#10;SwMEFAAAAAgAh07iQPm17tbZAAAADQEAAA8AAABkcnMvZG93bnJldi54bWxNj8FOwzAMhu9IvENk&#10;JG5b0rKVtTTdAWkn4MCGxNVrsraicUqTbuXtMVzg6N+ffn8ut7PrxdmOofOkIVkqEJZqbzpqNLwd&#10;dosNiBCRDPaerIYvG2BbXV+VWBh/oVd73sdGcAmFAjW0MQ6FlKFurcOw9IMl3p386DDyODbSjHjh&#10;ctfLVKlMOuyIL7Q42MfW1h/7yWnAbGU+X053z4enKcO8mdVu/a60vr1J1AOIaOf4B8OPPqtDxU5H&#10;P5EJoteQbtYJoxoWWapyEIysfqMjR+v7NAdZlfL/F9U3UEsDBBQAAAAIAIdO4kC5wpL1CgIAAP0D&#10;AAAOAAAAZHJzL2Uyb0RvYy54bWytU12O0zAQfkfiDpbfadLSZZeo6WrVVRHSAistHMBxnMbC8Zix&#10;26RcBok3DsFxENdg7LTdAm8IP1iev29mvhkvrofOsJ1Cr8GWfDrJOVNWQq3tpuQf3q+fXXHmg7C1&#10;MGBVyffK8+vl0yeL3hVqBi2YWiEjEOuL3pW8DcEVWeZlqzrhJ+CUJWMD2IlAIm6yGkVP6J3JZnn+&#10;IusBa4cglfekvR2NfJnwm0bJ8K5pvArMlJxqC+nGdFfxzpYLUWxQuFbLQxniH6rohLaU9AR1K4Jg&#10;W9R/QXVaInhowkRCl0HTaKlSD9TNNP+jm4dWOJV6IXK8O9Hk/x+sfLu7R6Zrmt0FZ1Z0NKOfX779&#10;+P6VkYLY6Z0vyOnB3WPsz7s7kB89s7Bqhd2oG0ToWyVqqingVsWQ7LeYKHiKZlX/BmqCF9sAiauh&#10;wS5iEgtsSCPZn0aihsAkKaezy5wOZ5Jsz/P5Fb1jClEcox368EpBx+Kj5EgjT+hid+fD6Hp0SQ2A&#10;0fVaG5ME3FQrg2wnaD3W6RzQ/bmbsdHZQgwbEUeNSgt2SHPsc6QsDNVArlFZQb2n9hHG5aPPQo8W&#10;8DNnPS1eyf2nrUDFmXlticWX0/k8bmoS5heXMxLw3FKdW4SVBEXcczY+V4GkRhhPgFuHetNStjSZ&#10;sYcbYr/RiZjH4g4zox1L1B7+Q1ziczl5Pf7a5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D5te7W&#10;2QAAAA0BAAAPAAAAAAAAAAEAIAAAADgAAABkcnMvZG93bnJldi54bWxQSwECFAAUAAAACACHTuJA&#10;ucKS9QoCAAD9AwAADgAAAAAAAAABACAAAAA+AQAAZHJzL2Uyb0RvYy54bWxQSwUGAAAAAAYABgBZ&#10;AQAAugUAAAAA&#10;">
                <v:fill on="t" focussize="0,0"/>
                <v:stroke on="f"/>
                <v:imagedata o:title=""/>
                <o:lock v:ext="edit" aspectratio="f"/>
                <v:textbox>
                  <w:txbxContent>
                    <w:p>
                      <w:pPr>
                        <w:jc w:val="center"/>
                      </w:pPr>
                    </w:p>
                  </w:txbxContent>
                </v:textbox>
              </v:rect>
            </w:pict>
          </mc:Fallback>
        </mc:AlternateContent>
      </w:r>
      <w:r>
        <mc:AlternateContent>
          <mc:Choice Requires="wps">
            <w:drawing>
              <wp:anchor distT="0" distB="0" distL="114300" distR="114300" simplePos="0" relativeHeight="251661312" behindDoc="1" locked="0" layoutInCell="1" allowOverlap="1">
                <wp:simplePos x="0" y="0"/>
                <wp:positionH relativeFrom="column">
                  <wp:posOffset>4413885</wp:posOffset>
                </wp:positionH>
                <wp:positionV relativeFrom="paragraph">
                  <wp:posOffset>-7435215</wp:posOffset>
                </wp:positionV>
                <wp:extent cx="1143000" cy="228600"/>
                <wp:effectExtent l="0" t="0" r="0" b="0"/>
                <wp:wrapNone/>
                <wp:docPr id="12" name="矩形 12"/>
                <wp:cNvGraphicFramePr/>
                <a:graphic xmlns:a="http://schemas.openxmlformats.org/drawingml/2006/main">
                  <a:graphicData uri="http://schemas.microsoft.com/office/word/2010/wordprocessingShape">
                    <wps:wsp>
                      <wps:cNvSpPr>
                        <a:spLocks noChangeArrowheads="true"/>
                      </wps:cNvSpPr>
                      <wps:spPr bwMode="auto">
                        <a:xfrm>
                          <a:off x="0" y="0"/>
                          <a:ext cx="1143000" cy="228600"/>
                        </a:xfrm>
                        <a:prstGeom prst="rect">
                          <a:avLst/>
                        </a:prstGeom>
                        <a:solidFill>
                          <a:srgbClr val="FFFFFF"/>
                        </a:solidFill>
                        <a:ln>
                          <a:noFill/>
                        </a:ln>
                        <a:effectLst/>
                      </wps:spPr>
                      <wps:txbx>
                        <w:txbxContent>
                          <w:p>
                            <w:pPr>
                              <w:jc w:val="center"/>
                            </w:pPr>
                          </w:p>
                        </w:txbxContent>
                      </wps:txbx>
                      <wps:bodyPr rot="0" vert="horz" wrap="square" lIns="91440" tIns="45720" rIns="91440" bIns="45720" anchor="t" anchorCtr="false" upright="true">
                        <a:noAutofit/>
                      </wps:bodyPr>
                    </wps:wsp>
                  </a:graphicData>
                </a:graphic>
              </wp:anchor>
            </w:drawing>
          </mc:Choice>
          <mc:Fallback>
            <w:pict>
              <v:rect id="_x0000_s1026" o:spid="_x0000_s1026" o:spt="1" style="position:absolute;left:0pt;margin-left:347.55pt;margin-top:-585.45pt;height:18pt;width:90pt;z-index:-251655168;mso-width-relative:page;mso-height-relative:page;" fillcolor="#FFFFFF" filled="t" stroked="f" coordsize="21600,21600" o:gfxdata="UEsFBgAAAAAAAAAAAAAAAAAAAAAAAFBLAwQKAAAAAACHTuJAAAAAAAAAAAAAAAAABAAAAGRycy9Q&#10;SwMEFAAAAAgAh07iQN/JihHaAAAADwEAAA8AAABkcnMvZG93bnJldi54bWxNj8FOwzAMhu9IvENk&#10;JG5bUrZ1a2m6A9JOwIENiavXeG1F45Qm3crbk3GBo39/+v252E62E2cafOtYQzJXIIgrZ1quNbwf&#10;drMNCB+QDXaOScM3ediWtzcF5sZd+I3O+1CLWMI+Rw1NCH0upa8asujnrieOu5MbLIY4DrU0A15i&#10;ue3kg1KptNhyvNBgT08NVZ/70WrAdGm+Xk+Ll8PzmGJWT2q3+lBa398l6hFEoCn8wXDVj+pQRqej&#10;G9l40WlIs1USUQ2zJFmrDERkNutrdvzNFssMZFnI/3+UP1BLAwQUAAAACACHTuJAHWKu4gsCAAD9&#10;AwAADgAAAGRycy9lMm9Eb2MueG1srVNdjtMwEH5H4g6W32nSUJYlarpadVWEtMBKCwdwHOdHOB4z&#10;dpuUyyDxtofgOIhrMHbaboE3RB4iz9/n+b4ZL6/GXrOdQteBKfh8lnKmjISqM03BP37YPLvkzHlh&#10;KqHBqILvleNXq6dPloPNVQYt6EohIxDj8sEWvPXe5kniZKt64WZglaFgDdgLTyY2SYViIPReJ1ma&#10;XiQDYGURpHKOvDdTkK8ifl0r6d/XtVOe6YJTbz7+Mf7L8E9WS5E3KGzbyUMb4h+66EVn6NIT1I3w&#10;gm2x+wuq7ySCg9rPJPQJ1HUnVeRAbObpH2zuW2FV5ELiOHuSyf0/WPlud4esq2h2GWdG9DSjn18f&#10;fnz/xshB6gzW5ZR0b+8w8HP2FuQnxwysW2EadY0IQ6tERT153KpQkvxWEwxH1awc3kJF8GLrIWo1&#10;1tgHTFKBjXEk+9NI1OiZJOd8vniepjQ5SbEsu7ygc7hC5Mdqi86/VtCzcCg40sgjutjdOj+lHlMi&#10;AdBdtem0jgY25Voj2wlaj038DujuPE2bkGwglE2Ik0fFBTtcc+Q5SebHcqTU4Cyh2hN9hGn56LHQ&#10;oQX8wtlAi1dw93krUHGm3xhS8dV8sQibGo3Fi5cZGXgeKc8jwkiCIu05m45rT1YttCPArcWuaem2&#10;OJmJwzWpX3dRmMfmDjOjHYvSHt5DWOJzO2Y9vtrV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N/J&#10;ihHaAAAADwEAAA8AAAAAAAAAAQAgAAAAOAAAAGRycy9kb3ducmV2LnhtbFBLAQIUABQAAAAIAIdO&#10;4kAdYq7iCwIAAP0DAAAOAAAAAAAAAAEAIAAAAD8BAABkcnMvZTJvRG9jLnhtbFBLBQYAAAAABgAG&#10;AFkBAAC8BQAAAAA=&#10;">
                <v:fill on="t" focussize="0,0"/>
                <v:stroke on="f"/>
                <v:imagedata o:title=""/>
                <o:lock v:ext="edit" aspectratio="f"/>
                <v:textbox>
                  <w:txbxContent>
                    <w:p>
                      <w:pPr>
                        <w:jc w:val="center"/>
                      </w:pPr>
                    </w:p>
                  </w:txbxContent>
                </v:textbox>
              </v:rect>
            </w:pict>
          </mc:Fallback>
        </mc:AlternateContent>
      </w:r>
      <w:r>
        <w:rPr>
          <w:rFonts w:hint="eastAsia" w:ascii="Times New Roman" w:hAnsi="Times New Roman" w:eastAsia="黑体"/>
          <w:w w:val="135"/>
          <w:kern w:val="0"/>
          <w:sz w:val="28"/>
          <w:szCs w:val="28"/>
        </w:rPr>
        <w:t>湖北省市场监督管理局</w:t>
      </w:r>
      <w:r>
        <w:rPr>
          <w:rFonts w:ascii="Times New Roman" w:hAnsi="Times New Roman" w:eastAsia="黑体"/>
          <w:w w:val="135"/>
          <w:kern w:val="0"/>
          <w:sz w:val="36"/>
          <w:szCs w:val="22"/>
        </w:rPr>
        <w:t xml:space="preserve">   </w:t>
      </w:r>
      <w:r>
        <w:rPr>
          <w:rFonts w:ascii="Times New Roman" w:hAnsi="Times New Roman" w:eastAsia="黑体"/>
          <w:w w:val="135"/>
          <w:kern w:val="0"/>
          <w:sz w:val="36"/>
          <w:szCs w:val="20"/>
        </w:rPr>
        <w:t xml:space="preserve">  </w:t>
      </w:r>
    </w:p>
    <w:p>
      <w:pPr>
        <w:framePr w:w="1606" w:h="1156" w:hRule="exact" w:hSpace="180" w:vSpace="180" w:wrap="around" w:vAnchor="page" w:hAnchor="page" w:x="8461" w:y="14776" w:anchorLock="1"/>
        <w:widowControl/>
        <w:adjustRightInd/>
        <w:spacing w:line="0" w:lineRule="atLeast"/>
        <w:jc w:val="center"/>
        <w:rPr>
          <w:rFonts w:ascii="Times New Roman" w:hAnsi="Times New Roman" w:eastAsia="黑体"/>
          <w:w w:val="135"/>
          <w:kern w:val="0"/>
          <w:sz w:val="36"/>
          <w:szCs w:val="20"/>
        </w:rPr>
      </w:pPr>
      <w:r>
        <w:rPr>
          <w:rFonts w:ascii="Times New Roman" w:hAnsi="Times New Roman" w:eastAsia="黑体"/>
          <w:w w:val="135"/>
          <w:kern w:val="0"/>
          <w:sz w:val="36"/>
          <w:szCs w:val="20"/>
        </w:rPr>
        <w:t xml:space="preserve">            </w:t>
      </w:r>
      <w:r>
        <w:rPr>
          <w:rFonts w:hint="eastAsia" w:ascii="Times New Roman" w:hAnsi="Times New Roman" w:eastAsia="黑体"/>
          <w:kern w:val="0"/>
          <w:position w:val="3"/>
          <w:sz w:val="28"/>
          <w:szCs w:val="28"/>
        </w:rPr>
        <w:t>联合发布</w:t>
      </w:r>
    </w:p>
    <w:p>
      <w:pPr>
        <w:rPr>
          <w:rFonts w:ascii="宋体" w:hAnsi="宋体"/>
          <w:sz w:val="28"/>
          <w:szCs w:val="28"/>
        </w:rPr>
      </w:pPr>
    </w:p>
    <w:p>
      <w:pPr>
        <w:rPr>
          <w:rFonts w:ascii="宋体" w:hAnsi="宋体"/>
          <w:sz w:val="28"/>
          <w:szCs w:val="28"/>
        </w:rPr>
      </w:pPr>
    </w:p>
    <w:p>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p>
    <w:p>
      <w:pPr>
        <w:pStyle w:val="91"/>
        <w:spacing w:after="468"/>
      </w:pPr>
      <w:bookmarkStart w:id="19" w:name="BookMark1"/>
      <w:bookmarkStart w:id="20" w:name="_Toc130215154"/>
      <w:bookmarkStart w:id="21" w:name="_Toc117002570"/>
      <w:bookmarkStart w:id="22" w:name="_Toc117002429"/>
      <w:bookmarkStart w:id="23" w:name="_Toc129276106"/>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"_Toc130218741" </w:instrText>
      </w:r>
      <w:r>
        <w:fldChar w:fldCharType="separate"/>
      </w:r>
      <w:r>
        <w:rPr>
          <w:rStyle w:val="32"/>
        </w:rPr>
        <w:t>前言</w:t>
      </w:r>
      <w:r>
        <w:tab/>
      </w:r>
      <w:r>
        <w:fldChar w:fldCharType="begin"/>
      </w:r>
      <w:r>
        <w:instrText xml:space="preserve"> PAGEREF _Toc130218741 \h </w:instrText>
      </w:r>
      <w:r>
        <w:fldChar w:fldCharType="separate"/>
      </w:r>
      <w:r>
        <w:t>III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"_Toc130218742" </w:instrText>
      </w:r>
      <w:r>
        <w:fldChar w:fldCharType="separate"/>
      </w:r>
      <w:r>
        <w:rPr>
          <w:rStyle w:val="32"/>
        </w:rPr>
        <w:t>引言</w:t>
      </w:r>
      <w:r>
        <w:tab/>
      </w:r>
      <w:r>
        <w:fldChar w:fldCharType="begin"/>
      </w:r>
      <w:r>
        <w:instrText xml:space="preserve"> PAGEREF _Toc130218742 \h </w:instrText>
      </w:r>
      <w:r>
        <w:fldChar w:fldCharType="separate"/>
      </w:r>
      <w:r>
        <w:t>IV</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"_Toc130218743" </w:instrText>
      </w:r>
      <w:r>
        <w:fldChar w:fldCharType="separate"/>
      </w:r>
      <w:r>
        <w:rPr>
          <w:rStyle w:val="32"/>
        </w:rPr>
        <w:t>1  范围</w:t>
      </w:r>
      <w:r>
        <w:tab/>
      </w:r>
      <w:r>
        <w:fldChar w:fldCharType="begin"/>
      </w:r>
      <w:r>
        <w:instrText xml:space="preserve"> PAGEREF _Toc130218743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"_Toc130218744" </w:instrText>
      </w:r>
      <w:r>
        <w:fldChar w:fldCharType="separate"/>
      </w:r>
      <w:r>
        <w:rPr>
          <w:rStyle w:val="32"/>
        </w:rPr>
        <w:t>2  规范性引用文件</w:t>
      </w:r>
      <w:r>
        <w:tab/>
      </w:r>
      <w:r>
        <w:fldChar w:fldCharType="begin"/>
      </w:r>
      <w:r>
        <w:instrText xml:space="preserve"> PAGEREF _Toc130218744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"_Toc130218745" </w:instrText>
      </w:r>
      <w:r>
        <w:fldChar w:fldCharType="separate"/>
      </w:r>
      <w:r>
        <w:rPr>
          <w:rStyle w:val="32"/>
        </w:rPr>
        <w:t>3  术语和定义</w:t>
      </w:r>
      <w:r>
        <w:tab/>
      </w:r>
      <w:r>
        <w:fldChar w:fldCharType="begin"/>
      </w:r>
      <w:r>
        <w:instrText xml:space="preserve"> PAGEREF _Toc130218745 \h </w:instrText>
      </w:r>
      <w:r>
        <w:fldChar w:fldCharType="separate"/>
      </w:r>
      <w:r>
        <w:t>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"_Toc130218746" </w:instrText>
      </w:r>
      <w:r>
        <w:fldChar w:fldCharType="separate"/>
      </w:r>
      <w:r>
        <w:rPr>
          <w:rStyle w:val="32"/>
        </w:rPr>
        <w:t>4  基本规定</w:t>
      </w:r>
      <w:r>
        <w:tab/>
      </w:r>
      <w:r>
        <w:fldChar w:fldCharType="begin"/>
      </w:r>
      <w:r>
        <w:instrText xml:space="preserve"> PAGEREF _Toc130218746 \h </w:instrText>
      </w:r>
      <w:r>
        <w:fldChar w:fldCharType="separate"/>
      </w:r>
      <w:r>
        <w:t>3</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"_Toc130218747" </w:instrText>
      </w:r>
      <w:r>
        <w:fldChar w:fldCharType="separate"/>
      </w:r>
      <w:r>
        <w:rPr>
          <w:rStyle w:val="32"/>
        </w:rPr>
        <w:t xml:space="preserve">5 </w:t>
      </w:r>
      <w:r>
        <w:rPr>
          <w:rStyle w:val="32"/>
          <w:rFonts w:ascii="Times New Roman"/>
        </w:rPr>
        <w:t xml:space="preserve"> 材料</w:t>
      </w:r>
      <w:r>
        <w:tab/>
      </w:r>
      <w:r>
        <w:fldChar w:fldCharType="begin"/>
      </w:r>
      <w:r>
        <w:instrText xml:space="preserve"> PAGEREF _Toc130218747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"_Toc130218748" </w:instrText>
      </w:r>
      <w:r>
        <w:fldChar w:fldCharType="separate"/>
      </w:r>
      <w:r>
        <w:rPr>
          <w:rStyle w:val="32"/>
          <w14:scene3d>
            <w14:lightRig w14:rig="threePt" w14:dir="t">
              <w14:rot w14:lat="0" w14:lon="0" w14:rev="0"/>
            </w14:lightRig>
          </w14:scene3d>
        </w:rPr>
        <w:t xml:space="preserve">5.1 </w:t>
      </w:r>
      <w:r>
        <w:rPr>
          <w:rStyle w:val="32"/>
          <w:rFonts w:ascii="Times New Roman"/>
        </w:rPr>
        <w:t xml:space="preserve"> 一般规定</w:t>
      </w:r>
      <w:r>
        <w:tab/>
      </w:r>
      <w:r>
        <w:fldChar w:fldCharType="begin"/>
      </w:r>
      <w:r>
        <w:instrText xml:space="preserve"> PAGEREF _Toc130218748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"_Toc130218749" </w:instrText>
      </w:r>
      <w:r>
        <w:fldChar w:fldCharType="separate"/>
      </w:r>
      <w:r>
        <w:rPr>
          <w:rStyle w:val="32"/>
          <w14:scene3d>
            <w14:lightRig w14:rig="threePt" w14:dir="t">
              <w14:rot w14:lat="0" w14:lon="0" w14:rev="0"/>
            </w14:lightRig>
          </w14:scene3d>
        </w:rPr>
        <w:t xml:space="preserve">5.2 </w:t>
      </w:r>
      <w:r>
        <w:rPr>
          <w:rStyle w:val="32"/>
          <w:rFonts w:ascii="Times New Roman"/>
        </w:rPr>
        <w:t xml:space="preserve"> 混凝土</w:t>
      </w:r>
      <w:r>
        <w:tab/>
      </w:r>
      <w:r>
        <w:fldChar w:fldCharType="begin"/>
      </w:r>
      <w:r>
        <w:instrText xml:space="preserve"> PAGEREF _Toc130218749 \h </w:instrText>
      </w:r>
      <w:r>
        <w:fldChar w:fldCharType="separate"/>
      </w:r>
      <w:r>
        <w:t>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"_Toc130218750" </w:instrText>
      </w:r>
      <w:r>
        <w:fldChar w:fldCharType="separate"/>
      </w:r>
      <w:r>
        <w:rPr>
          <w:rStyle w:val="32"/>
          <w14:scene3d>
            <w14:lightRig w14:rig="threePt" w14:dir="t">
              <w14:rot w14:lat="0" w14:lon="0" w14:rev="0"/>
            </w14:lightRig>
          </w14:scene3d>
        </w:rPr>
        <w:t xml:space="preserve">5.3 </w:t>
      </w:r>
      <w:r>
        <w:rPr>
          <w:rStyle w:val="32"/>
          <w:rFonts w:ascii="Times New Roman"/>
        </w:rPr>
        <w:t xml:space="preserve"> 钢筋</w:t>
      </w:r>
      <w:r>
        <w:tab/>
      </w:r>
      <w:r>
        <w:fldChar w:fldCharType="begin"/>
      </w:r>
      <w:r>
        <w:instrText xml:space="preserve"> PAGEREF _Toc130218750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"_Toc130218751" </w:instrText>
      </w:r>
      <w:r>
        <w:fldChar w:fldCharType="separate"/>
      </w:r>
      <w:r>
        <w:rPr>
          <w:rStyle w:val="32"/>
          <w14:scene3d>
            <w14:lightRig w14:rig="threePt" w14:dir="t">
              <w14:rot w14:lat="0" w14:lon="0" w14:rev="0"/>
            </w14:lightRig>
          </w14:scene3d>
        </w:rPr>
        <w:t xml:space="preserve">5.4 </w:t>
      </w:r>
      <w:r>
        <w:rPr>
          <w:rStyle w:val="32"/>
          <w:rFonts w:ascii="Times New Roman"/>
        </w:rPr>
        <w:t xml:space="preserve"> 防水材料</w:t>
      </w:r>
      <w:r>
        <w:tab/>
      </w:r>
      <w:r>
        <w:fldChar w:fldCharType="begin"/>
      </w:r>
      <w:r>
        <w:instrText xml:space="preserve"> PAGEREF _Toc130218751 \h </w:instrText>
      </w:r>
      <w:r>
        <w:fldChar w:fldCharType="separate"/>
      </w:r>
      <w:r>
        <w:t>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"_Toc130218752" </w:instrText>
      </w:r>
      <w:r>
        <w:fldChar w:fldCharType="separate"/>
      </w:r>
      <w:r>
        <w:rPr>
          <w:rStyle w:val="32"/>
          <w14:scene3d>
            <w14:lightRig w14:rig="threePt" w14:dir="t">
              <w14:rot w14:lat="0" w14:lon="0" w14:rev="0"/>
            </w14:lightRig>
          </w14:scene3d>
        </w:rPr>
        <w:t xml:space="preserve">5.5 </w:t>
      </w:r>
      <w:r>
        <w:rPr>
          <w:rStyle w:val="32"/>
          <w:rFonts w:ascii="Times New Roman"/>
        </w:rPr>
        <w:t xml:space="preserve"> 防腐蚀材料</w:t>
      </w:r>
      <w:r>
        <w:tab/>
      </w:r>
      <w:r>
        <w:fldChar w:fldCharType="begin"/>
      </w:r>
      <w:r>
        <w:instrText xml:space="preserve"> PAGEREF _Toc130218752 \h </w:instrText>
      </w:r>
      <w:r>
        <w:fldChar w:fldCharType="separate"/>
      </w:r>
      <w:r>
        <w:t>5</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"_Toc130218753" </w:instrText>
      </w:r>
      <w:r>
        <w:fldChar w:fldCharType="separate"/>
      </w:r>
      <w:r>
        <w:rPr>
          <w:rStyle w:val="32"/>
        </w:rPr>
        <w:t>6  设计</w:t>
      </w:r>
      <w:r>
        <w:tab/>
      </w:r>
      <w:r>
        <w:fldChar w:fldCharType="begin"/>
      </w:r>
      <w:r>
        <w:instrText xml:space="preserve"> PAGEREF _Toc130218753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"_Toc130218754" </w:instrText>
      </w:r>
      <w:r>
        <w:fldChar w:fldCharType="separate"/>
      </w:r>
      <w:r>
        <w:rPr>
          <w:rStyle w:val="32"/>
          <w14:scene3d>
            <w14:lightRig w14:rig="threePt" w14:dir="t">
              <w14:rot w14:lat="0" w14:lon="0" w14:rev="0"/>
            </w14:lightRig>
          </w14:scene3d>
        </w:rPr>
        <w:t xml:space="preserve">6.1 </w:t>
      </w:r>
      <w:r>
        <w:rPr>
          <w:rStyle w:val="32"/>
          <w:rFonts w:ascii="Times New Roman"/>
        </w:rPr>
        <w:t xml:space="preserve"> 一般规定</w:t>
      </w:r>
      <w:r>
        <w:tab/>
      </w:r>
      <w:r>
        <w:fldChar w:fldCharType="begin"/>
      </w:r>
      <w:r>
        <w:instrText xml:space="preserve"> PAGEREF _Toc130218754 \h </w:instrText>
      </w:r>
      <w:r>
        <w:fldChar w:fldCharType="separate"/>
      </w:r>
      <w:r>
        <w:t>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"_Toc130218755" </w:instrText>
      </w:r>
      <w:r>
        <w:fldChar w:fldCharType="separate"/>
      </w:r>
      <w:r>
        <w:rPr>
          <w:rStyle w:val="32"/>
          <w14:scene3d>
            <w14:lightRig w14:rig="threePt" w14:dir="t">
              <w14:rot w14:lat="0" w14:lon="0" w14:rev="0"/>
            </w14:lightRig>
          </w14:scene3d>
        </w:rPr>
        <w:t xml:space="preserve">6.2 </w:t>
      </w:r>
      <w:r>
        <w:rPr>
          <w:rStyle w:val="32"/>
          <w:rFonts w:ascii="Times New Roman"/>
        </w:rPr>
        <w:t xml:space="preserve"> 荷载分类及组合</w:t>
      </w:r>
      <w:r>
        <w:tab/>
      </w:r>
      <w:r>
        <w:fldChar w:fldCharType="begin"/>
      </w:r>
      <w:r>
        <w:instrText xml:space="preserve"> PAGEREF _Toc130218755 \h </w:instrText>
      </w:r>
      <w:r>
        <w:fldChar w:fldCharType="separate"/>
      </w:r>
      <w:r>
        <w:t>6</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"_Toc130218756" </w:instrText>
      </w:r>
      <w:r>
        <w:fldChar w:fldCharType="separate"/>
      </w:r>
      <w:r>
        <w:rPr>
          <w:rStyle w:val="32"/>
          <w14:scene3d>
            <w14:lightRig w14:rig="threePt" w14:dir="t">
              <w14:rot w14:lat="0" w14:lon="0" w14:rev="0"/>
            </w14:lightRig>
          </w14:scene3d>
        </w:rPr>
        <w:t xml:space="preserve">6.3 </w:t>
      </w:r>
      <w:r>
        <w:rPr>
          <w:rStyle w:val="32"/>
          <w:rFonts w:ascii="Times New Roman"/>
        </w:rPr>
        <w:t xml:space="preserve"> 结构设计</w:t>
      </w:r>
      <w:r>
        <w:tab/>
      </w:r>
      <w:r>
        <w:fldChar w:fldCharType="begin"/>
      </w:r>
      <w:r>
        <w:instrText xml:space="preserve"> PAGEREF _Toc130218756 \h </w:instrText>
      </w:r>
      <w:r>
        <w:fldChar w:fldCharType="separate"/>
      </w:r>
      <w:r>
        <w:t>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"_Toc130218757" </w:instrText>
      </w:r>
      <w:r>
        <w:fldChar w:fldCharType="separate"/>
      </w:r>
      <w:r>
        <w:rPr>
          <w:rStyle w:val="32"/>
          <w14:scene3d>
            <w14:lightRig w14:rig="threePt" w14:dir="t">
              <w14:rot w14:lat="0" w14:lon="0" w14:rev="0"/>
            </w14:lightRig>
          </w14:scene3d>
        </w:rPr>
        <w:t xml:space="preserve">6.4 </w:t>
      </w:r>
      <w:r>
        <w:rPr>
          <w:rStyle w:val="32"/>
          <w:rFonts w:ascii="Times New Roman"/>
        </w:rPr>
        <w:t xml:space="preserve"> 防水设计</w:t>
      </w:r>
      <w:r>
        <w:tab/>
      </w:r>
      <w:r>
        <w:fldChar w:fldCharType="begin"/>
      </w:r>
      <w:r>
        <w:instrText xml:space="preserve"> PAGEREF _Toc130218757 \h </w:instrText>
      </w:r>
      <w:r>
        <w:fldChar w:fldCharType="separate"/>
      </w:r>
      <w:r>
        <w:t>9</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"_Toc130218758" </w:instrText>
      </w:r>
      <w:r>
        <w:fldChar w:fldCharType="separate"/>
      </w:r>
      <w:r>
        <w:rPr>
          <w:rStyle w:val="32"/>
          <w14:scene3d>
            <w14:lightRig w14:rig="threePt" w14:dir="t">
              <w14:rot w14:lat="0" w14:lon="0" w14:rev="0"/>
            </w14:lightRig>
          </w14:scene3d>
        </w:rPr>
        <w:t xml:space="preserve">6.5 </w:t>
      </w:r>
      <w:r>
        <w:rPr>
          <w:rStyle w:val="32"/>
          <w:rFonts w:ascii="Times New Roman"/>
        </w:rPr>
        <w:t xml:space="preserve"> 防腐蚀设计</w:t>
      </w:r>
      <w:r>
        <w:tab/>
      </w:r>
      <w:r>
        <w:fldChar w:fldCharType="begin"/>
      </w:r>
      <w:r>
        <w:instrText xml:space="preserve"> PAGEREF _Toc130218758 \h </w:instrText>
      </w:r>
      <w:r>
        <w:fldChar w:fldCharType="separate"/>
      </w:r>
      <w:r>
        <w:t>10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"_Toc130218759" </w:instrText>
      </w:r>
      <w:r>
        <w:fldChar w:fldCharType="separate"/>
      </w:r>
      <w:r>
        <w:rPr>
          <w:rStyle w:val="32"/>
          <w14:scene3d>
            <w14:lightRig w14:rig="threePt" w14:dir="t">
              <w14:rot w14:lat="0" w14:lon="0" w14:rev="0"/>
            </w14:lightRig>
          </w14:scene3d>
        </w:rPr>
        <w:t xml:space="preserve">6.6 </w:t>
      </w:r>
      <w:r>
        <w:rPr>
          <w:rStyle w:val="32"/>
          <w:rFonts w:ascii="Times New Roman"/>
        </w:rPr>
        <w:t xml:space="preserve"> 抗冲磨设计</w:t>
      </w:r>
      <w:r>
        <w:tab/>
      </w:r>
      <w:r>
        <w:fldChar w:fldCharType="begin"/>
      </w:r>
      <w:r>
        <w:instrText xml:space="preserve"> PAGEREF _Toc130218759 \h </w:instrText>
      </w:r>
      <w:r>
        <w:fldChar w:fldCharType="separate"/>
      </w:r>
      <w:r>
        <w:t>11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"_Toc130218760" </w:instrText>
      </w:r>
      <w:r>
        <w:fldChar w:fldCharType="separate"/>
      </w:r>
      <w:r>
        <w:rPr>
          <w:rStyle w:val="32"/>
        </w:rPr>
        <w:t>7  施工</w:t>
      </w:r>
      <w:r>
        <w:tab/>
      </w:r>
      <w:r>
        <w:fldChar w:fldCharType="begin"/>
      </w:r>
      <w:r>
        <w:instrText xml:space="preserve"> PAGEREF _Toc130218760 \h </w:instrText>
      </w:r>
      <w:r>
        <w:fldChar w:fldCharType="separate"/>
      </w:r>
      <w:r>
        <w:t>12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"_Toc130218761" </w:instrText>
      </w:r>
      <w:r>
        <w:fldChar w:fldCharType="separate"/>
      </w:r>
      <w:r>
        <w:rPr>
          <w:rStyle w:val="32"/>
          <w14:scene3d>
            <w14:lightRig w14:rig="threePt" w14:dir="t">
              <w14:rot w14:lat="0" w14:lon="0" w14:rev="0"/>
            </w14:lightRig>
          </w14:scene3d>
        </w:rPr>
        <w:t xml:space="preserve">7.1 </w:t>
      </w:r>
      <w:r>
        <w:rPr>
          <w:rStyle w:val="32"/>
        </w:rPr>
        <w:t xml:space="preserve"> 一般规定</w:t>
      </w:r>
      <w:r>
        <w:tab/>
      </w:r>
      <w:r>
        <w:fldChar w:fldCharType="begin"/>
      </w:r>
      <w:r>
        <w:instrText xml:space="preserve"> PAGEREF _Toc130218761 \h </w:instrText>
      </w:r>
      <w:r>
        <w:fldChar w:fldCharType="separate"/>
      </w:r>
      <w:r>
        <w:t>12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"_Toc130218762" </w:instrText>
      </w:r>
      <w:r>
        <w:fldChar w:fldCharType="separate"/>
      </w:r>
      <w:r>
        <w:rPr>
          <w:rStyle w:val="32"/>
          <w14:scene3d>
            <w14:lightRig w14:rig="threePt" w14:dir="t">
              <w14:rot w14:lat="0" w14:lon="0" w14:rev="0"/>
            </w14:lightRig>
          </w14:scene3d>
        </w:rPr>
        <w:t xml:space="preserve">7.2 </w:t>
      </w:r>
      <w:r>
        <w:rPr>
          <w:rStyle w:val="32"/>
        </w:rPr>
        <w:t xml:space="preserve"> 施工准备</w:t>
      </w:r>
      <w:r>
        <w:tab/>
      </w:r>
      <w:r>
        <w:fldChar w:fldCharType="begin"/>
      </w:r>
      <w:r>
        <w:instrText xml:space="preserve"> PAGEREF _Toc130218762 \h </w:instrText>
      </w:r>
      <w:r>
        <w:fldChar w:fldCharType="separate"/>
      </w:r>
      <w:r>
        <w:t>12</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"_Toc130218763" </w:instrText>
      </w:r>
      <w:r>
        <w:fldChar w:fldCharType="separate"/>
      </w:r>
      <w:r>
        <w:rPr>
          <w:rStyle w:val="32"/>
          <w14:scene3d>
            <w14:lightRig w14:rig="threePt" w14:dir="t">
              <w14:rot w14:lat="0" w14:lon="0" w14:rev="0"/>
            </w14:lightRig>
          </w14:scene3d>
        </w:rPr>
        <w:t xml:space="preserve">7.3 </w:t>
      </w:r>
      <w:r>
        <w:rPr>
          <w:rStyle w:val="32"/>
        </w:rPr>
        <w:t xml:space="preserve"> 基面施工</w:t>
      </w:r>
      <w:r>
        <w:tab/>
      </w:r>
      <w:r>
        <w:fldChar w:fldCharType="begin"/>
      </w:r>
      <w:r>
        <w:instrText xml:space="preserve"> PAGEREF _Toc130218763 \h </w:instrText>
      </w:r>
      <w:r>
        <w:fldChar w:fldCharType="separate"/>
      </w:r>
      <w:r>
        <w:t>13</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"_Toc130218764" </w:instrText>
      </w:r>
      <w:r>
        <w:fldChar w:fldCharType="separate"/>
      </w:r>
      <w:r>
        <w:rPr>
          <w:rStyle w:val="32"/>
          <w14:scene3d>
            <w14:lightRig w14:rig="threePt" w14:dir="t">
              <w14:rot w14:lat="0" w14:lon="0" w14:rev="0"/>
            </w14:lightRig>
          </w14:scene3d>
        </w:rPr>
        <w:t xml:space="preserve">7.4 </w:t>
      </w:r>
      <w:r>
        <w:rPr>
          <w:rStyle w:val="32"/>
        </w:rPr>
        <w:t xml:space="preserve"> 钢筋施工</w:t>
      </w:r>
      <w:r>
        <w:tab/>
      </w:r>
      <w:r>
        <w:fldChar w:fldCharType="begin"/>
      </w:r>
      <w:r>
        <w:instrText xml:space="preserve"> PAGEREF _Toc130218764 \h </w:instrText>
      </w:r>
      <w:r>
        <w:fldChar w:fldCharType="separate"/>
      </w:r>
      <w:r>
        <w:t>14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"_Toc130218765" </w:instrText>
      </w:r>
      <w:r>
        <w:fldChar w:fldCharType="separate"/>
      </w:r>
      <w:r>
        <w:rPr>
          <w:rStyle w:val="32"/>
          <w14:scene3d>
            <w14:lightRig w14:rig="threePt" w14:dir="t">
              <w14:rot w14:lat="0" w14:lon="0" w14:rev="0"/>
            </w14:lightRig>
          </w14:scene3d>
        </w:rPr>
        <w:t xml:space="preserve">7.5 </w:t>
      </w:r>
      <w:r>
        <w:rPr>
          <w:rStyle w:val="32"/>
        </w:rPr>
        <w:t xml:space="preserve"> 模板施工</w:t>
      </w:r>
      <w:r>
        <w:tab/>
      </w:r>
      <w:r>
        <w:fldChar w:fldCharType="begin"/>
      </w:r>
      <w:r>
        <w:instrText xml:space="preserve"> PAGEREF _Toc130218765 \h </w:instrText>
      </w:r>
      <w:r>
        <w:fldChar w:fldCharType="separate"/>
      </w:r>
      <w:r>
        <w:t>14</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"_Toc130218766" </w:instrText>
      </w:r>
      <w:r>
        <w:fldChar w:fldCharType="separate"/>
      </w:r>
      <w:r>
        <w:rPr>
          <w:rStyle w:val="32"/>
          <w14:scene3d>
            <w14:lightRig w14:rig="threePt" w14:dir="t">
              <w14:rot w14:lat="0" w14:lon="0" w14:rev="0"/>
            </w14:lightRig>
          </w14:scene3d>
        </w:rPr>
        <w:t xml:space="preserve">7.6 </w:t>
      </w:r>
      <w:r>
        <w:rPr>
          <w:rStyle w:val="32"/>
        </w:rPr>
        <w:t xml:space="preserve"> 混凝土施工</w:t>
      </w:r>
      <w:r>
        <w:tab/>
      </w:r>
      <w:r>
        <w:fldChar w:fldCharType="begin"/>
      </w:r>
      <w:r>
        <w:instrText xml:space="preserve"> PAGEREF _Toc130218766 \h </w:instrText>
      </w:r>
      <w:r>
        <w:fldChar w:fldCharType="separate"/>
      </w:r>
      <w:r>
        <w:t>15</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"_Toc130218767" </w:instrText>
      </w:r>
      <w:r>
        <w:fldChar w:fldCharType="separate"/>
      </w:r>
      <w:r>
        <w:rPr>
          <w:rStyle w:val="32"/>
          <w14:scene3d>
            <w14:lightRig w14:rig="threePt" w14:dir="t">
              <w14:rot w14:lat="0" w14:lon="0" w14:rev="0"/>
            </w14:lightRig>
          </w14:scene3d>
        </w:rPr>
        <w:t xml:space="preserve">7.7 </w:t>
      </w:r>
      <w:r>
        <w:rPr>
          <w:rStyle w:val="32"/>
        </w:rPr>
        <w:t xml:space="preserve"> 预应力施工</w:t>
      </w:r>
      <w:r>
        <w:tab/>
      </w:r>
      <w:r>
        <w:fldChar w:fldCharType="begin"/>
      </w:r>
      <w:r>
        <w:instrText xml:space="preserve"> PAGEREF _Toc130218767 \h </w:instrText>
      </w:r>
      <w:r>
        <w:fldChar w:fldCharType="separate"/>
      </w:r>
      <w:r>
        <w:t>16</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"_Toc130218768" </w:instrText>
      </w:r>
      <w:r>
        <w:fldChar w:fldCharType="separate"/>
      </w:r>
      <w:r>
        <w:rPr>
          <w:rStyle w:val="32"/>
          <w14:scene3d>
            <w14:lightRig w14:rig="threePt" w14:dir="t">
              <w14:rot w14:lat="0" w14:lon="0" w14:rev="0"/>
            </w14:lightRig>
          </w14:scene3d>
        </w:rPr>
        <w:t xml:space="preserve">7.8 </w:t>
      </w:r>
      <w:r>
        <w:rPr>
          <w:rStyle w:val="32"/>
        </w:rPr>
        <w:t xml:space="preserve"> 防水施工</w:t>
      </w:r>
      <w:r>
        <w:tab/>
      </w:r>
      <w:r>
        <w:fldChar w:fldCharType="begin"/>
      </w:r>
      <w:r>
        <w:instrText xml:space="preserve"> PAGEREF _Toc130218768 \h </w:instrText>
      </w:r>
      <w:r>
        <w:fldChar w:fldCharType="separate"/>
      </w:r>
      <w:r>
        <w:t>17</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"_Toc130218769" </w:instrText>
      </w:r>
      <w:r>
        <w:fldChar w:fldCharType="separate"/>
      </w:r>
      <w:r>
        <w:rPr>
          <w:rStyle w:val="32"/>
        </w:rPr>
        <w:t>8  结构健康监测预留</w:t>
      </w:r>
      <w:r>
        <w:tab/>
      </w:r>
      <w:r>
        <w:fldChar w:fldCharType="begin"/>
      </w:r>
      <w:r>
        <w:instrText xml:space="preserve"> PAGEREF _Toc130218769 \h </w:instrText>
      </w:r>
      <w:r>
        <w:fldChar w:fldCharType="separate"/>
      </w:r>
      <w:r>
        <w:t>18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"_Toc130218770" </w:instrText>
      </w:r>
      <w:r>
        <w:fldChar w:fldCharType="separate"/>
      </w:r>
      <w:r>
        <w:rPr>
          <w:rStyle w:val="32"/>
          <w14:scene3d>
            <w14:lightRig w14:rig="threePt" w14:dir="t">
              <w14:rot w14:lat="0" w14:lon="0" w14:rev="0"/>
            </w14:lightRig>
          </w14:scene3d>
        </w:rPr>
        <w:t xml:space="preserve">8.1 </w:t>
      </w:r>
      <w:r>
        <w:rPr>
          <w:rStyle w:val="32"/>
        </w:rPr>
        <w:t xml:space="preserve"> 一般规定</w:t>
      </w:r>
      <w:r>
        <w:tab/>
      </w:r>
      <w:r>
        <w:fldChar w:fldCharType="begin"/>
      </w:r>
      <w:r>
        <w:instrText xml:space="preserve"> PAGEREF _Toc130218770 \h </w:instrText>
      </w:r>
      <w:r>
        <w:fldChar w:fldCharType="separate"/>
      </w:r>
      <w:r>
        <w:t>18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"_Toc130218771" </w:instrText>
      </w:r>
      <w:r>
        <w:fldChar w:fldCharType="separate"/>
      </w:r>
      <w:r>
        <w:rPr>
          <w:rStyle w:val="32"/>
          <w14:scene3d>
            <w14:lightRig w14:rig="threePt" w14:dir="t">
              <w14:rot w14:lat="0" w14:lon="0" w14:rev="0"/>
            </w14:lightRig>
          </w14:scene3d>
        </w:rPr>
        <w:t xml:space="preserve">8.2 </w:t>
      </w:r>
      <w:r>
        <w:rPr>
          <w:rStyle w:val="32"/>
        </w:rPr>
        <w:t xml:space="preserve"> 结构健康监测设计</w:t>
      </w:r>
      <w:r>
        <w:tab/>
      </w:r>
      <w:r>
        <w:fldChar w:fldCharType="begin"/>
      </w:r>
      <w:r>
        <w:instrText xml:space="preserve"> PAGEREF _Toc130218771 \h </w:instrText>
      </w:r>
      <w:r>
        <w:fldChar w:fldCharType="separate"/>
      </w:r>
      <w:r>
        <w:t>18</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"_Toc130218772" </w:instrText>
      </w:r>
      <w:r>
        <w:fldChar w:fldCharType="separate"/>
      </w:r>
      <w:r>
        <w:rPr>
          <w:rStyle w:val="32"/>
          <w14:scene3d>
            <w14:lightRig w14:rig="threePt" w14:dir="t">
              <w14:rot w14:lat="0" w14:lon="0" w14:rev="0"/>
            </w14:lightRig>
          </w14:scene3d>
        </w:rPr>
        <w:t xml:space="preserve">8.3 </w:t>
      </w:r>
      <w:r>
        <w:rPr>
          <w:rStyle w:val="32"/>
        </w:rPr>
        <w:t xml:space="preserve"> 结构健康监测施工及验收</w:t>
      </w:r>
      <w:r>
        <w:tab/>
      </w:r>
      <w:r>
        <w:fldChar w:fldCharType="begin"/>
      </w:r>
      <w:r>
        <w:instrText xml:space="preserve"> PAGEREF _Toc130218772 \h </w:instrText>
      </w:r>
      <w:r>
        <w:fldChar w:fldCharType="separate"/>
      </w:r>
      <w:r>
        <w:t>19</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"_Toc130218773" </w:instrText>
      </w:r>
      <w:r>
        <w:fldChar w:fldCharType="separate"/>
      </w:r>
      <w:r>
        <w:rPr>
          <w:rStyle w:val="32"/>
        </w:rPr>
        <w:t>9  验收</w:t>
      </w:r>
      <w:r>
        <w:tab/>
      </w:r>
      <w:r>
        <w:fldChar w:fldCharType="begin"/>
      </w:r>
      <w:r>
        <w:instrText xml:space="preserve"> PAGEREF _Toc130218773 \h </w:instrText>
      </w:r>
      <w:r>
        <w:fldChar w:fldCharType="separate"/>
      </w:r>
      <w:r>
        <w:t>19</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"_Toc130218774" </w:instrText>
      </w:r>
      <w:r>
        <w:fldChar w:fldCharType="separate"/>
      </w:r>
      <w:r>
        <w:rPr>
          <w:rStyle w:val="32"/>
          <w14:scene3d>
            <w14:lightRig w14:rig="threePt" w14:dir="t">
              <w14:rot w14:lat="0" w14:lon="0" w14:rev="0"/>
            </w14:lightRig>
          </w14:scene3d>
        </w:rPr>
        <w:t xml:space="preserve">9.1 </w:t>
      </w:r>
      <w:r>
        <w:rPr>
          <w:rStyle w:val="32"/>
        </w:rPr>
        <w:t xml:space="preserve"> 一般规定</w:t>
      </w:r>
      <w:r>
        <w:tab/>
      </w:r>
      <w:r>
        <w:fldChar w:fldCharType="begin"/>
      </w:r>
      <w:r>
        <w:instrText xml:space="preserve"> PAGEREF _Toc130218774 \h </w:instrText>
      </w:r>
      <w:r>
        <w:fldChar w:fldCharType="separate"/>
      </w:r>
      <w:r>
        <w:t>19</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"_Toc130218775" </w:instrText>
      </w:r>
      <w:r>
        <w:fldChar w:fldCharType="separate"/>
      </w:r>
      <w:r>
        <w:rPr>
          <w:rStyle w:val="32"/>
          <w14:scene3d>
            <w14:lightRig w14:rig="threePt" w14:dir="t">
              <w14:rot w14:lat="0" w14:lon="0" w14:rev="0"/>
            </w14:lightRig>
          </w14:scene3d>
        </w:rPr>
        <w:t xml:space="preserve">9.2 </w:t>
      </w:r>
      <w:r>
        <w:rPr>
          <w:rStyle w:val="32"/>
        </w:rPr>
        <w:t xml:space="preserve"> 钢筋工程</w:t>
      </w:r>
      <w:r>
        <w:tab/>
      </w:r>
      <w:r>
        <w:fldChar w:fldCharType="begin"/>
      </w:r>
      <w:r>
        <w:instrText xml:space="preserve"> PAGEREF _Toc130218775 \h </w:instrText>
      </w:r>
      <w:r>
        <w:fldChar w:fldCharType="separate"/>
      </w:r>
      <w:r>
        <w:t>19</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"_Toc130218776" </w:instrText>
      </w:r>
      <w:r>
        <w:fldChar w:fldCharType="separate"/>
      </w:r>
      <w:r>
        <w:rPr>
          <w:rStyle w:val="32"/>
          <w14:scene3d>
            <w14:lightRig w14:rig="threePt" w14:dir="t">
              <w14:rot w14:lat="0" w14:lon="0" w14:rev="0"/>
            </w14:lightRig>
          </w14:scene3d>
        </w:rPr>
        <w:t xml:space="preserve">9.3 </w:t>
      </w:r>
      <w:r>
        <w:rPr>
          <w:rStyle w:val="32"/>
        </w:rPr>
        <w:t xml:space="preserve"> 模板工程</w:t>
      </w:r>
      <w:r>
        <w:tab/>
      </w:r>
      <w:r>
        <w:fldChar w:fldCharType="begin"/>
      </w:r>
      <w:r>
        <w:instrText xml:space="preserve"> PAGEREF _Toc130218776 \h </w:instrText>
      </w:r>
      <w:r>
        <w:fldChar w:fldCharType="separate"/>
      </w:r>
      <w:r>
        <w:t>20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"_Toc130218777" </w:instrText>
      </w:r>
      <w:r>
        <w:fldChar w:fldCharType="separate"/>
      </w:r>
      <w:r>
        <w:rPr>
          <w:rStyle w:val="32"/>
          <w14:scene3d>
            <w14:lightRig w14:rig="threePt" w14:dir="t">
              <w14:rot w14:lat="0" w14:lon="0" w14:rev="0"/>
            </w14:lightRig>
          </w14:scene3d>
        </w:rPr>
        <w:t xml:space="preserve">9.4 </w:t>
      </w:r>
      <w:r>
        <w:rPr>
          <w:rStyle w:val="32"/>
        </w:rPr>
        <w:t xml:space="preserve"> 防水工程</w:t>
      </w:r>
      <w:r>
        <w:tab/>
      </w:r>
      <w:r>
        <w:fldChar w:fldCharType="begin"/>
      </w:r>
      <w:r>
        <w:instrText xml:space="preserve"> PAGEREF _Toc130218777 \h </w:instrText>
      </w:r>
      <w:r>
        <w:fldChar w:fldCharType="separate"/>
      </w:r>
      <w:r>
        <w:t>20</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"_Toc130218778" </w:instrText>
      </w:r>
      <w:r>
        <w:fldChar w:fldCharType="separate"/>
      </w:r>
      <w:r>
        <w:rPr>
          <w:rStyle w:val="32"/>
          <w14:scene3d>
            <w14:lightRig w14:rig="threePt" w14:dir="t">
              <w14:rot w14:lat="0" w14:lon="0" w14:rev="0"/>
            </w14:lightRig>
          </w14:scene3d>
        </w:rPr>
        <w:t xml:space="preserve">9.5 </w:t>
      </w:r>
      <w:r>
        <w:rPr>
          <w:rStyle w:val="32"/>
        </w:rPr>
        <w:t xml:space="preserve"> 预应力工程</w:t>
      </w:r>
      <w:r>
        <w:tab/>
      </w:r>
      <w:r>
        <w:fldChar w:fldCharType="begin"/>
      </w:r>
      <w:r>
        <w:instrText xml:space="preserve"> PAGEREF _Toc130218778 \h </w:instrText>
      </w:r>
      <w:r>
        <w:fldChar w:fldCharType="separate"/>
      </w:r>
      <w:r>
        <w:t>21</w:t>
      </w:r>
      <w:r>
        <w:fldChar w:fldCharType="end"/>
      </w:r>
      <w:r>
        <w:fldChar w:fldCharType="end"/>
      </w:r>
    </w:p>
    <w:p>
      <w:pPr>
        <w:pStyle w:val="24"/>
        <w:rPr>
          <w:rFonts w:asciiTheme="minorHAnsi" w:hAnsiTheme="minorHAnsi" w:eastAsiaTheme="minorEastAsia" w:cstheme="minorBidi"/>
          <w:szCs w:val="22"/>
        </w:rPr>
      </w:pPr>
      <w:r>
        <w:fldChar w:fldCharType="begin"/>
      </w:r>
      <w:r>
        <w:instrText xml:space="preserve"> HYPERLINK \l "_Toc130218779" </w:instrText>
      </w:r>
      <w:r>
        <w:fldChar w:fldCharType="separate"/>
      </w:r>
      <w:r>
        <w:rPr>
          <w:rStyle w:val="32"/>
          <w14:scene3d>
            <w14:lightRig w14:rig="threePt" w14:dir="t">
              <w14:rot w14:lat="0" w14:lon="0" w14:rev="0"/>
            </w14:lightRig>
          </w14:scene3d>
        </w:rPr>
        <w:t xml:space="preserve">9.6 </w:t>
      </w:r>
      <w:r>
        <w:rPr>
          <w:rStyle w:val="32"/>
        </w:rPr>
        <w:t xml:space="preserve"> 混凝土工程</w:t>
      </w:r>
      <w:r>
        <w:tab/>
      </w:r>
      <w:r>
        <w:fldChar w:fldCharType="begin"/>
      </w:r>
      <w:r>
        <w:instrText xml:space="preserve"> PAGEREF _Toc130218779 \h </w:instrText>
      </w:r>
      <w:r>
        <w:fldChar w:fldCharType="separate"/>
      </w:r>
      <w:r>
        <w:t>21</w:t>
      </w:r>
      <w:r>
        <w:fldChar w:fldCharType="end"/>
      </w:r>
      <w:r>
        <w:fldChar w:fldCharType="end"/>
      </w:r>
    </w:p>
    <w:p>
      <w:pPr>
        <w:pStyle w:val="24"/>
        <w:rPr>
          <w:rStyle w:val="32"/>
        </w:rPr>
      </w:pPr>
      <w:r>
        <w:fldChar w:fldCharType="begin"/>
      </w:r>
      <w:r>
        <w:instrText xml:space="preserve"> HYPERLINK \l "_Toc130218780" </w:instrText>
      </w:r>
      <w:r>
        <w:fldChar w:fldCharType="separate"/>
      </w:r>
      <w:r>
        <w:rPr>
          <w:rStyle w:val="32"/>
          <w14:scene3d>
            <w14:lightRig w14:rig="threePt" w14:dir="t">
              <w14:rot w14:lat="0" w14:lon="0" w14:rev="0"/>
            </w14:lightRig>
          </w14:scene3d>
        </w:rPr>
        <w:t xml:space="preserve">9.7 </w:t>
      </w:r>
      <w:r>
        <w:rPr>
          <w:rStyle w:val="32"/>
        </w:rPr>
        <w:t xml:space="preserve"> 功能性试验</w:t>
      </w:r>
      <w:r>
        <w:tab/>
      </w:r>
      <w:r>
        <w:fldChar w:fldCharType="begin"/>
      </w:r>
      <w:r>
        <w:instrText xml:space="preserve"> PAGEREF _Toc130218780 \h </w:instrText>
      </w:r>
      <w:r>
        <w:fldChar w:fldCharType="separate"/>
      </w:r>
      <w:r>
        <w:t>22</w:t>
      </w:r>
      <w:r>
        <w:fldChar w:fldCharType="end"/>
      </w:r>
      <w:r>
        <w:fldChar w:fldCharType="end"/>
      </w:r>
    </w:p>
    <w:p>
      <w:pPr>
        <w:pStyle w:val="19"/>
        <w:tabs>
          <w:tab w:val="right" w:leader="dot" w:pos="9344"/>
        </w:tabs>
        <w:rPr>
          <w:rFonts w:asciiTheme="minorHAnsi" w:hAnsiTheme="minorHAnsi" w:eastAsiaTheme="minorEastAsia" w:cstheme="minorBidi"/>
          <w:szCs w:val="22"/>
        </w:rPr>
      </w:pPr>
      <w:r>
        <w:rPr>
          <w:rStyle w:val="32"/>
          <w:rFonts w:hint="eastAsia"/>
        </w:rPr>
        <w:t>条文说明</w:t>
      </w:r>
      <w:r>
        <w:fldChar w:fldCharType="begin"/>
      </w:r>
      <w:r>
        <w:instrText xml:space="preserve"> HYPERLINK \l "_Toc130218773" </w:instrText>
      </w:r>
      <w:r>
        <w:fldChar w:fldCharType="separate"/>
      </w:r>
      <w:r>
        <w:tab/>
      </w:r>
      <w:r>
        <w:t>23</w:t>
      </w:r>
      <w:r>
        <w:fldChar w:fldCharType="end"/>
      </w:r>
    </w:p>
    <w:p/>
    <w:p/>
    <w:p>
      <w:pPr>
        <w:pStyle w:val="91"/>
        <w:spacing w:after="468"/>
        <w:sectPr>
          <w:headerReference r:id="rId11" w:type="default"/>
          <w:footerReference r:id="rId13" w:type="default"/>
          <w:headerReference r:id="rId12" w:type="even"/>
          <w:footerReference r:id="rId14" w:type="even"/>
          <w:pgSz w:w="11906" w:h="16838"/>
          <w:pgMar w:top="2410" w:right="1134" w:bottom="1134" w:left="1134" w:header="1418" w:footer="1134" w:gutter="284"/>
          <w:pgNumType w:fmt="upperRoman" w:start="1"/>
          <w:cols w:space="425" w:num="1"/>
          <w:formProt w:val="0"/>
          <w:docGrid w:type="lines" w:linePitch="312" w:charSpace="0"/>
        </w:sectPr>
      </w:pPr>
      <w:r>
        <w:fldChar w:fldCharType="end"/>
      </w:r>
    </w:p>
    <w:bookmarkEnd w:id="19"/>
    <w:p>
      <w:pPr>
        <w:pStyle w:val="89"/>
        <w:spacing w:after="468"/>
      </w:pPr>
      <w:bookmarkStart w:id="24" w:name="_Toc130218741"/>
      <w:bookmarkStart w:id="25" w:name="BookMark2"/>
      <w:r>
        <w:rPr>
          <w:spacing w:val="320"/>
        </w:rPr>
        <w:t>前</w:t>
      </w:r>
      <w:r>
        <w:t>言</w:t>
      </w:r>
      <w:bookmarkEnd w:id="20"/>
      <w:bookmarkEnd w:id="21"/>
      <w:bookmarkEnd w:id="22"/>
      <w:bookmarkEnd w:id="23"/>
      <w:bookmarkEnd w:id="24"/>
    </w:p>
    <w:p>
      <w:pPr>
        <w:pStyle w:val="56"/>
        <w:ind w:firstLine="420"/>
      </w:pPr>
      <w:r>
        <w:rPr>
          <w:rFonts w:hint="eastAsia"/>
        </w:rPr>
        <w:t>本文件</w:t>
      </w:r>
      <w:r>
        <w:t>按照GB/T 1.1—2020《标准化工作导则  第1部分：标准化文件的结构和起草规则》的规定起草。</w:t>
      </w:r>
    </w:p>
    <w:p>
      <w:pPr>
        <w:pStyle w:val="56"/>
        <w:ind w:firstLine="420"/>
      </w:pPr>
      <w:r>
        <w:t>本文件由中建三局基础设施建设投</w:t>
      </w:r>
      <w:r>
        <w:rPr>
          <w:rFonts w:hint="eastAsia"/>
        </w:rPr>
        <w:t>资有限公司提出。</w:t>
      </w:r>
    </w:p>
    <w:p>
      <w:pPr>
        <w:pStyle w:val="56"/>
        <w:ind w:firstLine="420"/>
      </w:pPr>
      <w:r>
        <w:rPr>
          <w:rFonts w:hint="eastAsia"/>
        </w:rPr>
        <w:t>本文件由</w:t>
      </w:r>
      <w:r>
        <w:t>湖北省住房和城乡建设厅</w:t>
      </w:r>
      <w:r>
        <w:rPr>
          <w:rFonts w:hint="eastAsia"/>
        </w:rPr>
        <w:t>归口。</w:t>
      </w:r>
    </w:p>
    <w:p>
      <w:pPr>
        <w:pStyle w:val="56"/>
        <w:ind w:firstLine="420"/>
      </w:pPr>
      <w:r>
        <w:rPr>
          <w:rFonts w:hint="eastAsia"/>
        </w:rPr>
        <w:t>本文件起草单位：中建三局基础设施建设投资有限公司、</w:t>
      </w:r>
      <w:r>
        <w:t>中建三局集团</w:t>
      </w:r>
      <w:r>
        <w:rPr>
          <w:rFonts w:hint="eastAsia"/>
        </w:rPr>
        <w:t>有限公司、武汉市政工程设计研究院有限责任公司、中铁第四勘察设计院集团有限公司、</w:t>
      </w:r>
      <w:r>
        <w:t>中国地质大学（武汉）</w:t>
      </w:r>
      <w:r>
        <w:rPr>
          <w:rFonts w:hint="eastAsia"/>
        </w:rPr>
        <w:t>、中建商品混凝土有限公司、</w:t>
      </w:r>
      <w:r>
        <w:t>湖北省标准化与质量研究院</w:t>
      </w:r>
      <w:r>
        <w:rPr>
          <w:rFonts w:hint="eastAsia"/>
        </w:rPr>
        <w:t>、武汉市水务工程质量安全监督站</w:t>
      </w:r>
    </w:p>
    <w:p>
      <w:pPr>
        <w:pStyle w:val="56"/>
        <w:ind w:firstLine="420"/>
      </w:pPr>
      <w:r>
        <w:rPr>
          <w:rFonts w:hint="eastAsia"/>
        </w:rPr>
        <w:t>本文件主要起草人：朱海军、戴小松、贾瑞华、刘开扬、陈伟、吴志高、叶亦盛、鲁罕、邵璇、毛升、曾聪、谷海华、谯理格、张鹏、万世辉、赵日煦、鲁文博、张天宝、苏长毅、赵胜阳、彭文韬、刘康宇</w:t>
      </w:r>
    </w:p>
    <w:p>
      <w:pPr>
        <w:pStyle w:val="56"/>
        <w:ind w:firstLine="420"/>
      </w:pPr>
      <w:r>
        <w:t>本文件实施应用中的疑问，可咨询湖北省住房和城乡建设厅，联系电话：027-68873088，邮箱：</w:t>
      </w:r>
      <w:r>
        <w:rPr>
          <w:rFonts w:ascii="仿宋_GB2312" w:eastAsia="仿宋_GB2312"/>
        </w:rPr>
        <w:t>mail.hbszjt.net.cn</w:t>
      </w:r>
      <w:r>
        <w:t>。在执行过程中如有意见和建议请邮寄中建三局</w:t>
      </w:r>
      <w:r>
        <w:rPr>
          <w:rFonts w:hint="eastAsia"/>
        </w:rPr>
        <w:t>基础</w:t>
      </w:r>
      <w:r>
        <w:t>设施建设投资有限公司（地址：武汉市</w:t>
      </w:r>
      <w:r>
        <w:rPr>
          <w:rFonts w:hint="eastAsia"/>
        </w:rPr>
        <w:t>东湖新技术开发区高新大道799号</w:t>
      </w:r>
      <w:r>
        <w:t>，邮编4300</w:t>
      </w:r>
      <w:r>
        <w:rPr>
          <w:rFonts w:hint="eastAsia"/>
        </w:rPr>
        <w:t>73</w:t>
      </w:r>
      <w:r>
        <w:t>）。</w:t>
      </w:r>
    </w:p>
    <w:p>
      <w:pPr>
        <w:pStyle w:val="56"/>
        <w:ind w:firstLine="420"/>
        <w:sectPr>
          <w:pgSz w:w="11906" w:h="16838"/>
          <w:pgMar w:top="2410" w:right="1134" w:bottom="1134" w:left="1134" w:header="1418" w:footer="1134" w:gutter="284"/>
          <w:pgNumType w:fmt="upperRoman"/>
          <w:cols w:space="425" w:num="1"/>
          <w:formProt w:val="0"/>
          <w:docGrid w:type="lines" w:linePitch="312" w:charSpace="0"/>
        </w:sectPr>
      </w:pPr>
    </w:p>
    <w:bookmarkEnd w:id="25"/>
    <w:p>
      <w:pPr>
        <w:pStyle w:val="89"/>
        <w:spacing w:after="468"/>
      </w:pPr>
      <w:bookmarkStart w:id="26" w:name="_Toc117002430"/>
      <w:bookmarkStart w:id="27" w:name="_Toc130215155"/>
      <w:bookmarkStart w:id="28" w:name="_Toc130218742"/>
      <w:bookmarkStart w:id="29" w:name="_Toc129276107"/>
      <w:bookmarkStart w:id="30" w:name="_Toc117002571"/>
      <w:bookmarkStart w:id="31" w:name="BookMark3"/>
      <w:r>
        <w:rPr>
          <w:spacing w:val="320"/>
        </w:rPr>
        <w:t>引</w:t>
      </w:r>
      <w:r>
        <w:t>言</w:t>
      </w:r>
      <w:bookmarkEnd w:id="26"/>
      <w:bookmarkEnd w:id="27"/>
      <w:bookmarkEnd w:id="28"/>
      <w:bookmarkEnd w:id="29"/>
      <w:bookmarkEnd w:id="30"/>
    </w:p>
    <w:p>
      <w:pPr>
        <w:pStyle w:val="56"/>
        <w:ind w:firstLine="420"/>
      </w:pPr>
      <w:r>
        <w:rPr>
          <w:rFonts w:hint="eastAsia"/>
        </w:rPr>
        <w:t>盾构法隧道设置</w:t>
      </w:r>
      <w:r>
        <w:t>现浇钢筋混凝土二次衬砌</w:t>
      </w:r>
      <w:r>
        <w:rPr>
          <w:rFonts w:hint="eastAsia"/>
        </w:rPr>
        <w:t>主要适用于输水隧道、穿江越湖公路隧道等结构受力复杂或耐久性要求高的隧道。</w:t>
      </w:r>
    </w:p>
    <w:p>
      <w:pPr>
        <w:pStyle w:val="56"/>
        <w:ind w:firstLine="420"/>
      </w:pPr>
      <w:r>
        <w:rPr>
          <w:rFonts w:hint="eastAsia"/>
        </w:rPr>
        <w:t>盾构法输水隧道内设置</w:t>
      </w:r>
      <w:r>
        <w:t>现浇钢筋混凝土二次衬砌</w:t>
      </w:r>
      <w:r>
        <w:rPr>
          <w:rFonts w:hint="eastAsia"/>
        </w:rPr>
        <w:t>可以改善结构受力状态，提高工程耐久性，同时有利于介质传输。</w:t>
      </w:r>
    </w:p>
    <w:p>
      <w:pPr>
        <w:pStyle w:val="56"/>
        <w:ind w:firstLine="420"/>
      </w:pPr>
      <w:r>
        <w:rPr>
          <w:rFonts w:hint="eastAsia"/>
        </w:rPr>
        <w:t>为满足输水隧道对于结构耐久、结构运行安全的需要，保证盾构法输水隧道内</w:t>
      </w:r>
      <w:r>
        <w:t>现浇钢筋混凝土二次衬砌</w:t>
      </w:r>
      <w:r>
        <w:rPr>
          <w:rFonts w:hint="eastAsia"/>
        </w:rPr>
        <w:t>设计及施工的质量，保障后续安全、经济地运营，特制定本文件。</w:t>
      </w:r>
    </w:p>
    <w:p>
      <w:pPr>
        <w:pStyle w:val="56"/>
        <w:ind w:firstLine="420"/>
        <w:rPr>
          <w:highlight w:val="yellow"/>
        </w:rPr>
      </w:pPr>
      <w:r>
        <w:rPr>
          <w:rFonts w:hint="eastAsia"/>
        </w:rPr>
        <w:t>本文件结合国内现阶段盾构法输水隧道</w:t>
      </w:r>
      <w:r>
        <w:t>现浇钢筋混凝土二次衬砌</w:t>
      </w:r>
      <w:r>
        <w:rPr>
          <w:rFonts w:hint="eastAsia"/>
        </w:rPr>
        <w:t>技术现状与实践经验，对盾构法输水隧道</w:t>
      </w:r>
      <w:r>
        <w:t>现浇钢筋混凝土二次衬砌</w:t>
      </w:r>
      <w:r>
        <w:rPr>
          <w:rFonts w:hint="eastAsia"/>
        </w:rPr>
        <w:t>的材料选用、设计、施工、健康监测及验收作出了深度的规定。</w:t>
      </w:r>
    </w:p>
    <w:p>
      <w:pPr>
        <w:pStyle w:val="56"/>
        <w:ind w:firstLine="420"/>
      </w:pPr>
    </w:p>
    <w:p>
      <w:pPr>
        <w:pStyle w:val="56"/>
        <w:ind w:firstLine="420"/>
        <w:sectPr>
          <w:headerReference r:id="rId15" w:type="default"/>
          <w:footerReference r:id="rId17" w:type="default"/>
          <w:headerReference r:id="rId16" w:type="even"/>
          <w:footerReference r:id="rId18" w:type="even"/>
          <w:pgSz w:w="11906" w:h="16838"/>
          <w:pgMar w:top="2410" w:right="1134" w:bottom="1134" w:left="1134" w:header="1418" w:footer="1134" w:gutter="284"/>
          <w:pgNumType w:fmt="upperRoman"/>
          <w:cols w:space="425" w:num="1"/>
          <w:formProt w:val="0"/>
          <w:docGrid w:type="lines" w:linePitch="312" w:charSpace="0"/>
        </w:sectPr>
      </w:pPr>
    </w:p>
    <w:bookmarkEnd w:id="31"/>
    <w:p>
      <w:pPr>
        <w:spacing w:line="20" w:lineRule="exact"/>
        <w:jc w:val="center"/>
        <w:rPr>
          <w:rFonts w:ascii="黑体" w:hAnsi="黑体" w:eastAsia="黑体"/>
          <w:sz w:val="32"/>
          <w:szCs w:val="32"/>
        </w:rPr>
      </w:pPr>
      <w:bookmarkStart w:id="32" w:name="BookMark4"/>
    </w:p>
    <w:p>
      <w:pPr>
        <w:spacing w:line="20" w:lineRule="exact"/>
        <w:jc w:val="center"/>
        <w:rPr>
          <w:rFonts w:ascii="黑体" w:hAnsi="黑体" w:eastAsia="黑体"/>
          <w:sz w:val="32"/>
          <w:szCs w:val="32"/>
        </w:rPr>
      </w:pPr>
    </w:p>
    <w:sdt>
      <w:sdtPr>
        <w:tag w:val="NEW_STAND_NAME"/>
        <w:id w:val="595910757"/>
        <w:lock w:val="sdtLocked"/>
        <w:placeholder>
          <w:docPart w:val="46A206247E894402BD4C2B1E718813FB"/>
        </w:placeholder>
      </w:sdtPr>
      <w:sdtContent>
        <w:p>
          <w:pPr>
            <w:pStyle w:val="177"/>
            <w:spacing w:before="312" w:beforeLines="100" w:after="686" w:afterLines="220"/>
          </w:pPr>
          <w:bookmarkStart w:id="33" w:name="NEW_STAND_NAME"/>
          <w:r>
            <w:rPr>
              <w:rFonts w:hint="eastAsia"/>
            </w:rPr>
            <w:t>盾构法隧道现浇钢筋混凝土二次衬砌技术规程</w:t>
          </w:r>
        </w:p>
      </w:sdtContent>
    </w:sdt>
    <w:bookmarkEnd w:id="33"/>
    <w:p>
      <w:pPr>
        <w:pStyle w:val="104"/>
        <w:spacing w:before="312" w:after="312"/>
      </w:pPr>
      <w:bookmarkStart w:id="34" w:name="_Toc129276108"/>
      <w:bookmarkStart w:id="35" w:name="_Toc130215156"/>
      <w:bookmarkStart w:id="36" w:name="_Toc130218743"/>
      <w:r>
        <w:rPr>
          <w:rFonts w:hint="eastAsia"/>
        </w:rPr>
        <w:t>范围</w:t>
      </w:r>
      <w:bookmarkEnd w:id="34"/>
      <w:bookmarkEnd w:id="35"/>
      <w:bookmarkEnd w:id="36"/>
    </w:p>
    <w:p>
      <w:pPr>
        <w:pStyle w:val="56"/>
        <w:ind w:firstLine="420"/>
      </w:pPr>
      <w:bookmarkStart w:id="37" w:name="_Toc24884219"/>
      <w:bookmarkStart w:id="38" w:name="_Toc17233326"/>
      <w:bookmarkStart w:id="39" w:name="_Toc26648466"/>
      <w:bookmarkStart w:id="40" w:name="_Toc17233334"/>
      <w:bookmarkStart w:id="41" w:name="_Toc24884212"/>
      <w:r>
        <w:t>本</w:t>
      </w:r>
      <w:r>
        <w:rPr>
          <w:rFonts w:hint="eastAsia"/>
        </w:rPr>
        <w:t>文件</w:t>
      </w:r>
      <w:r>
        <w:t>规定了盾构法</w:t>
      </w:r>
      <w:r>
        <w:rPr>
          <w:rFonts w:hint="eastAsia"/>
        </w:rPr>
        <w:t>输水</w:t>
      </w:r>
      <w:r>
        <w:t>隧道现浇钢筋混凝土二次衬砌设计要求、施工技术、质量检验和验收标准。</w:t>
      </w:r>
    </w:p>
    <w:p>
      <w:pPr>
        <w:pStyle w:val="56"/>
        <w:ind w:firstLine="420"/>
      </w:pPr>
      <w:r>
        <w:t>本</w:t>
      </w:r>
      <w:r>
        <w:rPr>
          <w:rFonts w:hint="eastAsia"/>
        </w:rPr>
        <w:t>文件适用于盾构法输水隧道现浇钢筋混凝土二次衬砌的材料、设计、施工、健康监测及验收。</w:t>
      </w:r>
    </w:p>
    <w:p>
      <w:pPr>
        <w:pStyle w:val="104"/>
        <w:spacing w:before="312" w:after="312"/>
      </w:pPr>
      <w:bookmarkStart w:id="42" w:name="_Toc26718931"/>
      <w:bookmarkStart w:id="43" w:name="_Toc26986531"/>
      <w:bookmarkStart w:id="44" w:name="_Toc26986772"/>
      <w:bookmarkStart w:id="45" w:name="_Toc130215157"/>
      <w:bookmarkStart w:id="46" w:name="_Toc130218744"/>
      <w:bookmarkStart w:id="47" w:name="_Toc129276109"/>
      <w:r>
        <w:rPr>
          <w:rFonts w:hint="eastAsia"/>
        </w:rPr>
        <w:t>规范性引用文件</w:t>
      </w:r>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063BC559366849A0947E9A156BBD042B"/>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rPr>
          <w:rFonts w:ascii="Times New Roman"/>
        </w:rPr>
      </w:pPr>
      <w:r>
        <w:rPr>
          <w:rFonts w:hint="eastAsia" w:ascii="Times New Roman"/>
        </w:rPr>
        <w:t>G</w:t>
      </w:r>
      <w:r>
        <w:rPr>
          <w:rFonts w:ascii="Times New Roman"/>
        </w:rPr>
        <w:t xml:space="preserve">B/T 5224  </w:t>
      </w:r>
      <w:r>
        <w:rPr>
          <w:rFonts w:hint="eastAsia" w:ascii="Times New Roman"/>
        </w:rPr>
        <w:t>预应力混凝土用钢绞线</w:t>
      </w:r>
    </w:p>
    <w:p>
      <w:pPr>
        <w:pStyle w:val="56"/>
        <w:ind w:firstLine="420"/>
        <w:rPr>
          <w:rFonts w:ascii="Times New Roman"/>
        </w:rPr>
      </w:pPr>
      <w:r>
        <w:rPr>
          <w:rFonts w:hint="eastAsia" w:ascii="Times New Roman"/>
        </w:rPr>
        <w:t>GB</w:t>
      </w:r>
      <w:r>
        <w:rPr>
          <w:rFonts w:ascii="Times New Roman"/>
        </w:rPr>
        <w:t xml:space="preserve"> </w:t>
      </w:r>
      <w:r>
        <w:rPr>
          <w:rFonts w:hint="eastAsia" w:ascii="Times New Roman"/>
        </w:rPr>
        <w:t>18445</w:t>
      </w:r>
      <w:r>
        <w:rPr>
          <w:rFonts w:ascii="Times New Roman"/>
        </w:rPr>
        <w:t xml:space="preserve">  </w:t>
      </w:r>
      <w:r>
        <w:rPr>
          <w:rFonts w:hint="eastAsia" w:ascii="Times New Roman"/>
        </w:rPr>
        <w:t>水泥基渗透结晶型防水涂料</w:t>
      </w:r>
    </w:p>
    <w:p>
      <w:pPr>
        <w:pStyle w:val="56"/>
        <w:ind w:firstLine="420"/>
        <w:rPr>
          <w:rFonts w:ascii="Times New Roman"/>
        </w:rPr>
      </w:pPr>
      <w:r>
        <w:rPr>
          <w:rFonts w:hint="eastAsia" w:ascii="Times New Roman"/>
        </w:rPr>
        <w:t>GB/T 18736</w:t>
      </w:r>
      <w:r>
        <w:rPr>
          <w:rFonts w:ascii="Times New Roman"/>
        </w:rPr>
        <w:t xml:space="preserve"> </w:t>
      </w:r>
      <w:r>
        <w:rPr>
          <w:rFonts w:hint="eastAsia" w:ascii="Times New Roman"/>
        </w:rPr>
        <w:t>高强高性能混凝土用矿物外加剂</w:t>
      </w:r>
    </w:p>
    <w:p>
      <w:pPr>
        <w:pStyle w:val="56"/>
        <w:ind w:firstLine="420"/>
        <w:rPr>
          <w:rFonts w:ascii="Times New Roman"/>
        </w:rPr>
      </w:pPr>
      <w:r>
        <w:rPr>
          <w:rFonts w:hint="eastAsia" w:ascii="Times New Roman"/>
        </w:rPr>
        <w:t>GB/T 23439</w:t>
      </w:r>
      <w:r>
        <w:rPr>
          <w:rFonts w:ascii="Times New Roman"/>
        </w:rPr>
        <w:t xml:space="preserve">  </w:t>
      </w:r>
      <w:r>
        <w:rPr>
          <w:rFonts w:hint="eastAsia" w:ascii="Times New Roman"/>
        </w:rPr>
        <w:t>混凝土膨胀剂</w:t>
      </w:r>
    </w:p>
    <w:p>
      <w:pPr>
        <w:pStyle w:val="56"/>
        <w:ind w:firstLine="420"/>
        <w:rPr>
          <w:rFonts w:ascii="Times New Roman"/>
        </w:rPr>
      </w:pPr>
      <w:r>
        <w:rPr>
          <w:rFonts w:ascii="Times New Roman"/>
        </w:rPr>
        <w:t>GB</w:t>
      </w:r>
      <w:r>
        <w:rPr>
          <w:rFonts w:hint="eastAsia" w:ascii="Times New Roman"/>
        </w:rPr>
        <w:t xml:space="preserve"> </w:t>
      </w:r>
      <w:r>
        <w:rPr>
          <w:rFonts w:ascii="Times New Roman"/>
        </w:rPr>
        <w:t>50010  混凝土结构设计规范</w:t>
      </w:r>
    </w:p>
    <w:p>
      <w:pPr>
        <w:pStyle w:val="56"/>
        <w:ind w:firstLine="420"/>
        <w:rPr>
          <w:rFonts w:ascii="Times New Roman"/>
        </w:rPr>
      </w:pPr>
      <w:r>
        <w:rPr>
          <w:rFonts w:ascii="Times New Roman"/>
        </w:rPr>
        <w:t>GB</w:t>
      </w:r>
      <w:r>
        <w:rPr>
          <w:rFonts w:hint="eastAsia" w:ascii="Times New Roman"/>
        </w:rPr>
        <w:t xml:space="preserve"> </w:t>
      </w:r>
      <w:r>
        <w:rPr>
          <w:rFonts w:ascii="Times New Roman"/>
        </w:rPr>
        <w:t>50108  地下工程防水技术规范</w:t>
      </w:r>
    </w:p>
    <w:p>
      <w:pPr>
        <w:pStyle w:val="56"/>
        <w:ind w:firstLine="420"/>
        <w:rPr>
          <w:rFonts w:ascii="Times New Roman"/>
        </w:rPr>
      </w:pPr>
      <w:r>
        <w:rPr>
          <w:rFonts w:ascii="Times New Roman"/>
        </w:rPr>
        <w:t>GB</w:t>
      </w:r>
      <w:r>
        <w:rPr>
          <w:rFonts w:hint="eastAsia" w:ascii="Times New Roman"/>
        </w:rPr>
        <w:t xml:space="preserve"> </w:t>
      </w:r>
      <w:r>
        <w:rPr>
          <w:rFonts w:ascii="Times New Roman"/>
        </w:rPr>
        <w:t>50204  混凝土结构工程施工及验收规范</w:t>
      </w:r>
    </w:p>
    <w:p>
      <w:pPr>
        <w:pStyle w:val="56"/>
        <w:ind w:firstLine="420"/>
        <w:rPr>
          <w:rFonts w:ascii="Times New Roman"/>
        </w:rPr>
      </w:pPr>
      <w:r>
        <w:rPr>
          <w:rFonts w:ascii="Times New Roman"/>
        </w:rPr>
        <w:t>GB</w:t>
      </w:r>
      <w:r>
        <w:rPr>
          <w:rFonts w:hint="eastAsia" w:ascii="Times New Roman"/>
        </w:rPr>
        <w:t xml:space="preserve"> </w:t>
      </w:r>
      <w:r>
        <w:rPr>
          <w:rFonts w:ascii="Times New Roman"/>
        </w:rPr>
        <w:t>50208  地下防水工程质量验收规范</w:t>
      </w:r>
    </w:p>
    <w:p>
      <w:pPr>
        <w:pStyle w:val="56"/>
        <w:ind w:firstLine="420"/>
        <w:rPr>
          <w:rFonts w:ascii="Times New Roman"/>
        </w:rPr>
      </w:pPr>
      <w:r>
        <w:rPr>
          <w:rFonts w:ascii="Times New Roman"/>
        </w:rPr>
        <w:t>GB</w:t>
      </w:r>
      <w:r>
        <w:rPr>
          <w:rFonts w:hint="eastAsia" w:ascii="Times New Roman"/>
        </w:rPr>
        <w:t xml:space="preserve"> </w:t>
      </w:r>
      <w:r>
        <w:rPr>
          <w:rFonts w:ascii="Times New Roman"/>
        </w:rPr>
        <w:t>50268  给水排水管道工程施工及验收规范</w:t>
      </w:r>
    </w:p>
    <w:p>
      <w:pPr>
        <w:pStyle w:val="56"/>
        <w:ind w:firstLine="420"/>
        <w:rPr>
          <w:rFonts w:ascii="Times New Roman"/>
        </w:rPr>
      </w:pPr>
      <w:r>
        <w:rPr>
          <w:rFonts w:ascii="Times New Roman"/>
        </w:rPr>
        <w:t>GB/T</w:t>
      </w:r>
      <w:r>
        <w:rPr>
          <w:rFonts w:hint="eastAsia" w:ascii="Times New Roman"/>
        </w:rPr>
        <w:t xml:space="preserve"> </w:t>
      </w:r>
      <w:r>
        <w:rPr>
          <w:rFonts w:ascii="Times New Roman"/>
        </w:rPr>
        <w:t>50299  地下铁道工程施工质量验收标准</w:t>
      </w:r>
    </w:p>
    <w:p>
      <w:pPr>
        <w:pStyle w:val="56"/>
        <w:ind w:firstLine="420"/>
        <w:rPr>
          <w:rFonts w:ascii="Times New Roman"/>
        </w:rPr>
      </w:pPr>
      <w:r>
        <w:rPr>
          <w:rFonts w:ascii="Times New Roman"/>
        </w:rPr>
        <w:t>GB/T</w:t>
      </w:r>
      <w:r>
        <w:rPr>
          <w:rFonts w:hint="eastAsia" w:ascii="Times New Roman"/>
        </w:rPr>
        <w:t xml:space="preserve"> </w:t>
      </w:r>
      <w:r>
        <w:rPr>
          <w:rFonts w:ascii="Times New Roman"/>
        </w:rPr>
        <w:t>50328  建设工程文件归档规范</w:t>
      </w:r>
    </w:p>
    <w:p>
      <w:pPr>
        <w:pStyle w:val="56"/>
        <w:ind w:firstLine="420"/>
        <w:rPr>
          <w:rFonts w:ascii="Times New Roman"/>
        </w:rPr>
      </w:pPr>
      <w:r>
        <w:rPr>
          <w:rFonts w:ascii="Times New Roman"/>
        </w:rPr>
        <w:t>GB</w:t>
      </w:r>
      <w:r>
        <w:rPr>
          <w:rFonts w:hint="eastAsia" w:ascii="Times New Roman"/>
        </w:rPr>
        <w:t xml:space="preserve"> </w:t>
      </w:r>
      <w:r>
        <w:rPr>
          <w:rFonts w:ascii="Times New Roman"/>
        </w:rPr>
        <w:t>50446  盾构法隧道施工及验收规范</w:t>
      </w:r>
    </w:p>
    <w:p>
      <w:pPr>
        <w:pStyle w:val="56"/>
        <w:ind w:firstLine="420"/>
        <w:rPr>
          <w:rFonts w:ascii="Times New Roman"/>
        </w:rPr>
      </w:pPr>
      <w:r>
        <w:rPr>
          <w:rFonts w:hint="eastAsia" w:ascii="Times New Roman"/>
        </w:rPr>
        <w:t>GB/T 50476</w:t>
      </w:r>
      <w:r>
        <w:rPr>
          <w:rFonts w:ascii="Times New Roman"/>
        </w:rPr>
        <w:t xml:space="preserve">  </w:t>
      </w:r>
      <w:r>
        <w:rPr>
          <w:rFonts w:hint="eastAsia" w:ascii="Times New Roman"/>
        </w:rPr>
        <w:t>混凝土结构耐久性设计规范</w:t>
      </w:r>
    </w:p>
    <w:p>
      <w:pPr>
        <w:pStyle w:val="56"/>
        <w:ind w:firstLine="420"/>
        <w:rPr>
          <w:rFonts w:ascii="Times New Roman"/>
        </w:rPr>
      </w:pPr>
      <w:r>
        <w:rPr>
          <w:rFonts w:ascii="Times New Roman"/>
        </w:rPr>
        <w:t>GB</w:t>
      </w:r>
      <w:r>
        <w:rPr>
          <w:rFonts w:hint="eastAsia" w:ascii="Times New Roman"/>
        </w:rPr>
        <w:t xml:space="preserve"> </w:t>
      </w:r>
      <w:r>
        <w:rPr>
          <w:rFonts w:ascii="Times New Roman"/>
        </w:rPr>
        <w:t>50666  混凝土结构工程施工规范</w:t>
      </w:r>
    </w:p>
    <w:p>
      <w:pPr>
        <w:pStyle w:val="56"/>
        <w:ind w:firstLine="420"/>
        <w:rPr>
          <w:rFonts w:ascii="Times New Roman"/>
        </w:rPr>
      </w:pPr>
      <w:r>
        <w:rPr>
          <w:rFonts w:hint="eastAsia" w:ascii="Times New Roman"/>
        </w:rPr>
        <w:t>G</w:t>
      </w:r>
      <w:r>
        <w:rPr>
          <w:rFonts w:ascii="Times New Roman"/>
        </w:rPr>
        <w:t xml:space="preserve">B 50911  </w:t>
      </w:r>
      <w:r>
        <w:rPr>
          <w:rFonts w:hint="eastAsia" w:ascii="Times New Roman"/>
        </w:rPr>
        <w:t>城市轨道交通工程监测技术规范</w:t>
      </w:r>
    </w:p>
    <w:p>
      <w:pPr>
        <w:pStyle w:val="56"/>
        <w:ind w:firstLine="420"/>
        <w:rPr>
          <w:rFonts w:ascii="Times New Roman"/>
        </w:rPr>
      </w:pPr>
      <w:r>
        <w:rPr>
          <w:rFonts w:hint="eastAsia" w:ascii="Times New Roman"/>
        </w:rPr>
        <w:t>GB</w:t>
      </w:r>
      <w:r>
        <w:rPr>
          <w:rFonts w:ascii="Times New Roman"/>
        </w:rPr>
        <w:t>/</w:t>
      </w:r>
      <w:r>
        <w:rPr>
          <w:rFonts w:hint="eastAsia" w:ascii="Times New Roman"/>
        </w:rPr>
        <w:t>T</w:t>
      </w:r>
      <w:r>
        <w:rPr>
          <w:rFonts w:ascii="Times New Roman"/>
        </w:rPr>
        <w:t xml:space="preserve"> </w:t>
      </w:r>
      <w:r>
        <w:rPr>
          <w:rFonts w:hint="eastAsia" w:ascii="Times New Roman"/>
        </w:rPr>
        <w:t xml:space="preserve">51438 </w:t>
      </w:r>
      <w:r>
        <w:rPr>
          <w:rFonts w:ascii="Times New Roman"/>
        </w:rPr>
        <w:t xml:space="preserve"> </w:t>
      </w:r>
      <w:r>
        <w:rPr>
          <w:rFonts w:hint="eastAsia" w:ascii="Times New Roman"/>
        </w:rPr>
        <w:t>盾构隧道工程设计标准</w:t>
      </w:r>
    </w:p>
    <w:p>
      <w:pPr>
        <w:pStyle w:val="56"/>
        <w:ind w:firstLine="420"/>
        <w:rPr>
          <w:rFonts w:ascii="Times New Roman"/>
        </w:rPr>
      </w:pPr>
      <w:r>
        <w:rPr>
          <w:rFonts w:hint="eastAsia" w:ascii="Times New Roman"/>
        </w:rPr>
        <w:t>JC/T 881</w:t>
      </w:r>
      <w:r>
        <w:rPr>
          <w:rFonts w:ascii="Times New Roman"/>
        </w:rPr>
        <w:t xml:space="preserve">  </w:t>
      </w:r>
      <w:r>
        <w:rPr>
          <w:rFonts w:hint="eastAsia" w:ascii="Times New Roman"/>
        </w:rPr>
        <w:t>混凝土接缝用建筑密封膏</w:t>
      </w:r>
    </w:p>
    <w:p>
      <w:pPr>
        <w:pStyle w:val="56"/>
        <w:ind w:firstLine="420"/>
        <w:rPr>
          <w:rFonts w:ascii="Times New Roman"/>
        </w:rPr>
      </w:pPr>
      <w:r>
        <w:rPr>
          <w:rFonts w:hint="eastAsia" w:ascii="Times New Roman"/>
        </w:rPr>
        <w:t>JGJ 52</w:t>
      </w:r>
      <w:r>
        <w:rPr>
          <w:rFonts w:ascii="Times New Roman"/>
        </w:rPr>
        <w:t xml:space="preserve"> </w:t>
      </w:r>
      <w:r>
        <w:rPr>
          <w:rFonts w:hint="eastAsia" w:ascii="Times New Roman"/>
        </w:rPr>
        <w:t xml:space="preserve"> 普通混凝土用砂、石质量及检验方法标准</w:t>
      </w:r>
    </w:p>
    <w:p>
      <w:pPr>
        <w:pStyle w:val="56"/>
        <w:ind w:firstLine="420"/>
        <w:rPr>
          <w:rFonts w:ascii="Times New Roman"/>
        </w:rPr>
      </w:pPr>
      <w:r>
        <w:rPr>
          <w:rFonts w:ascii="Times New Roman"/>
        </w:rPr>
        <w:t>JGJ/T</w:t>
      </w:r>
      <w:r>
        <w:rPr>
          <w:rFonts w:hint="eastAsia" w:ascii="Times New Roman"/>
        </w:rPr>
        <w:t xml:space="preserve"> </w:t>
      </w:r>
      <w:r>
        <w:rPr>
          <w:rFonts w:ascii="Times New Roman"/>
        </w:rPr>
        <w:t>10  混凝土泵送施工技术规程</w:t>
      </w:r>
    </w:p>
    <w:p>
      <w:pPr>
        <w:pStyle w:val="56"/>
        <w:ind w:firstLine="420"/>
        <w:rPr>
          <w:rFonts w:ascii="Times New Roman"/>
        </w:rPr>
      </w:pPr>
      <w:r>
        <w:rPr>
          <w:rFonts w:hint="eastAsia" w:ascii="Times New Roman"/>
        </w:rPr>
        <w:t>JGJ/T 283</w:t>
      </w:r>
      <w:r>
        <w:rPr>
          <w:rFonts w:ascii="Times New Roman"/>
        </w:rPr>
        <w:t xml:space="preserve">  </w:t>
      </w:r>
      <w:r>
        <w:rPr>
          <w:rFonts w:hint="eastAsia" w:ascii="Times New Roman"/>
        </w:rPr>
        <w:t>自密实混凝土技术规程</w:t>
      </w:r>
    </w:p>
    <w:p>
      <w:pPr>
        <w:pStyle w:val="56"/>
        <w:ind w:firstLine="420"/>
        <w:rPr>
          <w:rFonts w:ascii="Times New Roman"/>
        </w:rPr>
      </w:pPr>
      <w:r>
        <w:rPr>
          <w:rFonts w:ascii="Times New Roman"/>
        </w:rPr>
        <w:t>JTG/T</w:t>
      </w:r>
      <w:r>
        <w:rPr>
          <w:rFonts w:hint="eastAsia" w:ascii="Times New Roman"/>
        </w:rPr>
        <w:t xml:space="preserve"> </w:t>
      </w:r>
      <w:r>
        <w:rPr>
          <w:rFonts w:ascii="Times New Roman"/>
        </w:rPr>
        <w:t>3660  公路隧道施工技术规范</w:t>
      </w:r>
    </w:p>
    <w:p>
      <w:pPr>
        <w:pStyle w:val="56"/>
        <w:ind w:firstLine="420"/>
        <w:rPr>
          <w:rFonts w:ascii="Times New Roman"/>
        </w:rPr>
      </w:pPr>
      <w:r>
        <w:rPr>
          <w:rFonts w:hint="eastAsia" w:ascii="Times New Roman"/>
        </w:rPr>
        <w:t>S</w:t>
      </w:r>
      <w:r>
        <w:rPr>
          <w:rFonts w:ascii="Times New Roman"/>
        </w:rPr>
        <w:t xml:space="preserve">L 279  </w:t>
      </w:r>
      <w:r>
        <w:rPr>
          <w:rFonts w:hint="eastAsia" w:ascii="Times New Roman"/>
        </w:rPr>
        <w:t>水工隧洞设计规范</w:t>
      </w:r>
    </w:p>
    <w:p>
      <w:pPr>
        <w:pStyle w:val="56"/>
        <w:ind w:firstLine="420"/>
        <w:rPr>
          <w:rFonts w:ascii="Times New Roman"/>
        </w:rPr>
      </w:pPr>
      <w:r>
        <w:rPr>
          <w:rFonts w:hint="eastAsia" w:ascii="Times New Roman"/>
        </w:rPr>
        <w:t>SL 352</w:t>
      </w:r>
      <w:r>
        <w:rPr>
          <w:rFonts w:ascii="Times New Roman"/>
        </w:rPr>
        <w:t xml:space="preserve">  </w:t>
      </w:r>
      <w:r>
        <w:rPr>
          <w:rFonts w:hint="eastAsia" w:ascii="Times New Roman"/>
        </w:rPr>
        <w:t>水工混凝土试验规程</w:t>
      </w:r>
    </w:p>
    <w:p>
      <w:pPr>
        <w:pStyle w:val="56"/>
        <w:ind w:firstLine="420"/>
        <w:rPr>
          <w:rFonts w:ascii="Times New Roman"/>
        </w:rPr>
      </w:pPr>
      <w:r>
        <w:rPr>
          <w:rFonts w:hint="eastAsia" w:ascii="Times New Roman"/>
        </w:rPr>
        <w:t>S</w:t>
      </w:r>
      <w:r>
        <w:rPr>
          <w:rFonts w:ascii="Times New Roman"/>
        </w:rPr>
        <w:t xml:space="preserve">L 667  </w:t>
      </w:r>
      <w:r>
        <w:rPr>
          <w:rFonts w:hint="eastAsia" w:ascii="Times New Roman"/>
        </w:rPr>
        <w:t>水工混凝土施工规范</w:t>
      </w:r>
    </w:p>
    <w:p>
      <w:pPr>
        <w:pStyle w:val="56"/>
        <w:ind w:firstLine="420"/>
        <w:rPr>
          <w:rFonts w:ascii="Times New Roman"/>
        </w:rPr>
      </w:pPr>
      <w:r>
        <w:rPr>
          <w:rFonts w:hint="eastAsia" w:ascii="Times New Roman"/>
        </w:rPr>
        <w:t>C</w:t>
      </w:r>
      <w:r>
        <w:rPr>
          <w:rFonts w:ascii="Times New Roman"/>
        </w:rPr>
        <w:t>ECS 370</w:t>
      </w:r>
      <w:r>
        <w:rPr>
          <w:rFonts w:hint="eastAsia" w:ascii="Times New Roman"/>
        </w:rPr>
        <w:t xml:space="preserve"> </w:t>
      </w:r>
      <w:r>
        <w:rPr>
          <w:rFonts w:ascii="Times New Roman"/>
        </w:rPr>
        <w:t xml:space="preserve"> </w:t>
      </w:r>
      <w:r>
        <w:rPr>
          <w:rFonts w:hint="eastAsia" w:ascii="Times New Roman"/>
        </w:rPr>
        <w:t>隧道工程防水技术规范</w:t>
      </w:r>
    </w:p>
    <w:p>
      <w:pPr>
        <w:pStyle w:val="56"/>
        <w:ind w:firstLine="420"/>
        <w:rPr>
          <w:rFonts w:ascii="Times New Roman"/>
        </w:rPr>
      </w:pPr>
      <w:r>
        <w:rPr>
          <w:rFonts w:ascii="Times New Roman"/>
        </w:rPr>
        <w:t>T/CECS</w:t>
      </w:r>
      <w:r>
        <w:rPr>
          <w:rFonts w:hint="eastAsia" w:ascii="Times New Roman"/>
        </w:rPr>
        <w:t xml:space="preserve"> </w:t>
      </w:r>
      <w:r>
        <w:rPr>
          <w:rFonts w:ascii="Times New Roman"/>
        </w:rPr>
        <w:t>610  盾构法输水隧道结构设计规程</w:t>
      </w:r>
    </w:p>
    <w:p>
      <w:pPr>
        <w:pStyle w:val="56"/>
        <w:ind w:firstLine="420"/>
        <w:rPr>
          <w:rFonts w:ascii="Times New Roman"/>
        </w:rPr>
      </w:pPr>
      <w:r>
        <w:rPr>
          <w:rFonts w:hint="eastAsia" w:ascii="Times New Roman"/>
        </w:rPr>
        <w:t>DB32</w:t>
      </w:r>
      <w:r>
        <w:rPr>
          <w:rFonts w:ascii="Times New Roman"/>
        </w:rPr>
        <w:t>/</w:t>
      </w:r>
      <w:r>
        <w:rPr>
          <w:rFonts w:hint="eastAsia" w:ascii="Times New Roman"/>
        </w:rPr>
        <w:t xml:space="preserve">T 4243 </w:t>
      </w:r>
      <w:r>
        <w:rPr>
          <w:rFonts w:ascii="Times New Roman"/>
        </w:rPr>
        <w:t xml:space="preserve"> </w:t>
      </w:r>
      <w:r>
        <w:rPr>
          <w:rFonts w:hint="eastAsia" w:ascii="Times New Roman"/>
        </w:rPr>
        <w:t>水下隧道结构健康监测技术规程</w:t>
      </w:r>
    </w:p>
    <w:p>
      <w:pPr>
        <w:pStyle w:val="56"/>
        <w:ind w:firstLine="420"/>
        <w:rPr>
          <w:rFonts w:ascii="Times New Roman"/>
        </w:rPr>
      </w:pPr>
      <w:r>
        <w:rPr>
          <w:rFonts w:ascii="Times New Roman"/>
        </w:rPr>
        <w:t xml:space="preserve">DB4201/T 624  </w:t>
      </w:r>
      <w:r>
        <w:rPr>
          <w:rFonts w:hint="eastAsia" w:ascii="Times New Roman"/>
        </w:rPr>
        <w:t>城市桥梁与隧道结构安全监测技术规程</w:t>
      </w:r>
    </w:p>
    <w:p>
      <w:pPr>
        <w:pStyle w:val="104"/>
        <w:spacing w:before="312" w:after="312"/>
      </w:pPr>
      <w:bookmarkStart w:id="48" w:name="_Toc130215158"/>
      <w:bookmarkStart w:id="49" w:name="_Toc130218745"/>
      <w:bookmarkStart w:id="50" w:name="_Toc129276110"/>
      <w:r>
        <w:rPr>
          <w:rFonts w:hint="eastAsia"/>
          <w:szCs w:val="21"/>
        </w:rPr>
        <w:t>术语和定义</w:t>
      </w:r>
      <w:bookmarkEnd w:id="48"/>
      <w:bookmarkEnd w:id="49"/>
      <w:bookmarkEnd w:id="50"/>
    </w:p>
    <w:sdt>
      <w:sdtPr>
        <w:id w:val="-1909835108"/>
        <w:placeholder>
          <w:docPart w:val="6629C77D12334434AB91D085B8976334"/>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51" w:name="_Toc26986532"/>
          <w:bookmarkEnd w:id="51"/>
          <w:r>
            <w:t>下列术语和定义适用于本文件。</w:t>
          </w:r>
        </w:p>
      </w:sdtContent>
    </w:sdt>
    <w:p>
      <w:pPr>
        <w:pStyle w:val="223"/>
        <w:ind w:left="420" w:hanging="420" w:hangingChars="200"/>
        <w:rPr>
          <w:rFonts w:ascii="Times New Roman" w:eastAsia="黑体"/>
        </w:rPr>
      </w:pPr>
      <w:bookmarkStart w:id="52" w:name="_Toc65662401"/>
      <w:bookmarkStart w:id="53" w:name="_Toc65853584"/>
      <w:bookmarkStart w:id="54" w:name="_Toc68013565"/>
      <w:bookmarkStart w:id="55" w:name="_Toc69230933"/>
      <w:bookmarkStart w:id="56" w:name="_Toc67909510"/>
      <w:r>
        <w:rPr>
          <w:rFonts w:ascii="Times New Roman" w:eastAsia="黑体"/>
          <w:color w:val="000000"/>
          <w:highlight w:val="lightGray"/>
          <w14:scene3d>
            <w14:lightRig w14:rig="threePt" w14:dir="t">
              <w14:rot w14:lat="0" w14:lon="0" w14:rev="0"/>
            </w14:lightRig>
          </w14:scene3d>
        </w:rPr>
        <w:br w:type="textWrapping"/>
      </w:r>
      <w:r>
        <w:rPr>
          <w:rFonts w:ascii="Times New Roman" w:eastAsia="黑体"/>
        </w:rPr>
        <w:t xml:space="preserve">输水隧道  </w:t>
      </w:r>
      <w:bookmarkEnd w:id="52"/>
      <w:bookmarkEnd w:id="53"/>
      <w:bookmarkEnd w:id="54"/>
      <w:bookmarkEnd w:id="55"/>
      <w:bookmarkEnd w:id="56"/>
      <w:r>
        <w:rPr>
          <w:rFonts w:ascii="Times New Roman" w:eastAsia="黑体"/>
        </w:rPr>
        <w:t>water-conveyance tunnel</w:t>
      </w:r>
    </w:p>
    <w:p>
      <w:pPr>
        <w:pStyle w:val="56"/>
        <w:ind w:firstLine="420"/>
        <w:rPr>
          <w:rFonts w:ascii="Times New Roman"/>
        </w:rPr>
      </w:pPr>
      <w:r>
        <w:rPr>
          <w:rFonts w:ascii="Times New Roman"/>
        </w:rPr>
        <w:t>用于传输或存储水体的隧道，包括给水隧道、排水隧道和蓄水隧道。按隧道的功能可分为有压输水隧道和无压输水隧道。</w:t>
      </w:r>
    </w:p>
    <w:p>
      <w:pPr>
        <w:pStyle w:val="223"/>
        <w:ind w:left="420" w:hanging="420" w:hangingChars="200"/>
        <w:rPr>
          <w:rFonts w:ascii="Times New Roman"/>
        </w:rPr>
      </w:pPr>
      <w:r>
        <w:rPr>
          <w:rFonts w:ascii="Times New Roman"/>
          <w:color w:val="000000"/>
          <w14:scene3d>
            <w14:lightRig w14:rig="threePt" w14:dir="t">
              <w14:rot w14:lat="0" w14:lon="0" w14:rev="0"/>
            </w14:lightRig>
          </w14:scene3d>
        </w:rPr>
        <w:br w:type="textWrapping"/>
      </w:r>
      <w:r>
        <w:rPr>
          <w:rFonts w:ascii="Times New Roman" w:eastAsia="黑体"/>
        </w:rPr>
        <w:t>有压输水隧道  pressurized water-conveyance tunnel</w:t>
      </w:r>
    </w:p>
    <w:p>
      <w:pPr>
        <w:pStyle w:val="56"/>
        <w:ind w:firstLine="420"/>
        <w:rPr>
          <w:rFonts w:ascii="Times New Roman"/>
        </w:rPr>
      </w:pPr>
      <w:r>
        <w:rPr>
          <w:rFonts w:ascii="Times New Roman"/>
        </w:rPr>
        <w:t>沿隧道全程以满洞有压流态过水的输水隧道。</w:t>
      </w:r>
    </w:p>
    <w:p>
      <w:pPr>
        <w:pStyle w:val="223"/>
        <w:ind w:left="420" w:hanging="420" w:hangingChars="200"/>
        <w:rPr>
          <w:rFonts w:ascii="Times New Roman" w:eastAsia="黑体"/>
        </w:rPr>
      </w:pPr>
      <w:r>
        <w:rPr>
          <w:rFonts w:ascii="Times New Roman"/>
          <w:color w:val="000000"/>
          <w14:scene3d>
            <w14:lightRig w14:rig="threePt" w14:dir="t">
              <w14:rot w14:lat="0" w14:lon="0" w14:rev="0"/>
            </w14:lightRig>
          </w14:scene3d>
        </w:rPr>
        <w:br w:type="textWrapping"/>
      </w:r>
      <w:r>
        <w:rPr>
          <w:rFonts w:ascii="Times New Roman" w:eastAsia="黑体"/>
        </w:rPr>
        <w:t>无压输水隧道  non-pressure water-conveyance tunnel</w:t>
      </w:r>
    </w:p>
    <w:p>
      <w:pPr>
        <w:pStyle w:val="56"/>
        <w:ind w:firstLine="420"/>
        <w:rPr>
          <w:rFonts w:ascii="Times New Roman"/>
        </w:rPr>
      </w:pPr>
      <w:r>
        <w:rPr>
          <w:rFonts w:ascii="Times New Roman"/>
        </w:rPr>
        <w:t>隧道内水流呈明流状态的输水隧道。</w:t>
      </w:r>
    </w:p>
    <w:p>
      <w:pPr>
        <w:pStyle w:val="223"/>
        <w:ind w:left="420" w:hanging="420" w:hangingChars="200"/>
        <w:rPr>
          <w:rFonts w:ascii="Times New Roman"/>
        </w:rPr>
      </w:pPr>
      <w:bookmarkStart w:id="57" w:name="_Toc69230934"/>
      <w:bookmarkEnd w:id="57"/>
      <w:bookmarkStart w:id="58" w:name="_Toc68013566"/>
      <w:bookmarkEnd w:id="58"/>
      <w:bookmarkStart w:id="59" w:name="_Toc65853585"/>
      <w:bookmarkEnd w:id="59"/>
      <w:bookmarkStart w:id="60" w:name="_Toc65662402"/>
      <w:bookmarkEnd w:id="60"/>
      <w:bookmarkStart w:id="61" w:name="_Toc67909511"/>
      <w:bookmarkEnd w:id="61"/>
      <w:r>
        <w:rPr>
          <w:rFonts w:ascii="Times New Roman" w:eastAsia="黑体"/>
        </w:rPr>
        <w:br w:type="textWrapping"/>
      </w:r>
      <w:r>
        <w:rPr>
          <w:rFonts w:ascii="Times New Roman" w:eastAsia="黑体"/>
          <w:szCs w:val="21"/>
        </w:rPr>
        <w:t>二次衬砌  secondary lining</w:t>
      </w:r>
      <w:r>
        <w:rPr>
          <w:rFonts w:ascii="Times New Roman"/>
        </w:rPr>
        <w:t xml:space="preserve"> </w:t>
      </w:r>
    </w:p>
    <w:p>
      <w:pPr>
        <w:pStyle w:val="56"/>
        <w:ind w:firstLine="420"/>
        <w:rPr>
          <w:rFonts w:ascii="Times New Roman"/>
        </w:rPr>
      </w:pPr>
      <w:r>
        <w:rPr>
          <w:rFonts w:ascii="Times New Roman"/>
        </w:rPr>
        <w:t>在管片衬砌内部设置的第二层永久结构，直接与隧道传输介质接触。</w:t>
      </w:r>
    </w:p>
    <w:p>
      <w:pPr>
        <w:pStyle w:val="223"/>
        <w:ind w:left="420" w:hanging="420" w:hangingChars="200"/>
        <w:rPr>
          <w:rFonts w:ascii="Times New Roman" w:eastAsia="黑体"/>
        </w:rPr>
      </w:pPr>
      <w:bookmarkStart w:id="62" w:name="_Toc65853586"/>
      <w:bookmarkEnd w:id="62"/>
      <w:bookmarkStart w:id="63" w:name="_Toc69230935"/>
      <w:bookmarkEnd w:id="63"/>
      <w:bookmarkStart w:id="64" w:name="_Toc68013567"/>
      <w:bookmarkEnd w:id="64"/>
      <w:bookmarkStart w:id="65" w:name="_Toc67909512"/>
      <w:bookmarkEnd w:id="65"/>
      <w:bookmarkStart w:id="66" w:name="_Toc67909513"/>
      <w:bookmarkEnd w:id="66"/>
      <w:bookmarkStart w:id="67" w:name="_Toc65662403"/>
      <w:bookmarkEnd w:id="67"/>
      <w:r>
        <w:rPr>
          <w:rFonts w:ascii="Times New Roman" w:eastAsia="黑体"/>
          <w:szCs w:val="21"/>
        </w:rPr>
        <w:br w:type="textWrapping"/>
      </w:r>
      <w:r>
        <w:rPr>
          <w:rFonts w:ascii="Times New Roman" w:eastAsia="黑体"/>
          <w:szCs w:val="21"/>
        </w:rPr>
        <w:t>叠合式双层衬砌结构</w:t>
      </w:r>
      <w:r>
        <w:rPr>
          <w:rFonts w:ascii="Times New Roman" w:eastAsia="黑体"/>
        </w:rPr>
        <w:t xml:space="preserve">  superimposed double layer lining structure</w:t>
      </w:r>
    </w:p>
    <w:p>
      <w:pPr>
        <w:pStyle w:val="56"/>
        <w:ind w:firstLine="420"/>
        <w:rPr>
          <w:rFonts w:ascii="Times New Roman"/>
        </w:rPr>
      </w:pPr>
      <w:r>
        <w:rPr>
          <w:rFonts w:ascii="Times New Roman"/>
        </w:rPr>
        <w:t>二次衬砌直接浇筑到管片衬砌内部，二次衬砌形成后与管片衬砌形成叠合式结构，并以此实现双层衬砌共同分担其后作用的自重、内水压力等荷载，二次衬砌与管片衬砌之间可以传递轴力、剪力和弯矩。</w:t>
      </w:r>
    </w:p>
    <w:p>
      <w:pPr>
        <w:pStyle w:val="223"/>
        <w:ind w:left="420" w:hanging="420" w:hangingChars="200"/>
        <w:rPr>
          <w:rFonts w:ascii="Times New Roman" w:eastAsia="黑体"/>
        </w:rPr>
      </w:pPr>
      <w:bookmarkStart w:id="68" w:name="_Toc65662404"/>
      <w:bookmarkEnd w:id="68"/>
      <w:bookmarkStart w:id="69" w:name="_Toc67909514"/>
      <w:bookmarkEnd w:id="69"/>
      <w:bookmarkStart w:id="70" w:name="_Toc69230936"/>
      <w:bookmarkEnd w:id="70"/>
      <w:bookmarkStart w:id="71" w:name="_Toc65853587"/>
      <w:bookmarkEnd w:id="71"/>
      <w:bookmarkStart w:id="72" w:name="_Toc68013568"/>
      <w:bookmarkEnd w:id="72"/>
      <w:r>
        <w:rPr>
          <w:rFonts w:ascii="Times New Roman" w:eastAsia="黑体"/>
        </w:rPr>
        <w:br w:type="textWrapping"/>
      </w:r>
      <w:r>
        <w:rPr>
          <w:rFonts w:ascii="Times New Roman" w:eastAsia="黑体"/>
        </w:rPr>
        <w:t>复合式双层衬砌结构  combined double layer lining structure</w:t>
      </w:r>
    </w:p>
    <w:p>
      <w:pPr>
        <w:pStyle w:val="56"/>
        <w:ind w:firstLine="420"/>
        <w:rPr>
          <w:rFonts w:ascii="Times New Roman"/>
        </w:rPr>
      </w:pPr>
      <w:r>
        <w:rPr>
          <w:rFonts w:ascii="Times New Roman"/>
        </w:rPr>
        <w:t>由管片衬砌、界面结构、二次衬砌形成复合式结构，共同分担其后作用的自重、内水压力等荷载，界面结构为传力垫层，二次衬砌与管片衬砌之间可以传递轴力和弯矩，不能传递剪力。</w:t>
      </w:r>
      <w:bookmarkStart w:id="73" w:name="_Toc68013569"/>
      <w:bookmarkEnd w:id="73"/>
      <w:bookmarkStart w:id="74" w:name="_Toc69230937"/>
      <w:bookmarkEnd w:id="74"/>
    </w:p>
    <w:p>
      <w:pPr>
        <w:pStyle w:val="223"/>
        <w:ind w:left="420" w:hanging="420" w:hangingChars="200"/>
        <w:rPr>
          <w:rFonts w:ascii="Times New Roman"/>
        </w:rPr>
      </w:pPr>
      <w:r>
        <w:rPr>
          <w:rFonts w:ascii="Times New Roman" w:eastAsia="黑体"/>
          <w:szCs w:val="21"/>
        </w:rPr>
        <w:br w:type="textWrapping"/>
      </w:r>
      <w:r>
        <w:rPr>
          <w:rFonts w:ascii="Times New Roman" w:eastAsia="黑体"/>
        </w:rPr>
        <w:t>抗冲磨abrasion resistant</w:t>
      </w:r>
    </w:p>
    <w:p>
      <w:pPr>
        <w:pStyle w:val="56"/>
        <w:ind w:firstLine="420"/>
        <w:rPr>
          <w:rFonts w:ascii="Times New Roman"/>
        </w:rPr>
      </w:pPr>
      <w:r>
        <w:rPr>
          <w:rFonts w:ascii="Times New Roman"/>
        </w:rPr>
        <w:t>指抵抗水流对二次衬砌混凝土面的冲刷、磨损和空蚀破坏。</w:t>
      </w:r>
    </w:p>
    <w:p>
      <w:pPr>
        <w:pStyle w:val="223"/>
        <w:ind w:left="420" w:hanging="420" w:hangingChars="200"/>
        <w:rPr>
          <w:rFonts w:ascii="Times New Roman" w:eastAsia="黑体"/>
        </w:rPr>
      </w:pPr>
      <w:bookmarkStart w:id="75" w:name="_Toc68013571"/>
      <w:bookmarkEnd w:id="75"/>
      <w:bookmarkStart w:id="76" w:name="_Toc67909515"/>
      <w:bookmarkEnd w:id="76"/>
      <w:bookmarkStart w:id="77" w:name="_Toc67909516"/>
      <w:bookmarkEnd w:id="77"/>
      <w:bookmarkStart w:id="78" w:name="_Toc65853588"/>
      <w:bookmarkEnd w:id="78"/>
      <w:bookmarkStart w:id="79" w:name="_Toc69230939"/>
      <w:bookmarkEnd w:id="79"/>
      <w:bookmarkStart w:id="80" w:name="_Toc65662405"/>
      <w:bookmarkEnd w:id="80"/>
      <w:r>
        <w:rPr>
          <w:rFonts w:ascii="Times New Roman" w:eastAsia="黑体"/>
        </w:rPr>
        <w:br w:type="textWrapping"/>
      </w:r>
      <w:r>
        <w:rPr>
          <w:rFonts w:ascii="Times New Roman" w:eastAsia="黑体"/>
        </w:rPr>
        <w:t>模筑法  moulding method</w:t>
      </w:r>
    </w:p>
    <w:p>
      <w:pPr>
        <w:pStyle w:val="56"/>
        <w:ind w:firstLine="420"/>
        <w:rPr>
          <w:rFonts w:ascii="Times New Roman"/>
        </w:rPr>
      </w:pPr>
      <w:r>
        <w:rPr>
          <w:rFonts w:ascii="Times New Roman"/>
        </w:rPr>
        <w:t>指立拱架或模板后修筑隧道衬砌的一种方法。</w:t>
      </w:r>
      <w:bookmarkStart w:id="81" w:name="_Toc69230940"/>
      <w:bookmarkEnd w:id="81"/>
      <w:bookmarkStart w:id="82" w:name="_Toc68013572"/>
      <w:bookmarkEnd w:id="82"/>
    </w:p>
    <w:p>
      <w:pPr>
        <w:pStyle w:val="223"/>
        <w:ind w:left="420" w:hanging="420" w:hangingChars="200"/>
        <w:rPr>
          <w:rFonts w:ascii="Times New Roman"/>
        </w:rPr>
      </w:pPr>
      <w:r>
        <w:rPr>
          <w:rFonts w:ascii="Times New Roman" w:eastAsia="黑体"/>
        </w:rPr>
        <w:t xml:space="preserve"> </w:t>
      </w:r>
      <w:r>
        <w:rPr>
          <w:rFonts w:ascii="Times New Roman" w:eastAsia="黑体"/>
        </w:rPr>
        <w:br w:type="textWrapping"/>
      </w:r>
      <w:bookmarkStart w:id="83" w:name="_Toc68013573"/>
      <w:bookmarkEnd w:id="83"/>
      <w:bookmarkStart w:id="84" w:name="_Toc69230941"/>
      <w:bookmarkEnd w:id="84"/>
      <w:bookmarkStart w:id="85" w:name="_Toc67909517"/>
      <w:bookmarkEnd w:id="85"/>
      <w:r>
        <w:rPr>
          <w:rFonts w:ascii="Times New Roman" w:eastAsia="黑体"/>
        </w:rPr>
        <w:t>螺栓手孔bolt handhole</w:t>
      </w:r>
    </w:p>
    <w:p>
      <w:pPr>
        <w:pStyle w:val="56"/>
        <w:ind w:firstLine="420"/>
        <w:rPr>
          <w:rFonts w:ascii="Times New Roman"/>
        </w:rPr>
      </w:pPr>
      <w:r>
        <w:rPr>
          <w:rFonts w:ascii="Times New Roman"/>
        </w:rPr>
        <w:t>指管片结构上用于螺栓安装的预留孔。</w:t>
      </w:r>
    </w:p>
    <w:p>
      <w:pPr>
        <w:pStyle w:val="223"/>
        <w:ind w:left="420" w:hanging="420" w:hangingChars="200"/>
        <w:rPr>
          <w:rFonts w:ascii="Times New Roman" w:eastAsia="黑体"/>
        </w:rPr>
      </w:pPr>
      <w:bookmarkStart w:id="86" w:name="_Toc67909519"/>
      <w:bookmarkEnd w:id="86"/>
      <w:bookmarkStart w:id="87" w:name="_Toc68013574"/>
      <w:bookmarkEnd w:id="87"/>
      <w:bookmarkStart w:id="88" w:name="_Toc69230942"/>
      <w:bookmarkEnd w:id="88"/>
      <w:bookmarkStart w:id="89" w:name="_Toc67909518"/>
      <w:bookmarkEnd w:id="89"/>
      <w:r>
        <w:rPr>
          <w:rFonts w:ascii="Times New Roman" w:eastAsia="黑体"/>
        </w:rPr>
        <w:br w:type="textWrapping"/>
      </w:r>
      <w:r>
        <w:rPr>
          <w:rFonts w:ascii="Times New Roman" w:eastAsia="黑体"/>
        </w:rPr>
        <w:t xml:space="preserve">结构健康监测  structural health monitoring </w:t>
      </w:r>
    </w:p>
    <w:p>
      <w:pPr>
        <w:pStyle w:val="56"/>
        <w:ind w:firstLine="420"/>
        <w:rPr>
          <w:rFonts w:ascii="Times New Roman"/>
        </w:rPr>
      </w:pPr>
      <w:r>
        <w:rPr>
          <w:rFonts w:ascii="Times New Roman"/>
        </w:rPr>
        <w:t>利用现场的、无损的方式采集结构与环境信息，分析结构反应的各种特征，获取结构因环境因素、损伤或退化而造成的改变。</w:t>
      </w:r>
    </w:p>
    <w:p>
      <w:pPr>
        <w:pStyle w:val="56"/>
        <w:ind w:firstLine="420"/>
      </w:pPr>
      <w:r>
        <w:br w:type="page"/>
      </w:r>
    </w:p>
    <w:p>
      <w:pPr>
        <w:pStyle w:val="104"/>
        <w:spacing w:before="312" w:after="312"/>
      </w:pPr>
      <w:bookmarkStart w:id="90" w:name="_Toc69230944"/>
      <w:bookmarkStart w:id="91" w:name="_Toc62634951"/>
      <w:bookmarkStart w:id="92" w:name="_Toc129276111"/>
      <w:bookmarkStart w:id="93" w:name="_Toc130215159"/>
      <w:bookmarkStart w:id="94" w:name="_Toc130218746"/>
      <w:r>
        <w:t>基本规定</w:t>
      </w:r>
      <w:bookmarkEnd w:id="90"/>
      <w:bookmarkEnd w:id="91"/>
      <w:bookmarkEnd w:id="92"/>
      <w:bookmarkEnd w:id="93"/>
      <w:bookmarkEnd w:id="94"/>
    </w:p>
    <w:p>
      <w:pPr>
        <w:pStyle w:val="162"/>
        <w:ind w:left="0"/>
      </w:pPr>
      <w:r>
        <w:rPr>
          <w:rFonts w:hint="eastAsia"/>
        </w:rPr>
        <w:t>盾构法输水隧道现浇钢筋混凝土二次衬砌的设计、施工、质量检验和验收标准，应综合考虑工程用途、工程地质与水文地质条件、工程特点、材料性能、施工条件、工期要求和工程造价等因素，做到安全可靠、技术先进、经济合理和绿色环保。</w:t>
      </w:r>
    </w:p>
    <w:p>
      <w:pPr>
        <w:pStyle w:val="162"/>
        <w:ind w:left="0"/>
      </w:pPr>
      <w:r>
        <w:rPr>
          <w:rFonts w:hint="eastAsia"/>
        </w:rPr>
        <w:t>盾构法输水隧道现浇钢筋混凝土二次衬砌的设计与施工应充分结合服役环境、水质条件、服务年限等因素，设计可按叠合式、复合式两种类型进行设计，施工宜采用机械化配套模筑法施工。</w:t>
      </w:r>
    </w:p>
    <w:p>
      <w:pPr>
        <w:pStyle w:val="162"/>
        <w:ind w:left="0"/>
      </w:pPr>
      <w:r>
        <w:rPr>
          <w:rFonts w:hint="eastAsia"/>
        </w:rPr>
        <w:t>盾构法输水隧道现浇钢筋混凝土二次衬砌应在设计阶段应提出结构健康监测技术要求，相关设施应与二次衬砌同期实施。</w:t>
      </w:r>
    </w:p>
    <w:p>
      <w:pPr>
        <w:pStyle w:val="162"/>
        <w:ind w:left="0"/>
      </w:pPr>
      <w:r>
        <w:rPr>
          <w:rFonts w:hint="eastAsia"/>
        </w:rPr>
        <w:t>盾构法输水隧道现浇钢筋混凝土二次衬砌施工使用的材料、产品和设备，应符合国家现行有关标准、设计文件和施工方案的规定。</w:t>
      </w:r>
    </w:p>
    <w:p>
      <w:pPr>
        <w:pStyle w:val="162"/>
        <w:ind w:left="0"/>
      </w:pPr>
      <w:r>
        <w:rPr>
          <w:rFonts w:hint="eastAsia"/>
        </w:rPr>
        <w:t>盾构法输水隧道现浇钢筋混凝土二次衬砌施工应具有施工管理体系，应建立质量控制和检验制度，并应采取安全、劳动保护和环境保护措施。</w:t>
      </w:r>
    </w:p>
    <w:p>
      <w:pPr>
        <w:pStyle w:val="162"/>
        <w:ind w:left="0"/>
      </w:pPr>
      <w:r>
        <w:t>盾构法隧道现浇钢筋混凝土二次衬砌工程的</w:t>
      </w:r>
      <w:r>
        <w:rPr>
          <w:rFonts w:hint="eastAsia"/>
        </w:rPr>
        <w:t>材料、</w:t>
      </w:r>
      <w:r>
        <w:t>设计、施工</w:t>
      </w:r>
      <w:r>
        <w:rPr>
          <w:rFonts w:hint="eastAsia"/>
        </w:rPr>
        <w:t>、健康监测</w:t>
      </w:r>
      <w:r>
        <w:t>及验收除应符合本规程外，尚应符合国家现行有关标准的规定。</w:t>
      </w:r>
    </w:p>
    <w:p>
      <w:pPr>
        <w:pStyle w:val="104"/>
        <w:spacing w:before="312" w:after="312"/>
        <w:rPr>
          <w:rFonts w:ascii="Times New Roman"/>
          <w:szCs w:val="22"/>
        </w:rPr>
      </w:pPr>
      <w:bookmarkStart w:id="95" w:name="_Toc129276112"/>
      <w:bookmarkStart w:id="96" w:name="_Toc130215160"/>
      <w:bookmarkStart w:id="97" w:name="_Toc130218747"/>
      <w:r>
        <w:rPr>
          <w:rFonts w:ascii="Times New Roman"/>
          <w:szCs w:val="22"/>
        </w:rPr>
        <w:t>材料</w:t>
      </w:r>
      <w:bookmarkEnd w:id="95"/>
      <w:bookmarkEnd w:id="96"/>
      <w:bookmarkEnd w:id="97"/>
    </w:p>
    <w:p>
      <w:pPr>
        <w:pStyle w:val="105"/>
        <w:spacing w:before="156" w:after="156"/>
        <w:ind w:left="0"/>
        <w:rPr>
          <w:rFonts w:ascii="Times New Roman"/>
        </w:rPr>
      </w:pPr>
      <w:bookmarkStart w:id="98" w:name="_Toc129276113"/>
      <w:bookmarkStart w:id="99" w:name="_Toc130215161"/>
      <w:bookmarkStart w:id="100" w:name="_Toc130218748"/>
      <w:r>
        <w:rPr>
          <w:rFonts w:ascii="Times New Roman"/>
        </w:rPr>
        <w:t>一般规定</w:t>
      </w:r>
      <w:bookmarkEnd w:id="98"/>
      <w:bookmarkEnd w:id="99"/>
      <w:bookmarkEnd w:id="100"/>
    </w:p>
    <w:p>
      <w:pPr>
        <w:pStyle w:val="165"/>
        <w:ind w:left="0"/>
        <w:rPr>
          <w:rFonts w:ascii="Times New Roman"/>
        </w:rPr>
      </w:pPr>
      <w:r>
        <w:rPr>
          <w:rFonts w:hint="eastAsia" w:ascii="Times New Roman"/>
        </w:rPr>
        <w:t>盾构法输水隧道</w:t>
      </w:r>
      <w:r>
        <w:rPr>
          <w:rFonts w:ascii="Times New Roman"/>
        </w:rPr>
        <w:t>现浇钢筋混凝土二次衬砌原材料、半成品和成品运至现场后，应按相关标准进行验收、检验。</w:t>
      </w:r>
    </w:p>
    <w:p>
      <w:pPr>
        <w:pStyle w:val="165"/>
        <w:ind w:left="0"/>
        <w:rPr>
          <w:rFonts w:ascii="Times New Roman"/>
        </w:rPr>
      </w:pPr>
      <w:r>
        <w:rPr>
          <w:rFonts w:hint="eastAsia" w:ascii="Times New Roman"/>
        </w:rPr>
        <w:t>二次衬砌材料应满足服役环境中相关耐久性要求，混凝土耐久性要求应根据结构设计使用年限进行确定。</w:t>
      </w:r>
    </w:p>
    <w:p>
      <w:pPr>
        <w:pStyle w:val="105"/>
        <w:spacing w:before="156" w:after="156"/>
        <w:ind w:left="0"/>
        <w:rPr>
          <w:rFonts w:ascii="Times New Roman"/>
        </w:rPr>
      </w:pPr>
      <w:bookmarkStart w:id="101" w:name="_Toc129276114"/>
      <w:bookmarkStart w:id="102" w:name="_Toc130215162"/>
      <w:bookmarkStart w:id="103" w:name="_Toc130218749"/>
      <w:r>
        <w:rPr>
          <w:rFonts w:ascii="Times New Roman"/>
        </w:rPr>
        <w:t>混凝土</w:t>
      </w:r>
      <w:bookmarkEnd w:id="101"/>
      <w:bookmarkEnd w:id="102"/>
      <w:bookmarkEnd w:id="103"/>
    </w:p>
    <w:p>
      <w:pPr>
        <w:pStyle w:val="165"/>
        <w:ind w:left="0"/>
        <w:rPr>
          <w:rFonts w:ascii="Times New Roman"/>
        </w:rPr>
      </w:pPr>
      <w:r>
        <w:rPr>
          <w:rFonts w:ascii="Times New Roman"/>
        </w:rPr>
        <w:t>用于配制</w:t>
      </w:r>
      <w:r>
        <w:rPr>
          <w:rFonts w:hint="eastAsia" w:ascii="Times New Roman"/>
        </w:rPr>
        <w:t>二次衬砌混凝土</w:t>
      </w:r>
      <w:r>
        <w:rPr>
          <w:rFonts w:ascii="Times New Roman"/>
        </w:rPr>
        <w:t>的原材料除应符合《混凝土结构工程施工及验收规范》GB</w:t>
      </w:r>
      <w:r>
        <w:rPr>
          <w:rFonts w:hint="eastAsia" w:ascii="Times New Roman"/>
        </w:rPr>
        <w:t xml:space="preserve"> </w:t>
      </w:r>
      <w:r>
        <w:rPr>
          <w:rFonts w:ascii="Times New Roman"/>
        </w:rPr>
        <w:t xml:space="preserve">50204规定外，还应符合下列要求： </w:t>
      </w:r>
    </w:p>
    <w:p>
      <w:pPr>
        <w:pStyle w:val="174"/>
      </w:pPr>
      <w:r>
        <w:rPr>
          <w:rFonts w:hint="eastAsia"/>
        </w:rPr>
        <w:t>应选用强度等级为42.5以上的普通硅酸盐水泥、中热硅酸盐水泥或硅酸盐水泥；</w:t>
      </w:r>
    </w:p>
    <w:p>
      <w:pPr>
        <w:pStyle w:val="174"/>
      </w:pPr>
      <w:r>
        <w:t>应选用</w:t>
      </w:r>
      <w:r>
        <w:rPr>
          <w:rFonts w:hint="eastAsia"/>
        </w:rPr>
        <w:t>符合《普通混凝土用砂、石质量及检验方法标准》JGJ 52中规定的中粗砂，采用天然砂时含泥量应不大于3.0%，泥块含量应不大于1.0%；</w:t>
      </w:r>
    </w:p>
    <w:p>
      <w:pPr>
        <w:pStyle w:val="174"/>
      </w:pPr>
      <w:r>
        <w:t>应选用</w:t>
      </w:r>
      <w:r>
        <w:rPr>
          <w:rFonts w:hint="eastAsia"/>
        </w:rPr>
        <w:t>符合《普通混凝土用砂、石质量及检验方法标准》JGJ 52中规定</w:t>
      </w:r>
      <w:r>
        <w:t>级配良好的天然或人工碎石，最大公称粒径不宜超过20mm，当掺用钢纤维时混凝土骨料最大公称粒径不宜大于16mm</w:t>
      </w:r>
      <w:r>
        <w:rPr>
          <w:rFonts w:hint="eastAsia"/>
        </w:rPr>
        <w:t>，含泥量应不大于1</w:t>
      </w:r>
      <w:r>
        <w:t>.0%</w:t>
      </w:r>
      <w:r>
        <w:rPr>
          <w:rFonts w:hint="eastAsia"/>
        </w:rPr>
        <w:t>，泥块含量应不大于0</w:t>
      </w:r>
      <w:r>
        <w:t>.5%；</w:t>
      </w:r>
    </w:p>
    <w:p>
      <w:pPr>
        <w:pStyle w:val="174"/>
      </w:pPr>
      <w:r>
        <w:t>应掺用高效减水剂，宜优先选用低收缩的聚羧酸盐等高效减水剂，有抗冻要求的应论证加入引气剂的必要性；</w:t>
      </w:r>
    </w:p>
    <w:p>
      <w:pPr>
        <w:pStyle w:val="174"/>
      </w:pPr>
      <w:r>
        <w:rPr>
          <w:rFonts w:hint="eastAsia"/>
        </w:rPr>
        <w:t>C40混凝土应掺用Ⅰ、Ⅱ级粉煤灰，硅灰，磨细矿渣粉等活性掺和料；C50及以上混凝土应选用Ⅰ级粉煤灰，S95级矿粉，掺合料用量应通过优化试验确定，其品质应符合《高强高性能混凝土用矿物外加剂》GB/T 18736的规定；</w:t>
      </w:r>
    </w:p>
    <w:p>
      <w:pPr>
        <w:pStyle w:val="174"/>
      </w:pPr>
      <w:r>
        <w:rPr>
          <w:rFonts w:hint="eastAsia"/>
        </w:rPr>
        <w:t>混凝土所用的轻粗骨料在使用前，宜采用浸水、洒水或加压预湿等措施进行预湿处理；</w:t>
      </w:r>
    </w:p>
    <w:p>
      <w:pPr>
        <w:pStyle w:val="174"/>
      </w:pPr>
      <w:r>
        <w:t>原材料应通过试验优选确定，选择性能稳定、生产厂家相对固定的产品。原材料变动时，应进行适应性试验。</w:t>
      </w:r>
    </w:p>
    <w:p>
      <w:pPr>
        <w:pStyle w:val="165"/>
        <w:ind w:left="0"/>
        <w:rPr>
          <w:rFonts w:ascii="Times New Roman"/>
        </w:rPr>
      </w:pPr>
      <w:r>
        <w:rPr>
          <w:rFonts w:hint="eastAsia" w:ascii="Times New Roman"/>
        </w:rPr>
        <w:t>二次衬砌</w:t>
      </w:r>
      <w:r>
        <w:rPr>
          <w:rFonts w:ascii="Times New Roman"/>
        </w:rPr>
        <w:t>混凝土性能应满足以下要求：</w:t>
      </w:r>
    </w:p>
    <w:p>
      <w:pPr>
        <w:pStyle w:val="174"/>
        <w:numPr>
          <w:ilvl w:val="0"/>
          <w:numId w:val="32"/>
        </w:numPr>
      </w:pPr>
      <w:r>
        <w:rPr>
          <w:rFonts w:hint="eastAsia"/>
        </w:rPr>
        <w:t>混凝土应通过配合比优化设计试验，选择抗冲磨性、和易性、体积稳定性、耐久性和经济性较优的配合比，</w:t>
      </w:r>
      <w:r>
        <w:t>混凝土</w:t>
      </w:r>
      <w:r>
        <w:rPr>
          <w:rFonts w:hint="eastAsia"/>
        </w:rPr>
        <w:t>强</w:t>
      </w:r>
      <w:r>
        <w:t>度等级不宜低于C40</w:t>
      </w:r>
      <w:r>
        <w:rPr>
          <w:rFonts w:hint="eastAsia"/>
        </w:rPr>
        <w:t>，混凝土水胶比宜小于0</w:t>
      </w:r>
      <w:r>
        <w:t>.42</w:t>
      </w:r>
      <w:r>
        <w:rPr>
          <w:rFonts w:hint="eastAsia"/>
        </w:rPr>
        <w:t>；</w:t>
      </w:r>
    </w:p>
    <w:p>
      <w:pPr>
        <w:pStyle w:val="174"/>
      </w:pPr>
      <w:r>
        <w:t>混凝土应采用防水混凝土，抗渗等级不应低于P8</w:t>
      </w:r>
      <w:r>
        <w:rPr>
          <w:rFonts w:hint="eastAsia"/>
        </w:rPr>
        <w:t>；</w:t>
      </w:r>
    </w:p>
    <w:p>
      <w:pPr>
        <w:pStyle w:val="174"/>
      </w:pPr>
      <w:r>
        <w:t>混凝土</w:t>
      </w:r>
      <w:r>
        <w:rPr>
          <w:rFonts w:hint="eastAsia"/>
        </w:rPr>
        <w:t>应采用耐久性、工作性和体积稳定性较好的混凝土，电通量值应小于1000c，抗冻等级不应低于F300，</w:t>
      </w:r>
      <w:r>
        <w:t>宜采用补偿收缩混凝土，</w:t>
      </w:r>
      <w:r>
        <w:rPr>
          <w:rFonts w:hint="eastAsia"/>
        </w:rPr>
        <w:t>按《混凝土膨胀剂》GB/T 23439中实验方法测得28d限制膨胀率应大于0.015%；</w:t>
      </w:r>
      <w:r>
        <w:t>宜采用自密实混凝土，</w:t>
      </w:r>
      <w:r>
        <w:rPr>
          <w:rFonts w:hint="eastAsia"/>
        </w:rPr>
        <w:t>自密实坍落扩展度性能等级不宜小于SF2等级，间隙通过性不宜低于PA2等级，抗离析性不宜低于SR2等级；可加入纤维抵抗结构收缩和开裂，为避免防止化学腐蚀带来的影响，纤维宜选用无机矿物纤维类；</w:t>
      </w:r>
    </w:p>
    <w:p>
      <w:pPr>
        <w:pStyle w:val="174"/>
      </w:pPr>
      <w:r>
        <w:rPr>
          <w:rFonts w:hint="eastAsia"/>
        </w:rPr>
        <w:t>预应力筋的锚头应无收缩细石混凝土或水泥基聚合物封端。</w:t>
      </w:r>
    </w:p>
    <w:p>
      <w:pPr>
        <w:pStyle w:val="165"/>
        <w:ind w:left="0"/>
      </w:pPr>
      <w:r>
        <w:rPr>
          <w:rFonts w:hint="eastAsia"/>
        </w:rPr>
        <w:t>二次衬砌混凝土拌合应符合以下规定：</w:t>
      </w:r>
    </w:p>
    <w:p>
      <w:pPr>
        <w:pStyle w:val="174"/>
        <w:numPr>
          <w:ilvl w:val="0"/>
          <w:numId w:val="33"/>
        </w:numPr>
      </w:pPr>
      <w:r>
        <w:rPr>
          <w:rFonts w:hint="eastAsia"/>
        </w:rPr>
        <w:t>混凝土应采用集中搅拌方式生产，生产过程应符合现行国家标准《预拌混凝土》GB/T 14902的要求；</w:t>
      </w:r>
    </w:p>
    <w:p>
      <w:pPr>
        <w:pStyle w:val="174"/>
      </w:pPr>
      <w:r>
        <w:rPr>
          <w:rFonts w:hint="eastAsia"/>
        </w:rPr>
        <w:t>二次衬砌混凝土搅拌时间较普通混凝土搅拌时间应适当延长</w:t>
      </w:r>
      <w:r>
        <w:t>20s</w:t>
      </w:r>
      <w:r>
        <w:rPr>
          <w:rFonts w:hint="eastAsia" w:hAnsi="宋体"/>
        </w:rPr>
        <w:t>～</w:t>
      </w:r>
      <w:r>
        <w:t>30s</w:t>
      </w:r>
      <w:r>
        <w:rPr>
          <w:rFonts w:hint="eastAsia"/>
        </w:rPr>
        <w:t>；</w:t>
      </w:r>
    </w:p>
    <w:p>
      <w:pPr>
        <w:pStyle w:val="174"/>
      </w:pPr>
      <w:r>
        <w:rPr>
          <w:rFonts w:hint="eastAsia"/>
        </w:rPr>
        <w:t>原材料的计量应按质量计，计量允许偏差应符合表1的规定。</w:t>
      </w:r>
    </w:p>
    <w:p>
      <w:pPr>
        <w:pStyle w:val="112"/>
        <w:spacing w:before="156" w:after="156"/>
      </w:pPr>
      <w:r>
        <w:rPr>
          <w:rFonts w:hint="eastAsia"/>
        </w:rPr>
        <w:t>原材料计量允许偏差</w:t>
      </w:r>
    </w:p>
    <w:tbl>
      <w:tblPr>
        <w:tblStyle w:val="27"/>
        <w:tblW w:w="4296" w:type="pct"/>
        <w:tblInd w:w="675"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111"/>
        <w:gridCol w:w="2083"/>
        <w:gridCol w:w="1111"/>
        <w:gridCol w:w="973"/>
        <w:gridCol w:w="831"/>
        <w:gridCol w:w="973"/>
        <w:gridCol w:w="97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690" w:type="pct"/>
            <w:tcBorders>
              <w:top w:val="single" w:color="auto" w:sz="8"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序号</w:t>
            </w:r>
          </w:p>
        </w:tc>
        <w:tc>
          <w:tcPr>
            <w:tcW w:w="1293" w:type="pct"/>
            <w:tcBorders>
              <w:top w:val="single" w:color="auto" w:sz="8"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原材料品种</w:t>
            </w:r>
          </w:p>
        </w:tc>
        <w:tc>
          <w:tcPr>
            <w:tcW w:w="690" w:type="pct"/>
            <w:tcBorders>
              <w:top w:val="single" w:color="auto" w:sz="8"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胶凝材料</w:t>
            </w:r>
          </w:p>
          <w:p>
            <w:pPr>
              <w:pStyle w:val="56"/>
              <w:ind w:firstLine="0" w:firstLineChars="0"/>
              <w:jc w:val="center"/>
              <w:rPr>
                <w:rFonts w:hAnsi="宋体"/>
                <w:sz w:val="18"/>
                <w:szCs w:val="18"/>
              </w:rPr>
            </w:pPr>
            <w:r>
              <w:rPr>
                <w:rFonts w:hint="eastAsia" w:hAnsi="宋体"/>
                <w:sz w:val="18"/>
                <w:szCs w:val="18"/>
              </w:rPr>
              <w:t>（%）</w:t>
            </w:r>
          </w:p>
        </w:tc>
        <w:tc>
          <w:tcPr>
            <w:tcW w:w="604" w:type="pct"/>
            <w:tcBorders>
              <w:top w:val="single" w:color="auto" w:sz="8"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骨料</w:t>
            </w:r>
          </w:p>
          <w:p>
            <w:pPr>
              <w:pStyle w:val="56"/>
              <w:ind w:firstLine="0" w:firstLineChars="0"/>
              <w:jc w:val="center"/>
              <w:rPr>
                <w:rFonts w:hAnsi="宋体"/>
                <w:sz w:val="18"/>
                <w:szCs w:val="18"/>
              </w:rPr>
            </w:pPr>
            <w:r>
              <w:rPr>
                <w:rFonts w:hint="eastAsia" w:hAnsi="宋体"/>
                <w:sz w:val="18"/>
                <w:szCs w:val="18"/>
              </w:rPr>
              <w:t>（%）</w:t>
            </w:r>
          </w:p>
        </w:tc>
        <w:tc>
          <w:tcPr>
            <w:tcW w:w="516" w:type="pct"/>
            <w:tcBorders>
              <w:top w:val="single" w:color="auto" w:sz="8"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水</w:t>
            </w:r>
          </w:p>
          <w:p>
            <w:pPr>
              <w:pStyle w:val="56"/>
              <w:ind w:firstLine="0" w:firstLineChars="0"/>
              <w:jc w:val="center"/>
              <w:rPr>
                <w:rFonts w:hAnsi="宋体"/>
                <w:sz w:val="18"/>
                <w:szCs w:val="18"/>
              </w:rPr>
            </w:pPr>
            <w:r>
              <w:rPr>
                <w:rFonts w:hint="eastAsia" w:hAnsi="宋体"/>
                <w:sz w:val="18"/>
                <w:szCs w:val="18"/>
              </w:rPr>
              <w:t>（%）</w:t>
            </w:r>
          </w:p>
        </w:tc>
        <w:tc>
          <w:tcPr>
            <w:tcW w:w="604" w:type="pct"/>
            <w:tcBorders>
              <w:top w:val="single" w:color="auto" w:sz="8"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外加剂</w:t>
            </w:r>
          </w:p>
          <w:p>
            <w:pPr>
              <w:pStyle w:val="56"/>
              <w:ind w:firstLine="0" w:firstLineChars="0"/>
              <w:jc w:val="center"/>
              <w:rPr>
                <w:rFonts w:hAnsi="宋体"/>
                <w:sz w:val="18"/>
                <w:szCs w:val="18"/>
              </w:rPr>
            </w:pPr>
            <w:r>
              <w:rPr>
                <w:rFonts w:hint="eastAsia" w:hAnsi="宋体"/>
                <w:sz w:val="18"/>
                <w:szCs w:val="18"/>
              </w:rPr>
              <w:t>（%）</w:t>
            </w:r>
          </w:p>
        </w:tc>
        <w:tc>
          <w:tcPr>
            <w:tcW w:w="603" w:type="pct"/>
            <w:tcBorders>
              <w:top w:val="single" w:color="auto" w:sz="8"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掺合料（%）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690" w:type="pct"/>
            <w:tcBorders>
              <w:top w:val="single" w:color="auto" w:sz="8" w:space="0"/>
              <w:bottom w:val="single" w:color="auto" w:sz="4"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1</w:t>
            </w:r>
          </w:p>
        </w:tc>
        <w:tc>
          <w:tcPr>
            <w:tcW w:w="1293" w:type="pct"/>
            <w:tcBorders>
              <w:top w:val="single" w:color="auto" w:sz="8" w:space="0"/>
              <w:bottom w:val="single" w:color="auto" w:sz="4"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每盘计量允许偏差</w:t>
            </w:r>
          </w:p>
        </w:tc>
        <w:tc>
          <w:tcPr>
            <w:tcW w:w="690" w:type="pct"/>
            <w:tcBorders>
              <w:top w:val="single" w:color="auto" w:sz="8" w:space="0"/>
              <w:bottom w:val="single" w:color="auto" w:sz="4"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±2</w:t>
            </w:r>
          </w:p>
        </w:tc>
        <w:tc>
          <w:tcPr>
            <w:tcW w:w="604" w:type="pct"/>
            <w:tcBorders>
              <w:top w:val="single" w:color="auto" w:sz="8" w:space="0"/>
              <w:bottom w:val="single" w:color="auto" w:sz="4"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3</w:t>
            </w:r>
          </w:p>
        </w:tc>
        <w:tc>
          <w:tcPr>
            <w:tcW w:w="516" w:type="pct"/>
            <w:tcBorders>
              <w:top w:val="single" w:color="auto" w:sz="8" w:space="0"/>
              <w:bottom w:val="single" w:color="auto" w:sz="4"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1</w:t>
            </w:r>
          </w:p>
        </w:tc>
        <w:tc>
          <w:tcPr>
            <w:tcW w:w="604" w:type="pct"/>
            <w:tcBorders>
              <w:top w:val="single" w:color="auto" w:sz="8" w:space="0"/>
              <w:bottom w:val="single" w:color="auto" w:sz="4"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1</w:t>
            </w:r>
          </w:p>
        </w:tc>
        <w:tc>
          <w:tcPr>
            <w:tcW w:w="603" w:type="pct"/>
            <w:tcBorders>
              <w:top w:val="single" w:color="auto" w:sz="8" w:space="0"/>
              <w:bottom w:val="single" w:color="auto" w:sz="4"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690" w:type="pct"/>
            <w:tcBorders>
              <w:top w:val="single" w:color="auto" w:sz="4"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2</w:t>
            </w:r>
          </w:p>
        </w:tc>
        <w:tc>
          <w:tcPr>
            <w:tcW w:w="1293" w:type="pct"/>
            <w:tcBorders>
              <w:top w:val="single" w:color="auto" w:sz="4"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累计计量允许偏差</w:t>
            </w:r>
          </w:p>
        </w:tc>
        <w:tc>
          <w:tcPr>
            <w:tcW w:w="690" w:type="pct"/>
            <w:tcBorders>
              <w:top w:val="single" w:color="auto" w:sz="4"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1</w:t>
            </w:r>
          </w:p>
        </w:tc>
        <w:tc>
          <w:tcPr>
            <w:tcW w:w="604" w:type="pct"/>
            <w:tcBorders>
              <w:top w:val="single" w:color="auto" w:sz="4"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2</w:t>
            </w:r>
          </w:p>
        </w:tc>
        <w:tc>
          <w:tcPr>
            <w:tcW w:w="516" w:type="pct"/>
            <w:tcBorders>
              <w:top w:val="single" w:color="auto" w:sz="4"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1</w:t>
            </w:r>
          </w:p>
        </w:tc>
        <w:tc>
          <w:tcPr>
            <w:tcW w:w="604" w:type="pct"/>
            <w:tcBorders>
              <w:top w:val="single" w:color="auto" w:sz="4"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1</w:t>
            </w:r>
          </w:p>
        </w:tc>
        <w:tc>
          <w:tcPr>
            <w:tcW w:w="603" w:type="pct"/>
            <w:tcBorders>
              <w:top w:val="single" w:color="auto" w:sz="4" w:space="0"/>
              <w:bottom w:val="single" w:color="auto" w:sz="8" w:space="0"/>
            </w:tcBorders>
            <w:shd w:val="clear" w:color="auto" w:fill="auto"/>
            <w:vAlign w:val="center"/>
          </w:tcPr>
          <w:p>
            <w:pPr>
              <w:pStyle w:val="56"/>
              <w:ind w:firstLine="0" w:firstLineChars="0"/>
              <w:jc w:val="center"/>
              <w:rPr>
                <w:rFonts w:hAnsi="宋体"/>
                <w:sz w:val="18"/>
                <w:szCs w:val="18"/>
              </w:rPr>
            </w:pPr>
            <w:r>
              <w:rPr>
                <w:rFonts w:hint="eastAsia" w:hAnsi="宋体"/>
                <w:sz w:val="18"/>
                <w:szCs w:val="18"/>
              </w:rPr>
              <w:t>±</w:t>
            </w:r>
            <w:r>
              <w:rPr>
                <w:rFonts w:hAnsi="宋体"/>
                <w:sz w:val="18"/>
                <w:szCs w:val="18"/>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5000" w:type="pct"/>
            <w:gridSpan w:val="7"/>
            <w:tcBorders>
              <w:top w:val="single" w:color="auto" w:sz="8" w:space="0"/>
            </w:tcBorders>
            <w:shd w:val="clear" w:color="auto" w:fill="auto"/>
            <w:vAlign w:val="center"/>
          </w:tcPr>
          <w:p>
            <w:pPr>
              <w:pStyle w:val="180"/>
            </w:pPr>
            <w:r>
              <w:rPr>
                <w:rFonts w:hint="eastAsia"/>
              </w:rPr>
              <w:t>现场搅拌时原材料计量允许偏差应满足每盘计量允许偏差要求；</w:t>
            </w:r>
          </w:p>
          <w:p>
            <w:pPr>
              <w:pStyle w:val="180"/>
              <w:rPr>
                <w:rFonts w:ascii="Times New Roman"/>
              </w:rPr>
            </w:pPr>
            <w:r>
              <w:rPr>
                <w:rFonts w:hint="eastAsia" w:ascii="Times New Roman"/>
              </w:rPr>
              <w:t>累计计量允许偏差是指每一运输车中各盘混凝土的每种材料计量称的偏差。该项指标仅适用于采用计算机控制计量的搅拌站。</w:t>
            </w:r>
          </w:p>
        </w:tc>
      </w:tr>
    </w:tbl>
    <w:p>
      <w:pPr>
        <w:pStyle w:val="105"/>
        <w:spacing w:before="156" w:after="156"/>
        <w:ind w:left="0"/>
        <w:rPr>
          <w:rFonts w:ascii="Times New Roman"/>
        </w:rPr>
      </w:pPr>
      <w:bookmarkStart w:id="104" w:name="_Toc130215163"/>
      <w:bookmarkStart w:id="105" w:name="_Toc130218750"/>
      <w:bookmarkStart w:id="106" w:name="_Toc129276115"/>
      <w:r>
        <w:rPr>
          <w:rFonts w:hint="eastAsia" w:ascii="Times New Roman"/>
        </w:rPr>
        <w:t>钢筋</w:t>
      </w:r>
      <w:bookmarkEnd w:id="104"/>
      <w:bookmarkEnd w:id="105"/>
      <w:bookmarkEnd w:id="106"/>
    </w:p>
    <w:p>
      <w:pPr>
        <w:pStyle w:val="165"/>
        <w:ind w:left="0"/>
        <w:rPr>
          <w:rFonts w:ascii="Times New Roman"/>
        </w:rPr>
      </w:pPr>
      <w:r>
        <w:rPr>
          <w:rFonts w:ascii="Times New Roman"/>
        </w:rPr>
        <w:t>现浇钢筋混凝土二次衬砌</w:t>
      </w:r>
      <w:r>
        <w:rPr>
          <w:rFonts w:hint="eastAsia" w:ascii="Times New Roman"/>
        </w:rPr>
        <w:t>受力钢筋应采用HRB400级及以上钢筋，钢筋强度标准值应具有不小于95%的保证率。</w:t>
      </w:r>
    </w:p>
    <w:p>
      <w:pPr>
        <w:pStyle w:val="165"/>
        <w:ind w:left="0"/>
        <w:rPr>
          <w:rFonts w:ascii="Times New Roman"/>
        </w:rPr>
      </w:pPr>
      <w:r>
        <w:rPr>
          <w:rFonts w:ascii="Times New Roman"/>
        </w:rPr>
        <w:t>现浇钢筋混凝土</w:t>
      </w:r>
      <w:r>
        <w:rPr>
          <w:rFonts w:hint="eastAsia" w:ascii="Times New Roman"/>
        </w:rPr>
        <w:t>二次衬砌设计为预应力结构时，预应力钢筋应采用钢绞线，制作无粘结预应力筋宜选用高强度低松弛预应力钢绞线，其性能应符合现行国家示准《预应力混凝土用钢绞线》GB/T5224的规定。</w:t>
      </w:r>
    </w:p>
    <w:p>
      <w:pPr>
        <w:pStyle w:val="105"/>
        <w:spacing w:before="156" w:after="156"/>
        <w:ind w:left="0"/>
        <w:rPr>
          <w:rFonts w:ascii="Times New Roman"/>
        </w:rPr>
      </w:pPr>
      <w:bookmarkStart w:id="107" w:name="_Toc130218751"/>
      <w:bookmarkStart w:id="108" w:name="_Toc130215164"/>
      <w:bookmarkStart w:id="109" w:name="_Toc129276116"/>
      <w:r>
        <w:rPr>
          <w:rFonts w:hint="eastAsia" w:ascii="Times New Roman"/>
        </w:rPr>
        <w:t>防水材料</w:t>
      </w:r>
      <w:bookmarkEnd w:id="107"/>
      <w:bookmarkEnd w:id="108"/>
      <w:bookmarkEnd w:id="109"/>
    </w:p>
    <w:p>
      <w:pPr>
        <w:pStyle w:val="165"/>
        <w:ind w:left="0"/>
        <w:rPr>
          <w:rFonts w:ascii="Times New Roman"/>
        </w:rPr>
      </w:pPr>
      <w:r>
        <w:rPr>
          <w:rFonts w:hint="eastAsia" w:ascii="Times New Roman"/>
        </w:rPr>
        <w:t>复合式双层衬砌管片外衬与二次衬砌之间防水层应符合以下规定：</w:t>
      </w:r>
    </w:p>
    <w:p>
      <w:pPr>
        <w:pStyle w:val="174"/>
        <w:numPr>
          <w:ilvl w:val="0"/>
          <w:numId w:val="34"/>
        </w:numPr>
      </w:pPr>
      <w:r>
        <w:rPr>
          <w:rFonts w:hint="eastAsia"/>
        </w:rPr>
        <w:t>选用的土布布缓冲层材料应有良好的导水性、化学稳定性及耐久性，单位面积质量不宜小于3</w:t>
      </w:r>
      <w:r>
        <w:t>00g/</w:t>
      </w:r>
      <w:r>
        <w:rPr>
          <w:rFonts w:hint="eastAsia"/>
        </w:rPr>
        <w:t>m</w:t>
      </w:r>
      <w:r>
        <w:rPr>
          <w:rFonts w:hint="eastAsia"/>
          <w:vertAlign w:val="superscript"/>
        </w:rPr>
        <w:t>2</w:t>
      </w:r>
      <w:r>
        <w:rPr>
          <w:rFonts w:hint="eastAsia"/>
        </w:rPr>
        <w:t>；</w:t>
      </w:r>
    </w:p>
    <w:p>
      <w:pPr>
        <w:pStyle w:val="174"/>
      </w:pPr>
      <w:r>
        <w:rPr>
          <w:rFonts w:hint="eastAsia"/>
        </w:rPr>
        <w:t>防水板应选用高分子防水板，可选用聚氯乙烯（P</w:t>
      </w:r>
      <w:r>
        <w:t>VC</w:t>
      </w:r>
      <w:r>
        <w:rPr>
          <w:rFonts w:hint="eastAsia"/>
        </w:rPr>
        <w:t>）、乙烯-醋酸乙烯共聚物（E</w:t>
      </w:r>
      <w:r>
        <w:t>VA</w:t>
      </w:r>
      <w:r>
        <w:rPr>
          <w:rFonts w:hint="eastAsia"/>
        </w:rPr>
        <w:t>）、乙烯-共聚物沥青（E</w:t>
      </w:r>
      <w:r>
        <w:t>CB</w:t>
      </w:r>
      <w:r>
        <w:rPr>
          <w:rFonts w:hint="eastAsia"/>
        </w:rPr>
        <w:t>）、高密度聚乙烯（H</w:t>
      </w:r>
      <w:r>
        <w:t>DPE</w:t>
      </w:r>
      <w:r>
        <w:rPr>
          <w:rFonts w:hint="eastAsia"/>
        </w:rPr>
        <w:t>）、低密度聚乙烯类（L</w:t>
      </w:r>
      <w:r>
        <w:t>DPE</w:t>
      </w:r>
      <w:r>
        <w:rPr>
          <w:rFonts w:hint="eastAsia"/>
        </w:rPr>
        <w:t>）或其他性能相近的防水板。</w:t>
      </w:r>
    </w:p>
    <w:p>
      <w:pPr>
        <w:pStyle w:val="165"/>
        <w:ind w:left="0"/>
        <w:rPr>
          <w:rFonts w:ascii="Times New Roman"/>
        </w:rPr>
      </w:pPr>
      <w:r>
        <w:rPr>
          <w:rFonts w:ascii="Times New Roman"/>
        </w:rPr>
        <w:t>现浇钢筋混凝土</w:t>
      </w:r>
      <w:r>
        <w:rPr>
          <w:rFonts w:hint="eastAsia" w:ascii="Times New Roman"/>
        </w:rPr>
        <w:t>二次衬砌内表面采用防水涂料时，应符合以下规定：</w:t>
      </w:r>
    </w:p>
    <w:p>
      <w:pPr>
        <w:pStyle w:val="174"/>
        <w:numPr>
          <w:ilvl w:val="0"/>
          <w:numId w:val="35"/>
        </w:numPr>
      </w:pPr>
      <w:r>
        <w:rPr>
          <w:rFonts w:hint="eastAsia"/>
        </w:rPr>
        <w:t>防水涂料应具有良好的耐水性、耐久性、耐腐蚀性及耐菌性，且无毒、难燃、低污染；</w:t>
      </w:r>
    </w:p>
    <w:p>
      <w:pPr>
        <w:pStyle w:val="174"/>
      </w:pPr>
      <w:r>
        <w:rPr>
          <w:rFonts w:hint="eastAsia"/>
        </w:rPr>
        <w:t>无机防水涂料应具有良好的潮湿基面粘结性、耐磨性；</w:t>
      </w:r>
    </w:p>
    <w:p>
      <w:pPr>
        <w:pStyle w:val="174"/>
      </w:pPr>
      <w:r>
        <w:rPr>
          <w:rFonts w:hint="eastAsia"/>
        </w:rPr>
        <w:t>有机防水涂料应具有较好的延伸性及较大适应基层变形能力。</w:t>
      </w:r>
    </w:p>
    <w:p>
      <w:pPr>
        <w:pStyle w:val="165"/>
        <w:ind w:left="0"/>
        <w:rPr>
          <w:rFonts w:ascii="Times New Roman"/>
        </w:rPr>
      </w:pPr>
      <w:r>
        <w:rPr>
          <w:rFonts w:ascii="Times New Roman"/>
        </w:rPr>
        <w:t>现浇钢筋混凝土</w:t>
      </w:r>
      <w:r>
        <w:rPr>
          <w:rFonts w:hint="eastAsia" w:ascii="Times New Roman"/>
        </w:rPr>
        <w:t>二次衬砌接缝防水材料应符合以下规定：</w:t>
      </w:r>
    </w:p>
    <w:p>
      <w:pPr>
        <w:pStyle w:val="174"/>
        <w:numPr>
          <w:ilvl w:val="0"/>
          <w:numId w:val="36"/>
        </w:numPr>
      </w:pPr>
      <w:r>
        <w:rPr>
          <w:rFonts w:hint="eastAsia"/>
        </w:rPr>
        <w:t>止水带宜采用橡胶、塑料（P</w:t>
      </w:r>
      <w:r>
        <w:t>VC</w:t>
      </w:r>
      <w:r>
        <w:rPr>
          <w:rFonts w:hint="eastAsia"/>
        </w:rPr>
        <w:t>）、橡塑或金属止水带等，橡胶止水带和钢边橡胶止水带不得采用再生橡胶，塑料止水带不得采用再生塑料；</w:t>
      </w:r>
    </w:p>
    <w:p>
      <w:pPr>
        <w:pStyle w:val="174"/>
      </w:pPr>
      <w:r>
        <w:rPr>
          <w:rFonts w:hint="eastAsia"/>
        </w:rPr>
        <w:t>对于高内水压、预计变形大的地段，施工缝、变形缝施工宜选用钢边橡胶止水带；</w:t>
      </w:r>
    </w:p>
    <w:p>
      <w:pPr>
        <w:pStyle w:val="174"/>
      </w:pPr>
      <w:r>
        <w:rPr>
          <w:rFonts w:hint="eastAsia"/>
        </w:rPr>
        <w:t>中埋式止水带宜选用橡胶止水带或钢边橡胶止水带，遇有腐蚀性介质时宜选用氯丁橡胶止水带，橡胶止水带的防霉等级不应小于2级；</w:t>
      </w:r>
    </w:p>
    <w:p>
      <w:pPr>
        <w:pStyle w:val="174"/>
      </w:pPr>
      <w:r>
        <w:rPr>
          <w:rFonts w:hint="eastAsia"/>
        </w:rPr>
        <w:t>中埋式止水带的宽度应视内水压力大小、混凝土结构厚度等确定，宜控制在3</w:t>
      </w:r>
      <w:r>
        <w:t>00</w:t>
      </w:r>
      <w:r>
        <w:rPr>
          <w:rFonts w:hint="eastAsia"/>
        </w:rPr>
        <w:t>mm</w:t>
      </w:r>
      <w:r>
        <w:rPr>
          <w:rFonts w:hint="eastAsia" w:hAnsi="宋体"/>
        </w:rPr>
        <w:t>～</w:t>
      </w:r>
      <w:r>
        <w:t>350</w:t>
      </w:r>
      <w:r>
        <w:rPr>
          <w:rFonts w:hint="eastAsia"/>
        </w:rPr>
        <w:t>mm；</w:t>
      </w:r>
    </w:p>
    <w:p>
      <w:pPr>
        <w:pStyle w:val="174"/>
      </w:pPr>
      <w:r>
        <w:rPr>
          <w:rFonts w:hint="eastAsia"/>
        </w:rPr>
        <w:t>输水隧道迎水面的嵌缝材料的拉伸模量应小于0</w:t>
      </w:r>
      <w:r>
        <w:t>.4MP</w:t>
      </w:r>
      <w:r>
        <w:rPr>
          <w:rFonts w:hint="eastAsia"/>
        </w:rPr>
        <w:t>a，处于背水面的嵌缝材料的拉伸模量应不小于0</w:t>
      </w:r>
      <w:r>
        <w:t>.4MP</w:t>
      </w:r>
      <w:r>
        <w:rPr>
          <w:rFonts w:hint="eastAsia"/>
        </w:rPr>
        <w:t>a；</w:t>
      </w:r>
    </w:p>
    <w:p>
      <w:pPr>
        <w:pStyle w:val="174"/>
      </w:pPr>
      <w:r>
        <w:rPr>
          <w:rFonts w:hint="eastAsia"/>
        </w:rPr>
        <w:t>嵌缝材料应选用符合《混凝土接缝用建筑密封膏》JC/T 881要求的聚硫或聚氨酯类建筑密封膏。</w:t>
      </w:r>
    </w:p>
    <w:p>
      <w:pPr>
        <w:pStyle w:val="105"/>
        <w:spacing w:before="156" w:after="156"/>
        <w:ind w:left="0"/>
        <w:rPr>
          <w:rFonts w:ascii="Times New Roman"/>
        </w:rPr>
      </w:pPr>
      <w:bookmarkStart w:id="110" w:name="_Toc130218752"/>
      <w:bookmarkStart w:id="111" w:name="_Toc129276117"/>
      <w:bookmarkStart w:id="112" w:name="_Toc130215165"/>
      <w:r>
        <w:rPr>
          <w:rFonts w:hint="eastAsia" w:ascii="Times New Roman"/>
        </w:rPr>
        <w:t>防腐蚀材料</w:t>
      </w:r>
      <w:bookmarkEnd w:id="110"/>
      <w:bookmarkEnd w:id="111"/>
      <w:bookmarkEnd w:id="112"/>
    </w:p>
    <w:p>
      <w:pPr>
        <w:pStyle w:val="165"/>
        <w:ind w:left="0"/>
        <w:rPr>
          <w:rFonts w:ascii="Times New Roman"/>
        </w:rPr>
      </w:pPr>
      <w:r>
        <w:rPr>
          <w:rFonts w:ascii="Times New Roman"/>
        </w:rPr>
        <w:t>现浇钢筋混凝土</w:t>
      </w:r>
      <w:r>
        <w:rPr>
          <w:rFonts w:hint="eastAsia" w:ascii="Times New Roman"/>
        </w:rPr>
        <w:t>二次衬砌表面采用防腐蚀涂料时，应符合以下规定：</w:t>
      </w:r>
    </w:p>
    <w:p>
      <w:pPr>
        <w:pStyle w:val="174"/>
        <w:numPr>
          <w:ilvl w:val="0"/>
          <w:numId w:val="37"/>
        </w:numPr>
      </w:pPr>
      <w:r>
        <w:rPr>
          <w:rFonts w:hint="eastAsia"/>
        </w:rPr>
        <w:t>所选用的防腐蚀涂料基本技术指标应符合国家有关标准的规定，可采用环氧类涂料、聚氨酯类涂料、丙烯酸树脂类涂料等。</w:t>
      </w:r>
    </w:p>
    <w:p>
      <w:pPr>
        <w:pStyle w:val="174"/>
      </w:pPr>
      <w:r>
        <w:rPr>
          <w:rFonts w:hint="eastAsia"/>
        </w:rPr>
        <w:t>防腐蚀涂料品种的选用、层数、厚度等应符合涂层配套设计规定。</w:t>
      </w:r>
    </w:p>
    <w:p>
      <w:pPr>
        <w:pStyle w:val="104"/>
        <w:spacing w:before="312" w:after="312"/>
      </w:pPr>
      <w:bookmarkStart w:id="113" w:name="_Toc130218753"/>
      <w:bookmarkStart w:id="114" w:name="_Toc69230945"/>
      <w:bookmarkStart w:id="115" w:name="_Toc129276118"/>
      <w:bookmarkStart w:id="116" w:name="_Toc130215166"/>
      <w:r>
        <w:t>设计</w:t>
      </w:r>
      <w:bookmarkEnd w:id="113"/>
      <w:bookmarkEnd w:id="114"/>
      <w:bookmarkEnd w:id="115"/>
      <w:bookmarkEnd w:id="116"/>
    </w:p>
    <w:p>
      <w:pPr>
        <w:pStyle w:val="105"/>
        <w:spacing w:before="156" w:after="156"/>
        <w:ind w:left="0"/>
        <w:rPr>
          <w:rFonts w:ascii="Times New Roman"/>
        </w:rPr>
      </w:pPr>
      <w:bookmarkStart w:id="117" w:name="_Toc129276119"/>
      <w:bookmarkStart w:id="118" w:name="_Toc130218754"/>
      <w:bookmarkStart w:id="119" w:name="_Toc130215167"/>
      <w:bookmarkStart w:id="120" w:name="_Toc69230946"/>
      <w:bookmarkStart w:id="121" w:name="_Toc62634953"/>
      <w:bookmarkStart w:id="122" w:name="_Hlk56605103"/>
      <w:bookmarkStart w:id="123" w:name="_Toc69230949"/>
      <w:r>
        <w:rPr>
          <w:rFonts w:ascii="Times New Roman"/>
        </w:rPr>
        <w:t>一般规定</w:t>
      </w:r>
      <w:bookmarkEnd w:id="117"/>
      <w:bookmarkEnd w:id="118"/>
      <w:bookmarkEnd w:id="119"/>
      <w:bookmarkEnd w:id="120"/>
      <w:bookmarkEnd w:id="121"/>
    </w:p>
    <w:bookmarkEnd w:id="122"/>
    <w:p>
      <w:pPr>
        <w:pStyle w:val="165"/>
        <w:ind w:left="0"/>
        <w:rPr>
          <w:rFonts w:ascii="Times New Roman"/>
        </w:rPr>
      </w:pPr>
      <w:r>
        <w:rPr>
          <w:rFonts w:hint="eastAsia"/>
        </w:rPr>
        <w:t>盾构法输水隧道二次衬砌设计前应针对水文与地质条件、输水水质条件、与交叉建(构)筑物相互影响及施工条件进行调查分析。</w:t>
      </w:r>
    </w:p>
    <w:p>
      <w:pPr>
        <w:pStyle w:val="165"/>
        <w:ind w:left="0"/>
        <w:rPr>
          <w:rFonts w:ascii="Times New Roman"/>
        </w:rPr>
      </w:pPr>
      <w:r>
        <w:rPr>
          <w:rFonts w:ascii="Times New Roman"/>
        </w:rPr>
        <w:t>新建</w:t>
      </w:r>
      <w:r>
        <w:rPr>
          <w:rFonts w:hint="eastAsia"/>
        </w:rPr>
        <w:t>盾构法输水隧道</w:t>
      </w:r>
      <w:r>
        <w:rPr>
          <w:rFonts w:ascii="Times New Roman"/>
        </w:rPr>
        <w:t>二次衬砌设计应与</w:t>
      </w:r>
      <w:r>
        <w:rPr>
          <w:rFonts w:hint="eastAsia" w:ascii="Times New Roman"/>
        </w:rPr>
        <w:t>管片</w:t>
      </w:r>
      <w:r>
        <w:rPr>
          <w:rFonts w:ascii="Times New Roman"/>
        </w:rPr>
        <w:t>外衬统一考虑，协同设计</w:t>
      </w:r>
      <w:r>
        <w:rPr>
          <w:rFonts w:hint="eastAsia" w:ascii="Times New Roman"/>
        </w:rPr>
        <w:t>，应</w:t>
      </w:r>
      <w:r>
        <w:rPr>
          <w:rFonts w:ascii="Times New Roman"/>
        </w:rPr>
        <w:t>设计为闭合式。</w:t>
      </w:r>
    </w:p>
    <w:p>
      <w:pPr>
        <w:pStyle w:val="165"/>
        <w:ind w:left="0"/>
      </w:pPr>
      <w:r>
        <w:t>二次衬砌结构</w:t>
      </w:r>
      <w:r>
        <w:rPr>
          <w:rFonts w:hint="eastAsia"/>
        </w:rPr>
        <w:t>应</w:t>
      </w:r>
      <w:r>
        <w:t>进行结构、防水、防腐蚀</w:t>
      </w:r>
      <w:r>
        <w:rPr>
          <w:rFonts w:hint="eastAsia"/>
        </w:rPr>
        <w:t>、</w:t>
      </w:r>
      <w:r>
        <w:t>抗冲磨</w:t>
      </w:r>
      <w:r>
        <w:rPr>
          <w:rFonts w:hint="eastAsia"/>
        </w:rPr>
        <w:t>及健康监测</w:t>
      </w:r>
      <w:r>
        <w:t>设计。</w:t>
      </w:r>
    </w:p>
    <w:p>
      <w:pPr>
        <w:pStyle w:val="165"/>
        <w:ind w:left="0"/>
      </w:pPr>
      <w:r>
        <w:rPr>
          <w:rFonts w:hint="eastAsia"/>
        </w:rPr>
        <w:t>二</w:t>
      </w:r>
      <w:r>
        <w:t>次衬砌</w:t>
      </w:r>
      <w:r>
        <w:rPr>
          <w:rFonts w:hint="eastAsia"/>
        </w:rPr>
        <w:t>材料</w:t>
      </w:r>
      <w:r>
        <w:t>选型及构造应有利于减轻内部水流的腐蚀与冲磨作用，且便于施工质量控制和使用阶段的检查维护。</w:t>
      </w:r>
    </w:p>
    <w:p>
      <w:pPr>
        <w:pStyle w:val="165"/>
        <w:ind w:left="0"/>
      </w:pPr>
      <w:r>
        <w:t>二次衬砌结构的防腐蚀及抗冲磨设计应满足以下要求：</w:t>
      </w:r>
    </w:p>
    <w:p>
      <w:pPr>
        <w:pStyle w:val="174"/>
        <w:numPr>
          <w:ilvl w:val="0"/>
          <w:numId w:val="38"/>
        </w:numPr>
      </w:pPr>
      <w:r>
        <w:rPr>
          <w:rFonts w:hint="eastAsia"/>
        </w:rPr>
        <w:t>应建立质量控制和检验制度，易发生严重腐蚀和冲磨的部位应具备检修条件且应安装相应的监测装置，监测装置应能实时反馈混凝士中离子渗透和钢筋锈蚀情况等，设计应提出运行要求；</w:t>
      </w:r>
    </w:p>
    <w:p>
      <w:pPr>
        <w:pStyle w:val="174"/>
      </w:pPr>
      <w:r>
        <w:t>应根据不同隧道区段的体形特征与内水流速、流量、水流特性等因素进行设计</w:t>
      </w:r>
      <w:r>
        <w:rPr>
          <w:rFonts w:hint="eastAsia"/>
        </w:rPr>
        <w:t>；</w:t>
      </w:r>
    </w:p>
    <w:p>
      <w:pPr>
        <w:pStyle w:val="174"/>
      </w:pPr>
      <w:r>
        <w:t>应满足隧道在设计使用年限内不经大修即可满足正常安全使用</w:t>
      </w:r>
      <w:r>
        <w:rPr>
          <w:rFonts w:hint="eastAsia"/>
        </w:rPr>
        <w:t>；</w:t>
      </w:r>
    </w:p>
    <w:p>
      <w:pPr>
        <w:pStyle w:val="174"/>
      </w:pPr>
      <w:r>
        <w:t>当二次衬砌结构受内部水流多重腐蚀、冲磨因素共同作用时，设计应分别满足每种腐蚀或冲磨单独作用下的耐久性要求，并应考虑多重腐蚀、冲磨共同作用及不同防护措施的相互影响。</w:t>
      </w:r>
    </w:p>
    <w:p>
      <w:pPr>
        <w:pStyle w:val="165"/>
        <w:ind w:left="0"/>
        <w:rPr>
          <w:rFonts w:ascii="Times New Roman"/>
        </w:rPr>
      </w:pPr>
      <w:r>
        <w:t>二次衬砌结构</w:t>
      </w:r>
      <w:r>
        <w:rPr>
          <w:rFonts w:ascii="Times New Roman"/>
        </w:rPr>
        <w:t>的安全等级、设计使用年限等，应符合现行国家标准《工程结构</w:t>
      </w:r>
      <w:r>
        <w:rPr>
          <w:rFonts w:hint="eastAsia" w:ascii="Times New Roman"/>
        </w:rPr>
        <w:t>通用规范</w:t>
      </w:r>
      <w:r>
        <w:rPr>
          <w:rFonts w:ascii="Times New Roman"/>
        </w:rPr>
        <w:t>》GB 55001的有关规定；</w:t>
      </w:r>
      <w:r>
        <w:t>二次衬砌结构</w:t>
      </w:r>
      <w:r>
        <w:rPr>
          <w:rFonts w:ascii="Times New Roman"/>
        </w:rPr>
        <w:t>混凝土耐久性设计应符合现行国家标准《混凝土结构耐久性设计规范》GB/T 50476的有关规定。</w:t>
      </w:r>
    </w:p>
    <w:p>
      <w:pPr>
        <w:pStyle w:val="105"/>
        <w:spacing w:before="156" w:after="156"/>
        <w:ind w:left="0"/>
        <w:rPr>
          <w:rFonts w:ascii="Times New Roman"/>
        </w:rPr>
      </w:pPr>
      <w:bookmarkStart w:id="124" w:name="_Toc69230948"/>
      <w:bookmarkStart w:id="125" w:name="_Toc130218755"/>
      <w:bookmarkStart w:id="126" w:name="_Toc130215168"/>
      <w:bookmarkStart w:id="127" w:name="_Toc129276120"/>
      <w:r>
        <w:rPr>
          <w:rFonts w:hint="eastAsia" w:ascii="Times New Roman"/>
        </w:rPr>
        <w:t>荷载</w:t>
      </w:r>
      <w:bookmarkEnd w:id="124"/>
      <w:r>
        <w:rPr>
          <w:rFonts w:hint="eastAsia" w:ascii="Times New Roman"/>
        </w:rPr>
        <w:t>分类及组合</w:t>
      </w:r>
      <w:bookmarkEnd w:id="125"/>
      <w:bookmarkEnd w:id="126"/>
      <w:bookmarkEnd w:id="127"/>
    </w:p>
    <w:p>
      <w:pPr>
        <w:pStyle w:val="65"/>
        <w:spacing w:before="156" w:after="156"/>
      </w:pPr>
      <w:r>
        <w:rPr>
          <w:rFonts w:hint="eastAsia"/>
        </w:rPr>
        <w:t>二次衬砌与外衬管片协同设计</w:t>
      </w:r>
    </w:p>
    <w:p>
      <w:pPr>
        <w:pStyle w:val="56"/>
        <w:ind w:firstLine="420"/>
      </w:pPr>
      <w:r>
        <w:rPr>
          <w:rFonts w:hint="eastAsia"/>
        </w:rPr>
        <w:t>二次衬砌与外衬管片协同设计时，荷载应按表</w:t>
      </w:r>
      <w:r>
        <w:t>2</w:t>
      </w:r>
      <w:r>
        <w:rPr>
          <w:rFonts w:hint="eastAsia"/>
        </w:rPr>
        <w:t>进行分类。</w:t>
      </w:r>
    </w:p>
    <w:p>
      <w:pPr>
        <w:pStyle w:val="112"/>
        <w:spacing w:before="156" w:after="156"/>
      </w:pPr>
      <w:r>
        <w:t>盾构法隧道荷载分类</w:t>
      </w:r>
    </w:p>
    <w:tbl>
      <w:tblPr>
        <w:tblStyle w:val="27"/>
        <w:tblW w:w="799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935"/>
        <w:gridCol w:w="482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tcBorders>
              <w:top w:val="single" w:color="auto" w:sz="8" w:space="0"/>
              <w:bottom w:val="single" w:color="auto" w:sz="8" w:space="0"/>
            </w:tcBorders>
            <w:shd w:val="clear" w:color="auto" w:fill="auto"/>
            <w:vAlign w:val="center"/>
          </w:tcPr>
          <w:p>
            <w:pPr>
              <w:spacing w:line="240" w:lineRule="auto"/>
              <w:jc w:val="center"/>
              <w:rPr>
                <w:rFonts w:ascii="宋体" w:hAnsi="宋体"/>
                <w:sz w:val="18"/>
                <w:szCs w:val="18"/>
              </w:rPr>
            </w:pPr>
            <w:r>
              <w:rPr>
                <w:rFonts w:ascii="宋体" w:hAnsi="宋体"/>
                <w:sz w:val="18"/>
                <w:szCs w:val="18"/>
              </w:rPr>
              <w:t>序号</w:t>
            </w:r>
          </w:p>
        </w:tc>
        <w:tc>
          <w:tcPr>
            <w:tcW w:w="1935" w:type="dxa"/>
            <w:tcBorders>
              <w:top w:val="single" w:color="auto" w:sz="8" w:space="0"/>
              <w:bottom w:val="single" w:color="auto" w:sz="8" w:space="0"/>
            </w:tcBorders>
            <w:shd w:val="clear" w:color="auto" w:fill="auto"/>
            <w:vAlign w:val="center"/>
          </w:tcPr>
          <w:p>
            <w:pPr>
              <w:spacing w:line="240" w:lineRule="auto"/>
              <w:jc w:val="center"/>
              <w:rPr>
                <w:rFonts w:ascii="宋体" w:hAnsi="宋体"/>
                <w:sz w:val="18"/>
                <w:szCs w:val="18"/>
              </w:rPr>
            </w:pPr>
            <w:r>
              <w:rPr>
                <w:rFonts w:ascii="宋体" w:hAnsi="宋体"/>
                <w:sz w:val="18"/>
                <w:szCs w:val="18"/>
              </w:rPr>
              <w:t>荷载分类</w:t>
            </w:r>
          </w:p>
        </w:tc>
        <w:tc>
          <w:tcPr>
            <w:tcW w:w="4820" w:type="dxa"/>
            <w:tcBorders>
              <w:top w:val="single" w:color="auto" w:sz="8" w:space="0"/>
              <w:bottom w:val="single" w:color="auto" w:sz="8" w:space="0"/>
            </w:tcBorders>
            <w:shd w:val="clear" w:color="auto" w:fill="auto"/>
            <w:vAlign w:val="center"/>
          </w:tcPr>
          <w:p>
            <w:pPr>
              <w:spacing w:line="240" w:lineRule="auto"/>
              <w:jc w:val="center"/>
              <w:rPr>
                <w:rFonts w:ascii="宋体" w:hAnsi="宋体"/>
                <w:sz w:val="18"/>
                <w:szCs w:val="18"/>
              </w:rPr>
            </w:pPr>
            <w:r>
              <w:rPr>
                <w:rFonts w:ascii="宋体" w:hAnsi="宋体"/>
                <w:sz w:val="18"/>
                <w:szCs w:val="18"/>
              </w:rPr>
              <w:t>荷载名称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tcBorders>
              <w:top w:val="single" w:color="auto" w:sz="8" w:space="0"/>
            </w:tcBorders>
            <w:shd w:val="clear" w:color="auto" w:fill="auto"/>
            <w:vAlign w:val="center"/>
          </w:tcPr>
          <w:p>
            <w:pPr>
              <w:spacing w:line="240" w:lineRule="auto"/>
              <w:jc w:val="center"/>
              <w:rPr>
                <w:rFonts w:ascii="宋体" w:hAnsi="宋体"/>
                <w:sz w:val="18"/>
                <w:szCs w:val="18"/>
              </w:rPr>
            </w:pPr>
            <w:r>
              <w:rPr>
                <w:rFonts w:ascii="宋体" w:hAnsi="宋体"/>
                <w:sz w:val="18"/>
                <w:szCs w:val="18"/>
              </w:rPr>
              <w:t>1</w:t>
            </w:r>
          </w:p>
        </w:tc>
        <w:tc>
          <w:tcPr>
            <w:tcW w:w="1935" w:type="dxa"/>
            <w:vMerge w:val="restart"/>
            <w:tcBorders>
              <w:top w:val="single" w:color="auto" w:sz="8" w:space="0"/>
            </w:tcBorders>
            <w:shd w:val="clear" w:color="auto" w:fill="auto"/>
            <w:vAlign w:val="center"/>
          </w:tcPr>
          <w:p>
            <w:pPr>
              <w:spacing w:line="240" w:lineRule="auto"/>
              <w:jc w:val="center"/>
              <w:rPr>
                <w:rFonts w:ascii="宋体" w:hAnsi="宋体"/>
                <w:sz w:val="18"/>
                <w:szCs w:val="18"/>
              </w:rPr>
            </w:pPr>
            <w:r>
              <w:rPr>
                <w:rFonts w:ascii="宋体" w:hAnsi="宋体"/>
                <w:sz w:val="18"/>
                <w:szCs w:val="18"/>
              </w:rPr>
              <w:t>永久荷载</w:t>
            </w:r>
          </w:p>
        </w:tc>
        <w:tc>
          <w:tcPr>
            <w:tcW w:w="4820" w:type="dxa"/>
            <w:tcBorders>
              <w:top w:val="single" w:color="auto" w:sz="8" w:space="0"/>
            </w:tcBorders>
            <w:shd w:val="clear" w:color="auto" w:fill="auto"/>
            <w:vAlign w:val="center"/>
          </w:tcPr>
          <w:p>
            <w:pPr>
              <w:spacing w:line="240" w:lineRule="auto"/>
              <w:rPr>
                <w:rFonts w:ascii="宋体" w:hAnsi="宋体"/>
                <w:sz w:val="18"/>
                <w:szCs w:val="18"/>
              </w:rPr>
            </w:pPr>
            <w:r>
              <w:rPr>
                <w:rFonts w:ascii="宋体" w:hAnsi="宋体"/>
                <w:sz w:val="18"/>
                <w:szCs w:val="18"/>
              </w:rPr>
              <w:t>结构自重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2</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地层压力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3</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hint="eastAsia" w:ascii="宋体" w:hAnsi="宋体"/>
                <w:sz w:val="18"/>
                <w:szCs w:val="18"/>
              </w:rPr>
              <w:t>隧道上部和破坏棱体范围的设施及建筑物压力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4</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外水压力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5</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界面水压力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6</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内水压力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hint="eastAsia" w:ascii="宋体" w:hAnsi="宋体"/>
                <w:sz w:val="18"/>
                <w:szCs w:val="18"/>
              </w:rPr>
              <w:t>7</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预应力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8</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hint="eastAsia" w:ascii="宋体" w:hAnsi="宋体"/>
                <w:sz w:val="18"/>
                <w:szCs w:val="18"/>
              </w:rPr>
              <w:t>地层抗力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9</w:t>
            </w:r>
          </w:p>
        </w:tc>
        <w:tc>
          <w:tcPr>
            <w:tcW w:w="1935" w:type="dxa"/>
            <w:vMerge w:val="restart"/>
            <w:shd w:val="clear" w:color="auto" w:fill="auto"/>
            <w:vAlign w:val="center"/>
          </w:tcPr>
          <w:p>
            <w:pPr>
              <w:spacing w:line="240" w:lineRule="auto"/>
              <w:jc w:val="center"/>
              <w:rPr>
                <w:rFonts w:ascii="宋体" w:hAnsi="宋体"/>
                <w:sz w:val="18"/>
                <w:szCs w:val="18"/>
              </w:rPr>
            </w:pPr>
            <w:r>
              <w:rPr>
                <w:rFonts w:ascii="宋体" w:hAnsi="宋体"/>
                <w:sz w:val="18"/>
                <w:szCs w:val="18"/>
              </w:rPr>
              <w:t>可变荷载</w:t>
            </w: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地面</w:t>
            </w:r>
            <w:r>
              <w:rPr>
                <w:rFonts w:hint="eastAsia" w:ascii="宋体" w:hAnsi="宋体"/>
                <w:sz w:val="18"/>
                <w:szCs w:val="18"/>
              </w:rPr>
              <w:t>车辆</w:t>
            </w:r>
            <w:r>
              <w:rPr>
                <w:rFonts w:ascii="宋体" w:hAnsi="宋体"/>
                <w:sz w:val="18"/>
                <w:szCs w:val="18"/>
              </w:rPr>
              <w:t>荷载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10</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施工荷载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ascii="宋体" w:hAnsi="宋体"/>
                <w:sz w:val="18"/>
                <w:szCs w:val="18"/>
              </w:rPr>
              <w:t>11</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水锤压力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2</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hint="eastAsia" w:ascii="宋体" w:hAnsi="宋体"/>
                <w:sz w:val="18"/>
                <w:szCs w:val="18"/>
              </w:rPr>
              <w:t>冻胀力、膨胀力等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3</w:t>
            </w:r>
          </w:p>
        </w:tc>
        <w:tc>
          <w:tcPr>
            <w:tcW w:w="1935" w:type="dxa"/>
            <w:vMerge w:val="restart"/>
            <w:shd w:val="clear" w:color="auto" w:fill="auto"/>
            <w:vAlign w:val="center"/>
          </w:tcPr>
          <w:p>
            <w:pPr>
              <w:spacing w:line="240" w:lineRule="auto"/>
              <w:jc w:val="center"/>
              <w:rPr>
                <w:rFonts w:ascii="宋体" w:hAnsi="宋体"/>
                <w:sz w:val="18"/>
                <w:szCs w:val="18"/>
              </w:rPr>
            </w:pPr>
            <w:r>
              <w:rPr>
                <w:rFonts w:ascii="宋体" w:hAnsi="宋体"/>
                <w:sz w:val="18"/>
                <w:szCs w:val="18"/>
              </w:rPr>
              <w:t>偶然荷载</w:t>
            </w:r>
          </w:p>
        </w:tc>
        <w:tc>
          <w:tcPr>
            <w:tcW w:w="4820" w:type="dxa"/>
            <w:shd w:val="clear" w:color="auto" w:fill="auto"/>
            <w:vAlign w:val="center"/>
          </w:tcPr>
          <w:p>
            <w:pPr>
              <w:spacing w:line="240" w:lineRule="auto"/>
              <w:rPr>
                <w:rFonts w:ascii="宋体" w:hAnsi="宋体"/>
                <w:sz w:val="18"/>
                <w:szCs w:val="18"/>
              </w:rPr>
            </w:pPr>
            <w:r>
              <w:rPr>
                <w:rFonts w:hint="eastAsia" w:ascii="宋体" w:hAnsi="宋体"/>
                <w:sz w:val="18"/>
                <w:szCs w:val="18"/>
              </w:rPr>
              <w:t>地震作用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36" w:type="dxa"/>
            <w:shd w:val="clear" w:color="auto" w:fill="auto"/>
            <w:vAlign w:val="center"/>
          </w:tcPr>
          <w:p>
            <w:pPr>
              <w:spacing w:line="240" w:lineRule="auto"/>
              <w:jc w:val="center"/>
              <w:rPr>
                <w:rFonts w:ascii="宋体" w:hAnsi="宋体"/>
                <w:sz w:val="18"/>
                <w:szCs w:val="18"/>
              </w:rPr>
            </w:pPr>
            <w:r>
              <w:rPr>
                <w:rFonts w:hint="eastAsia" w:ascii="宋体" w:hAnsi="宋体"/>
                <w:sz w:val="18"/>
                <w:szCs w:val="18"/>
              </w:rPr>
              <w:t>1</w:t>
            </w:r>
            <w:r>
              <w:rPr>
                <w:rFonts w:ascii="宋体" w:hAnsi="宋体"/>
                <w:sz w:val="18"/>
                <w:szCs w:val="18"/>
              </w:rPr>
              <w:t>4</w:t>
            </w:r>
          </w:p>
        </w:tc>
        <w:tc>
          <w:tcPr>
            <w:tcW w:w="1935" w:type="dxa"/>
            <w:vMerge w:val="continue"/>
            <w:shd w:val="clear" w:color="auto" w:fill="auto"/>
            <w:vAlign w:val="center"/>
          </w:tcPr>
          <w:p>
            <w:pPr>
              <w:spacing w:line="240" w:lineRule="auto"/>
              <w:jc w:val="center"/>
              <w:rPr>
                <w:rFonts w:ascii="宋体" w:hAnsi="宋体"/>
                <w:sz w:val="18"/>
                <w:szCs w:val="18"/>
              </w:rPr>
            </w:pPr>
          </w:p>
        </w:tc>
        <w:tc>
          <w:tcPr>
            <w:tcW w:w="4820" w:type="dxa"/>
            <w:shd w:val="clear" w:color="auto" w:fill="auto"/>
            <w:vAlign w:val="center"/>
          </w:tcPr>
          <w:p>
            <w:pPr>
              <w:spacing w:line="240" w:lineRule="auto"/>
              <w:rPr>
                <w:rFonts w:ascii="宋体" w:hAnsi="宋体"/>
                <w:sz w:val="18"/>
                <w:szCs w:val="18"/>
              </w:rPr>
            </w:pPr>
            <w:r>
              <w:rPr>
                <w:rFonts w:ascii="宋体" w:hAnsi="宋体"/>
                <w:sz w:val="18"/>
                <w:szCs w:val="18"/>
              </w:rPr>
              <w:t>沉船</w:t>
            </w:r>
            <w:r>
              <w:rPr>
                <w:rFonts w:hint="eastAsia" w:ascii="宋体" w:hAnsi="宋体"/>
                <w:sz w:val="18"/>
                <w:szCs w:val="18"/>
              </w:rPr>
              <w:t>、</w:t>
            </w:r>
            <w:r>
              <w:rPr>
                <w:rFonts w:ascii="宋体" w:hAnsi="宋体"/>
                <w:sz w:val="18"/>
                <w:szCs w:val="18"/>
              </w:rPr>
              <w:t>锚击</w:t>
            </w:r>
          </w:p>
        </w:tc>
      </w:tr>
    </w:tbl>
    <w:p>
      <w:pPr>
        <w:pStyle w:val="65"/>
        <w:spacing w:before="156" w:after="156"/>
      </w:pPr>
      <w:r>
        <w:rPr>
          <w:rFonts w:hint="eastAsia"/>
        </w:rPr>
        <w:t>结构自重</w:t>
      </w:r>
    </w:p>
    <w:p>
      <w:pPr>
        <w:pStyle w:val="56"/>
        <w:ind w:firstLine="420"/>
      </w:pPr>
      <w:r>
        <w:rPr>
          <w:rFonts w:hint="eastAsia"/>
        </w:rPr>
        <w:t>结构自重按结构实际重量计算。</w:t>
      </w:r>
    </w:p>
    <w:p>
      <w:pPr>
        <w:pStyle w:val="65"/>
        <w:spacing w:before="156" w:after="156"/>
      </w:pPr>
      <w:r>
        <w:t>地层压力</w:t>
      </w:r>
    </w:p>
    <w:p>
      <w:pPr>
        <w:pStyle w:val="56"/>
        <w:ind w:firstLine="420"/>
      </w:pPr>
      <w:r>
        <w:rPr>
          <w:rFonts w:hint="eastAsia"/>
        </w:rPr>
        <w:t>地层压力计算应满足以下要求：</w:t>
      </w:r>
    </w:p>
    <w:p>
      <w:pPr>
        <w:pStyle w:val="174"/>
        <w:numPr>
          <w:ilvl w:val="0"/>
          <w:numId w:val="39"/>
        </w:numPr>
      </w:pPr>
      <w:r>
        <w:rPr>
          <w:rFonts w:hint="eastAsia"/>
        </w:rPr>
        <w:t>垂直压力计算：</w:t>
      </w:r>
    </w:p>
    <w:p>
      <w:pPr>
        <w:pStyle w:val="109"/>
      </w:pPr>
      <w:r>
        <w:rPr>
          <w:rFonts w:hint="eastAsia"/>
        </w:rPr>
        <w:t>岩石地层按现行《铁路隧</w:t>
      </w:r>
      <w:r>
        <w:t>道设计规范》TB 10003或《公路隧道设计规范》JTG 3370.1计算</w:t>
      </w:r>
      <w:r>
        <w:rPr>
          <w:rFonts w:hint="eastAsia"/>
        </w:rPr>
        <w:t>；</w:t>
      </w:r>
    </w:p>
    <w:p>
      <w:pPr>
        <w:pStyle w:val="109"/>
        <w:numPr>
          <w:ilvl w:val="1"/>
          <w:numId w:val="13"/>
        </w:numPr>
      </w:pPr>
      <w:r>
        <w:t>土质地层，当覆士厚度</w:t>
      </w:r>
      <w:r>
        <w:rPr>
          <w:rFonts w:hint="eastAsia"/>
        </w:rPr>
        <w:t>≤</w:t>
      </w:r>
      <w:r>
        <w:t>2D(D 为盾构隧道开挖外轮廓直径)时，按全</w:t>
      </w:r>
      <w:r>
        <w:rPr>
          <w:rFonts w:hint="eastAsia"/>
        </w:rPr>
        <w:t>土</w:t>
      </w:r>
      <w:r>
        <w:t>柱计算；当覆士厚度&gt;2D时，</w:t>
      </w:r>
      <w:r>
        <w:rPr>
          <w:rFonts w:hint="eastAsia"/>
        </w:rPr>
        <w:t>按卸载拱效应下的全土柱计算；</w:t>
      </w:r>
    </w:p>
    <w:p>
      <w:pPr>
        <w:pStyle w:val="174"/>
      </w:pPr>
      <w:r>
        <w:rPr>
          <w:rFonts w:hint="eastAsia"/>
        </w:rPr>
        <w:t>侧向压力按静止侧压力计算。岩层、砂性土地层宜采用水土分算，黏性土地层宜采用水土合算。</w:t>
      </w:r>
    </w:p>
    <w:p>
      <w:pPr>
        <w:pStyle w:val="65"/>
        <w:spacing w:before="156" w:after="156"/>
      </w:pPr>
      <w:r>
        <w:rPr>
          <w:rFonts w:hint="eastAsia"/>
        </w:rPr>
        <w:t>隧道上部和破坏棱体范围的设施及建筑物压力</w:t>
      </w:r>
    </w:p>
    <w:p>
      <w:pPr>
        <w:pStyle w:val="56"/>
        <w:ind w:firstLine="420"/>
      </w:pPr>
      <w:r>
        <w:rPr>
          <w:rFonts w:hint="eastAsia"/>
        </w:rPr>
        <w:t>针对既有和已批准待建的建筑物应根据结构物与隧道的相互关系确定荷载取值；当隧道覆土厚度足以形成卸载拱时，可按卸载拱理论考虑其作用力。</w:t>
      </w:r>
    </w:p>
    <w:p>
      <w:pPr>
        <w:pStyle w:val="65"/>
        <w:spacing w:before="156" w:after="156"/>
      </w:pPr>
      <w:r>
        <w:t>外水压力</w:t>
      </w:r>
    </w:p>
    <w:p>
      <w:pPr>
        <w:pStyle w:val="56"/>
        <w:ind w:firstLine="420"/>
      </w:pPr>
      <w:r>
        <w:rPr>
          <w:rFonts w:hint="eastAsia"/>
        </w:rPr>
        <w:t>外水压力按最高、最低水位分别计算。外水压力按水土合算时，外部水压力与土压力应合算为水平地层压力，不单独计算。</w:t>
      </w:r>
    </w:p>
    <w:p>
      <w:pPr>
        <w:pStyle w:val="65"/>
        <w:spacing w:before="156" w:after="156"/>
      </w:pPr>
      <w:r>
        <w:rPr>
          <w:rFonts w:hint="eastAsia"/>
        </w:rPr>
        <w:t>界面水压力</w:t>
      </w:r>
    </w:p>
    <w:p>
      <w:pPr>
        <w:pStyle w:val="56"/>
        <w:ind w:firstLine="420"/>
      </w:pPr>
      <w:r>
        <w:rPr>
          <w:rFonts w:hint="eastAsia"/>
        </w:rPr>
        <w:t>因外衬渗漏而产生的界面水压力，按外水压力水头取值；因二次衬砌渗漏而产生的界面水压力，按内水压力水头取值；是否需要考虑折减，视工程条件和设计要求而定；当无法确定界面水压力产生原因时，界面水压力宜取外水压力水头和内水压力水头两者较大值。</w:t>
      </w:r>
    </w:p>
    <w:p>
      <w:pPr>
        <w:pStyle w:val="65"/>
        <w:spacing w:before="156" w:after="156"/>
      </w:pPr>
      <w:r>
        <w:rPr>
          <w:rFonts w:hint="eastAsia"/>
        </w:rPr>
        <w:t>内水压力</w:t>
      </w:r>
    </w:p>
    <w:p>
      <w:pPr>
        <w:pStyle w:val="56"/>
        <w:ind w:firstLine="420"/>
      </w:pPr>
      <w:r>
        <w:rPr>
          <w:rFonts w:hint="eastAsia"/>
        </w:rPr>
        <w:t>内水压力应按最不利的荷载组合取值。有压隧道内水压力按荷载组合要求取相应的隧道内水压计算；无压隧道内水压力按不利的自由水面确定。</w:t>
      </w:r>
    </w:p>
    <w:p>
      <w:pPr>
        <w:pStyle w:val="65"/>
        <w:spacing w:before="156" w:after="156"/>
      </w:pPr>
      <w:r>
        <w:rPr>
          <w:rFonts w:hint="eastAsia"/>
        </w:rPr>
        <w:t>预应力</w:t>
      </w:r>
    </w:p>
    <w:p>
      <w:pPr>
        <w:pStyle w:val="56"/>
        <w:ind w:firstLine="420"/>
      </w:pPr>
      <w:r>
        <w:rPr>
          <w:rFonts w:hint="eastAsia"/>
        </w:rPr>
        <w:t>预应力对二次衬砌产生的作用力，可按现行国家标准《混凝土结构设计规范》</w:t>
      </w:r>
      <w:r>
        <w:t>GB 50010</w:t>
      </w:r>
      <w:r>
        <w:rPr>
          <w:rFonts w:hint="eastAsia"/>
        </w:rPr>
        <w:t>的有关规定计算。</w:t>
      </w:r>
    </w:p>
    <w:p>
      <w:pPr>
        <w:pStyle w:val="65"/>
        <w:spacing w:before="156" w:after="156"/>
      </w:pPr>
      <w:r>
        <w:rPr>
          <w:rFonts w:hint="eastAsia"/>
        </w:rPr>
        <w:t>地层抗力</w:t>
      </w:r>
    </w:p>
    <w:p>
      <w:pPr>
        <w:pStyle w:val="56"/>
        <w:ind w:firstLine="420"/>
      </w:pPr>
      <w:r>
        <w:rPr>
          <w:rFonts w:hint="eastAsia"/>
        </w:rPr>
        <w:t>地层抗力根据结构与地层间实际作用取值，可采用单向受压弹簧模拟。</w:t>
      </w:r>
    </w:p>
    <w:p>
      <w:pPr>
        <w:pStyle w:val="65"/>
        <w:spacing w:before="156" w:after="156"/>
      </w:pPr>
      <w:r>
        <w:rPr>
          <w:rFonts w:hint="eastAsia"/>
        </w:rPr>
        <w:t>地面车辆荷载</w:t>
      </w:r>
    </w:p>
    <w:p>
      <w:pPr>
        <w:pStyle w:val="56"/>
        <w:ind w:firstLine="420"/>
      </w:pPr>
      <w:r>
        <w:rPr>
          <w:rFonts w:hint="eastAsia"/>
        </w:rPr>
        <w:t>应按隧道上方的汽车荷载或施工堆载不利工况确定，可按现行行业标准《公路桥涵设计通用规范》JTG D60的有关规定计算。</w:t>
      </w:r>
    </w:p>
    <w:p>
      <w:pPr>
        <w:pStyle w:val="65"/>
        <w:spacing w:before="156" w:after="156"/>
      </w:pPr>
      <w:r>
        <w:rPr>
          <w:rFonts w:hint="eastAsia"/>
        </w:rPr>
        <w:t>施工荷载</w:t>
      </w:r>
    </w:p>
    <w:p>
      <w:pPr>
        <w:pStyle w:val="56"/>
        <w:ind w:firstLine="420"/>
      </w:pPr>
      <w:r>
        <w:rPr>
          <w:rFonts w:hint="eastAsia"/>
        </w:rPr>
        <w:t>主要施工荷载应考虑以下荷载及其最不利组合：</w:t>
      </w:r>
    </w:p>
    <w:p>
      <w:pPr>
        <w:pStyle w:val="174"/>
        <w:numPr>
          <w:ilvl w:val="0"/>
          <w:numId w:val="40"/>
        </w:numPr>
      </w:pPr>
      <w:r>
        <w:rPr>
          <w:rFonts w:hint="eastAsia"/>
        </w:rPr>
        <w:t>地面堆载；</w:t>
      </w:r>
    </w:p>
    <w:p>
      <w:pPr>
        <w:pStyle w:val="174"/>
      </w:pPr>
      <w:r>
        <w:rPr>
          <w:rFonts w:hint="eastAsia"/>
        </w:rPr>
        <w:t>相邻盾构隧道施工相互影响；</w:t>
      </w:r>
    </w:p>
    <w:p>
      <w:pPr>
        <w:pStyle w:val="174"/>
      </w:pPr>
      <w:r>
        <w:rPr>
          <w:rFonts w:hint="eastAsia"/>
        </w:rPr>
        <w:t>二衬施工机械荷载；</w:t>
      </w:r>
    </w:p>
    <w:p>
      <w:pPr>
        <w:pStyle w:val="174"/>
      </w:pPr>
      <w:r>
        <w:rPr>
          <w:rFonts w:hint="eastAsia"/>
        </w:rPr>
        <w:t>注浆压力。</w:t>
      </w:r>
    </w:p>
    <w:p>
      <w:pPr>
        <w:pStyle w:val="65"/>
        <w:spacing w:before="156" w:after="156"/>
      </w:pPr>
      <w:r>
        <w:t>水锤压力</w:t>
      </w:r>
    </w:p>
    <w:p>
      <w:pPr>
        <w:pStyle w:val="56"/>
        <w:ind w:firstLine="420"/>
      </w:pPr>
      <w:r>
        <w:rPr>
          <w:rFonts w:hint="eastAsia"/>
        </w:rPr>
        <w:t>水锤压力应根据输水隧道闸阀开闭工况，通过水力计算确定。</w:t>
      </w:r>
    </w:p>
    <w:p>
      <w:pPr>
        <w:pStyle w:val="165"/>
        <w:ind w:left="0"/>
        <w:rPr>
          <w:color w:val="FF0000"/>
        </w:rPr>
      </w:pPr>
      <w:r>
        <w:rPr>
          <w:rFonts w:hint="eastAsia"/>
          <w:color w:val="FF0000"/>
        </w:rPr>
        <w:t>冻胀力、膨胀力、地震荷载等按相关规范确定。</w:t>
      </w:r>
    </w:p>
    <w:p>
      <w:pPr>
        <w:pStyle w:val="165"/>
        <w:ind w:left="0"/>
        <w:rPr>
          <w:color w:val="FF0000"/>
        </w:rPr>
      </w:pPr>
      <w:r>
        <w:rPr>
          <w:rFonts w:hint="eastAsia"/>
          <w:color w:val="FF0000"/>
        </w:rPr>
        <w:t>沉船、锚击等荷载应根据工程建设环境条件进行确定</w:t>
      </w:r>
    </w:p>
    <w:p>
      <w:pPr>
        <w:pStyle w:val="65"/>
        <w:spacing w:before="156" w:after="156"/>
      </w:pPr>
      <w:r>
        <w:t>荷载（效应）组合</w:t>
      </w:r>
    </w:p>
    <w:p>
      <w:pPr>
        <w:pStyle w:val="56"/>
        <w:ind w:firstLine="420"/>
      </w:pPr>
      <w:r>
        <w:t>荷载（效应）组合</w:t>
      </w:r>
      <w:r>
        <w:rPr>
          <w:rFonts w:hint="eastAsia"/>
        </w:rPr>
        <w:t>应满足以下要求：</w:t>
      </w:r>
    </w:p>
    <w:p>
      <w:pPr>
        <w:pStyle w:val="174"/>
        <w:numPr>
          <w:ilvl w:val="0"/>
          <w:numId w:val="41"/>
        </w:numPr>
      </w:pPr>
      <w:r>
        <w:rPr>
          <w:rFonts w:hint="eastAsia"/>
        </w:rPr>
        <w:t>结构设计中，应根据施工、使用阶段在结构上可能同时出现的荷载，按承载能力极限状态和正常使用极限状态分别进行组合，并应取各自最不利的效应组合进行设计；</w:t>
      </w:r>
    </w:p>
    <w:p>
      <w:pPr>
        <w:pStyle w:val="174"/>
      </w:pPr>
      <w:r>
        <w:rPr>
          <w:rFonts w:hint="eastAsia"/>
        </w:rPr>
        <w:t>荷载效应组合应按施工期、运行期、检修期、地震等各阶段可能出现的典型的设计工况和校核工况进行组合。</w:t>
      </w:r>
    </w:p>
    <w:p>
      <w:pPr>
        <w:pStyle w:val="105"/>
        <w:spacing w:before="156" w:after="156"/>
        <w:ind w:left="0"/>
        <w:rPr>
          <w:rFonts w:ascii="Times New Roman"/>
        </w:rPr>
      </w:pPr>
      <w:bookmarkStart w:id="128" w:name="_Toc130215169"/>
      <w:bookmarkStart w:id="129" w:name="_Toc130218756"/>
      <w:bookmarkStart w:id="130" w:name="_Toc129276121"/>
      <w:r>
        <w:rPr>
          <w:rFonts w:hint="eastAsia" w:ascii="Times New Roman"/>
        </w:rPr>
        <w:t>结构</w:t>
      </w:r>
      <w:r>
        <w:rPr>
          <w:rFonts w:ascii="Times New Roman"/>
        </w:rPr>
        <w:t>设计</w:t>
      </w:r>
      <w:bookmarkEnd w:id="123"/>
      <w:bookmarkEnd w:id="128"/>
      <w:bookmarkEnd w:id="129"/>
      <w:bookmarkEnd w:id="130"/>
    </w:p>
    <w:p>
      <w:pPr>
        <w:pStyle w:val="165"/>
        <w:ind w:left="0"/>
        <w:rPr>
          <w:rFonts w:ascii="Times New Roman"/>
        </w:rPr>
      </w:pPr>
      <w:r>
        <w:rPr>
          <w:rFonts w:hint="eastAsia" w:ascii="Times New Roman"/>
        </w:rPr>
        <w:t>盾构法输水隧道</w:t>
      </w:r>
      <w:r>
        <w:rPr>
          <w:rFonts w:ascii="Times New Roman"/>
        </w:rPr>
        <w:t>现浇钢筋混凝土二次衬砌</w:t>
      </w:r>
      <w:r>
        <w:rPr>
          <w:rFonts w:hint="eastAsia" w:ascii="Times New Roman"/>
        </w:rPr>
        <w:t>应根据服役环境、水质条件、工作特点等，并综合考虑施工技术条件，合理选用复合式双层衬砌结构或者叠合式双层衬砌结构。</w:t>
      </w:r>
    </w:p>
    <w:p>
      <w:pPr>
        <w:pStyle w:val="165"/>
        <w:ind w:left="0"/>
      </w:pPr>
      <w:r>
        <w:rPr>
          <w:rFonts w:hint="eastAsia"/>
        </w:rPr>
        <w:t>盾构法输水隧道采取</w:t>
      </w:r>
      <w:r>
        <w:rPr>
          <w:rFonts w:hint="eastAsia" w:ascii="Times New Roman"/>
        </w:rPr>
        <w:t>高内压传输方式时</w:t>
      </w:r>
      <w:r>
        <w:rPr>
          <w:rFonts w:ascii="Times New Roman"/>
        </w:rPr>
        <w:t>，宜选用</w:t>
      </w:r>
      <w:r>
        <w:rPr>
          <w:rFonts w:hint="eastAsia" w:ascii="Times New Roman"/>
        </w:rPr>
        <w:t>叠合</w:t>
      </w:r>
      <w:r>
        <w:rPr>
          <w:rFonts w:ascii="Times New Roman"/>
        </w:rPr>
        <w:t>式双层衬砌结构。</w:t>
      </w:r>
    </w:p>
    <w:p>
      <w:pPr>
        <w:pStyle w:val="165"/>
        <w:ind w:left="0"/>
      </w:pPr>
      <w:r>
        <w:rPr>
          <w:rFonts w:ascii="Times New Roman"/>
        </w:rPr>
        <w:t>二次衬砌</w:t>
      </w:r>
      <w:r>
        <w:rPr>
          <w:rFonts w:hint="eastAsia"/>
        </w:rPr>
        <w:t>采用复合式结构时，应以不影响结构受力为前提，在管片与二衬之间设置局部连接措施，防止二衬转动；采用叠合式结构时，应采取管片设置凹凸槽、管片预留连接锚筋、手孔设置锚板等可靠的结构措施，确保管片与二次衬砌结合为整体结构。</w:t>
      </w:r>
    </w:p>
    <w:p>
      <w:pPr>
        <w:pStyle w:val="165"/>
        <w:ind w:left="0"/>
      </w:pPr>
      <w:r>
        <w:rPr>
          <w:rFonts w:hint="eastAsia"/>
        </w:rPr>
        <w:t>复合式和叠合式双层衬砌结构，在二次衬砌形成前，结构计算可采用梁-弹簧、修正惯用法等衬砌结构计算方法，二次衬砌形成后，按与外衬组成整体结构承担其后发生的全部荷载，可采用梁-弹簧模型进行整体计算，弹簧刚度可根据相关理论取值，也可根据试验进行取值。</w:t>
      </w:r>
    </w:p>
    <w:p>
      <w:pPr>
        <w:pStyle w:val="165"/>
        <w:ind w:left="0"/>
      </w:pPr>
      <w:r>
        <w:rPr>
          <w:rFonts w:ascii="Times New Roman"/>
        </w:rPr>
        <w:t>二次衬砌</w:t>
      </w:r>
      <w:r>
        <w:rPr>
          <w:rFonts w:hint="eastAsia"/>
        </w:rPr>
        <w:t>计算时应考虑界面水压力、内水压力的综合影响，按最不利情况进行验算。</w:t>
      </w:r>
    </w:p>
    <w:p>
      <w:pPr>
        <w:pStyle w:val="165"/>
        <w:ind w:left="0"/>
        <w:rPr>
          <w:rFonts w:ascii="Times New Roman"/>
        </w:rPr>
      </w:pPr>
      <w:r>
        <w:rPr>
          <w:rFonts w:ascii="Times New Roman"/>
        </w:rPr>
        <w:t>二次衬砌</w:t>
      </w:r>
      <w:r>
        <w:t>双层衬砌整</w:t>
      </w:r>
      <w:r>
        <w:rPr>
          <w:rFonts w:ascii="Times New Roman"/>
        </w:rPr>
        <w:t>体厚度不宜小于400mm</w:t>
      </w:r>
      <w:r>
        <w:rPr>
          <w:rFonts w:hint="eastAsia" w:ascii="Times New Roman"/>
        </w:rPr>
        <w:t>；</w:t>
      </w:r>
      <w:r>
        <w:rPr>
          <w:rFonts w:hint="eastAsia"/>
        </w:rPr>
        <w:t>参与结构受力的</w:t>
      </w:r>
      <w:r>
        <w:t>二次衬砌厚度不宜</w:t>
      </w:r>
      <w:r>
        <w:rPr>
          <w:rFonts w:ascii="Times New Roman"/>
        </w:rPr>
        <w:t>小于200mm。</w:t>
      </w:r>
    </w:p>
    <w:p>
      <w:pPr>
        <w:pStyle w:val="165"/>
        <w:ind w:left="0"/>
      </w:pPr>
      <w:r>
        <w:rPr>
          <w:rFonts w:ascii="Times New Roman"/>
        </w:rPr>
        <w:t>二次衬砌结构变形缝应综合考虑结构</w:t>
      </w:r>
      <w:r>
        <w:rPr>
          <w:rFonts w:hint="eastAsia" w:ascii="Times New Roman"/>
        </w:rPr>
        <w:t>形</w:t>
      </w:r>
      <w:r>
        <w:rPr>
          <w:rFonts w:hint="eastAsia"/>
        </w:rPr>
        <w:t>式、地质条件、施工工艺、温度变化、混凝土收缩等影响，缝宽与构造应能适应变形，间距宜为管片幅宽的倍数；对于饱和含水软弱土层、与始发或到达竖井相临接隧道段或地层条件发生明显变化的区段，应适当加密变形缝。</w:t>
      </w:r>
    </w:p>
    <w:p>
      <w:pPr>
        <w:pStyle w:val="165"/>
        <w:ind w:left="0"/>
        <w:rPr>
          <w:rFonts w:ascii="Times New Roman"/>
        </w:rPr>
      </w:pPr>
      <w:r>
        <w:rPr>
          <w:rFonts w:hint="eastAsia" w:ascii="Times New Roman"/>
        </w:rPr>
        <w:t>二次衬砌受力钢筋保护层最小厚度、最小配筋率、钢筋的接头与钢筋的锚固均应执行《混凝土结构设计规范》（GB50010）和《混凝土结构耐久性设计规范》（GB/T 50476）有关规定。</w:t>
      </w:r>
    </w:p>
    <w:p>
      <w:pPr>
        <w:pStyle w:val="165"/>
        <w:ind w:left="0"/>
      </w:pPr>
      <w:r>
        <w:rPr>
          <w:rFonts w:ascii="Times New Roman"/>
        </w:rPr>
        <w:t>当隧道承受内水压力较高时或结构</w:t>
      </w:r>
      <w:r>
        <w:rPr>
          <w:rFonts w:hint="eastAsia"/>
        </w:rPr>
        <w:t>对裂缝宽度有较高要求时，二次衬砌宜采用后张预应力混凝土结构，通过张拉预埋于二次衬砌中的预应力筋提供预应力，可根据结构工作条件选用无台座张拉的环锚预应力体系。</w:t>
      </w:r>
    </w:p>
    <w:p>
      <w:pPr>
        <w:pStyle w:val="165"/>
        <w:ind w:left="0"/>
      </w:pPr>
      <w:r>
        <w:rPr>
          <w:rFonts w:hint="eastAsia" w:ascii="Times New Roman"/>
        </w:rPr>
        <w:t>二次衬砌结构计算</w:t>
      </w:r>
      <w:r>
        <w:t>应满足以下要求：</w:t>
      </w:r>
    </w:p>
    <w:p>
      <w:pPr>
        <w:pStyle w:val="174"/>
        <w:numPr>
          <w:ilvl w:val="0"/>
          <w:numId w:val="42"/>
        </w:numPr>
      </w:pPr>
      <w:r>
        <w:rPr>
          <w:rFonts w:hint="eastAsia"/>
        </w:rPr>
        <w:t>应采用极限状态设计方法，以分项系数的设计表达式按照承载能力极限状态、正常使用极限状态，对施工、运行和检修各阶段进行结构计算和验算；</w:t>
      </w:r>
    </w:p>
    <w:p>
      <w:pPr>
        <w:pStyle w:val="174"/>
      </w:pPr>
      <w:r>
        <w:rPr>
          <w:rFonts w:hint="eastAsia"/>
        </w:rPr>
        <w:t>二次衬砌结构应与外衬结构组成整体结构进行抗滑、抗倾、抗浮稳定等整体结构计算；</w:t>
      </w:r>
    </w:p>
    <w:p>
      <w:pPr>
        <w:pStyle w:val="174"/>
      </w:pPr>
      <w:r>
        <w:rPr>
          <w:rFonts w:hint="eastAsia"/>
        </w:rPr>
        <w:t>二次衬砌结构计算应按荷载结构模型采用结构力学法进行，以横向结构计算为主。对于荷载沿隧道纵向有变化、地质条件复杂的隧道，与其它建筑物交叉、小净距并行隧道、设计烈度等于或大于7度的隧道等则应采用地层结构模型进行纵向结构计算。横向结构计算应包括：截面内力、截面变形、结构强度、结构裂缝等。纵向结构计算应包括：纵向内力、隧道纵向变形、结构强度、结构裂缝等；</w:t>
      </w:r>
    </w:p>
    <w:p>
      <w:pPr>
        <w:pStyle w:val="174"/>
      </w:pPr>
      <w:r>
        <w:t>二次衬砌形成前，外衬结构计算应满足施工期单独受力需要，二次衬砌形成后，按与外衬组成整体结构承担其后发生的全部内外荷载，具有联合受力的结构特性</w:t>
      </w:r>
      <w:r>
        <w:rPr>
          <w:rFonts w:hint="eastAsia"/>
        </w:rPr>
        <w:t>；</w:t>
      </w:r>
    </w:p>
    <w:p>
      <w:pPr>
        <w:pStyle w:val="174"/>
      </w:pPr>
      <w:r>
        <w:rPr>
          <w:rFonts w:hint="eastAsia"/>
        </w:rPr>
        <w:t>有关预应力二次衬砌结构的计算与设计方法参照《混凝土结构设计规范》(GB 50010）有关规定进行。</w:t>
      </w:r>
    </w:p>
    <w:p>
      <w:pPr>
        <w:pStyle w:val="165"/>
        <w:ind w:left="0"/>
      </w:pPr>
      <w:r>
        <w:rPr>
          <w:rFonts w:hint="eastAsia"/>
        </w:rPr>
        <w:t>环锚预应力体系设计应满足以下要求：</w:t>
      </w:r>
    </w:p>
    <w:p>
      <w:pPr>
        <w:pStyle w:val="174"/>
        <w:numPr>
          <w:ilvl w:val="0"/>
          <w:numId w:val="43"/>
        </w:numPr>
      </w:pPr>
      <w:r>
        <w:rPr>
          <w:rFonts w:hint="eastAsia"/>
        </w:rPr>
        <w:t>环形锚索式预应力混凝土衬砌，应将锚索施加的环向应力作为荷载之一，按弹性理论进行结构应力分析，必要时可通过有限元计算或模型试验复核。</w:t>
      </w:r>
    </w:p>
    <w:p>
      <w:pPr>
        <w:pStyle w:val="174"/>
      </w:pPr>
      <w:r>
        <w:rPr>
          <w:rFonts w:hint="eastAsia"/>
        </w:rPr>
        <w:t>环形预应力锚索的设计张拉力，应按需要环形锚索提供的径向预压应力，并考虑锚索张拉过程中张拉端偏转器的摩阻损失后确定；</w:t>
      </w:r>
    </w:p>
    <w:p>
      <w:pPr>
        <w:pStyle w:val="174"/>
      </w:pPr>
      <w:r>
        <w:rPr>
          <w:rFonts w:hint="eastAsia"/>
        </w:rPr>
        <w:t>锚具槽的布置应以便于施工为原则，左右两侧宜交错布置；</w:t>
      </w:r>
    </w:p>
    <w:p>
      <w:pPr>
        <w:pStyle w:val="165"/>
        <w:ind w:left="0"/>
        <w:rPr>
          <w:rFonts w:ascii="Times New Roman"/>
        </w:rPr>
      </w:pPr>
      <w:r>
        <w:rPr>
          <w:rFonts w:hint="eastAsia" w:ascii="Times New Roman"/>
        </w:rPr>
        <w:t>叠合式双层衬砌结构应采取如下构造措施，以确保二次衬砌与外衬管片结合为整体结构：</w:t>
      </w:r>
    </w:p>
    <w:p>
      <w:pPr>
        <w:pStyle w:val="174"/>
        <w:numPr>
          <w:ilvl w:val="0"/>
          <w:numId w:val="13"/>
        </w:numPr>
      </w:pPr>
      <w:r>
        <w:rPr>
          <w:rFonts w:hint="eastAsia"/>
        </w:rPr>
        <w:t>管片外衬应设置为粗糙面，管片内侧可在管片预制时设置凹凸槽，凹凸深度不小于4mm，凹凸槽面积不应小于总接触面积的80%，若预制时设置凹凸槽存在困难，可在出厂前对管片进行凿毛处理，凹凸槽如图1所示；</w:t>
      </w:r>
    </w:p>
    <w:p>
      <w:pPr>
        <w:pStyle w:val="174"/>
        <w:numPr>
          <w:ilvl w:val="0"/>
          <w:numId w:val="0"/>
        </w:numPr>
        <w:jc w:val="center"/>
        <w:rPr>
          <w:lang w:bidi="ar"/>
        </w:rPr>
      </w:pPr>
      <w:r>
        <w:rPr>
          <w:rFonts w:hint="eastAsia"/>
        </w:rPr>
        <w:drawing>
          <wp:inline distT="0" distB="0" distL="0" distR="0">
            <wp:extent cx="3616325" cy="2157730"/>
            <wp:effectExtent l="0" t="0" r="3175" b="0"/>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noChangeArrowheads="true"/>
                    </pic:cNvPicPr>
                  </pic:nvPicPr>
                  <pic:blipFill>
                    <a:blip r:embed="rId24" cstate="print">
                      <a:extLst>
                        <a:ext uri="{28A0092B-C50C-407E-A947-70E740481C1C}">
                          <a14:useLocalDpi xmlns:a14="http://schemas.microsoft.com/office/drawing/2010/main" val="false"/>
                        </a:ext>
                      </a:extLst>
                    </a:blip>
                    <a:srcRect/>
                    <a:stretch>
                      <a:fillRect/>
                    </a:stretch>
                  </pic:blipFill>
                  <pic:spPr>
                    <a:xfrm>
                      <a:off x="0" y="0"/>
                      <a:ext cx="3614253" cy="2156618"/>
                    </a:xfrm>
                    <a:prstGeom prst="rect">
                      <a:avLst/>
                    </a:prstGeom>
                    <a:noFill/>
                    <a:ln>
                      <a:noFill/>
                    </a:ln>
                  </pic:spPr>
                </pic:pic>
              </a:graphicData>
            </a:graphic>
          </wp:inline>
        </w:drawing>
      </w:r>
    </w:p>
    <w:p>
      <w:pPr>
        <w:pStyle w:val="179"/>
        <w:jc w:val="center"/>
        <w:rPr>
          <w:lang w:bidi="ar"/>
        </w:rPr>
      </w:pPr>
      <w:r>
        <w:rPr>
          <w:rFonts w:hint="eastAsia"/>
          <w:lang w:bidi="ar"/>
        </w:rPr>
        <w:t>1—初衬管片。2—钢筋接驳器连接套筒。3—管片螺栓孔。4—管片内弧面凹槽。</w:t>
      </w:r>
    </w:p>
    <w:p>
      <w:pPr>
        <w:pStyle w:val="114"/>
        <w:spacing w:before="156" w:after="156"/>
        <w:rPr>
          <w:lang w:bidi="ar"/>
        </w:rPr>
      </w:pPr>
      <w:r>
        <w:rPr>
          <w:rFonts w:hint="eastAsia"/>
          <w:lang w:bidi="ar"/>
        </w:rPr>
        <w:t>管片内弧面凹槽设置示意图</w:t>
      </w:r>
    </w:p>
    <w:p>
      <w:pPr>
        <w:pStyle w:val="174"/>
        <w:numPr>
          <w:ilvl w:val="0"/>
          <w:numId w:val="44"/>
        </w:numPr>
      </w:pPr>
      <w:r>
        <w:rPr>
          <w:rFonts w:hint="eastAsia"/>
        </w:rPr>
        <w:t>预埋在管片的插筋应满足锚固长度要求，必要时可设直弯钩，当在手孔内布置插筋时，连接插筋宜与连接螺栓垫片进行有效连接。伸入二次衬砌的插筋直线段长不宜小于10倍插筋直径，为满足锚固长度要求，亦可设直弯钩。当采用带有内螺纹的接驳器预埋在管片时，接驳器应满足自身锚固要求，在外衬管片环就位后、二次衬砌混凝土浇筑前将带螺纹的插筋旋入接驳器；</w:t>
      </w:r>
    </w:p>
    <w:p>
      <w:pPr>
        <w:pStyle w:val="174"/>
      </w:pPr>
      <w:r>
        <w:rPr>
          <w:rFonts w:hint="eastAsia"/>
        </w:rPr>
        <w:t>回填管片螺栓手孔的混凝土强度等级应与二次衬砌混凝土等强。对于腰线以上手孔宜采用快硬微膨胀混凝土回填，腰线以下手孔可与二次衬砌一起现浇混凝土。</w:t>
      </w:r>
    </w:p>
    <w:p>
      <w:pPr>
        <w:pStyle w:val="174"/>
      </w:pPr>
      <w:r>
        <w:rPr>
          <w:rFonts w:hint="eastAsia"/>
        </w:rPr>
        <w:t>管片外衬螺栓手孔、接驳器、螺栓孔等部位应设置构造加强钢筋。</w:t>
      </w:r>
    </w:p>
    <w:p>
      <w:pPr>
        <w:pStyle w:val="165"/>
        <w:ind w:left="0"/>
        <w:rPr>
          <w:rFonts w:ascii="Times New Roman"/>
        </w:rPr>
      </w:pPr>
      <w:r>
        <w:rPr>
          <w:rFonts w:ascii="Times New Roman"/>
        </w:rPr>
        <w:t>复合式双层衬砌结构应</w:t>
      </w:r>
      <w:r>
        <w:rPr>
          <w:rFonts w:hint="eastAsia" w:ascii="Times New Roman"/>
        </w:rPr>
        <w:t>采取如下构造措施：</w:t>
      </w:r>
    </w:p>
    <w:p>
      <w:pPr>
        <w:pStyle w:val="174"/>
        <w:numPr>
          <w:ilvl w:val="0"/>
          <w:numId w:val="45"/>
        </w:numPr>
      </w:pPr>
      <w:r>
        <w:t>二次衬砌与外衬的界面敷设弹性排水垫层，必要时垫层外侧增配防水膜。垫层应表面平顺</w:t>
      </w:r>
      <w:r>
        <w:rPr>
          <w:rFonts w:hint="eastAsia"/>
        </w:rPr>
        <w:t>、平整、牢固、无气囊、无破损、不鼓包、不下垂、接长不留空隙；</w:t>
      </w:r>
    </w:p>
    <w:p>
      <w:pPr>
        <w:pStyle w:val="174"/>
      </w:pPr>
      <w:r>
        <w:rPr>
          <w:rFonts w:hint="eastAsia"/>
        </w:rPr>
        <w:t>应配套完善的排放界面渗漏水措施，包括：</w:t>
      </w:r>
    </w:p>
    <w:p>
      <w:pPr>
        <w:pStyle w:val="109"/>
      </w:pPr>
      <w:r>
        <w:rPr>
          <w:rFonts w:hint="eastAsia"/>
        </w:rPr>
        <w:t>在二次衬砌底部混凝土中埋设纵向排水总管，汇集和统一排放界面渗漏水；</w:t>
      </w:r>
    </w:p>
    <w:p>
      <w:pPr>
        <w:pStyle w:val="109"/>
      </w:pPr>
      <w:r>
        <w:rPr>
          <w:rFonts w:hint="eastAsia"/>
        </w:rPr>
        <w:t>在界面敷设的弹性垫层应能够将所收集到的渗漏水就近顺畅汇入排水总管；</w:t>
      </w:r>
    </w:p>
    <w:p>
      <w:pPr>
        <w:pStyle w:val="109"/>
      </w:pPr>
      <w:r>
        <w:rPr>
          <w:rFonts w:hint="eastAsia"/>
        </w:rPr>
        <w:t>当采用机械排放渗漏水时，不宜与排空隧道积水共用同一套设备排放。</w:t>
      </w:r>
    </w:p>
    <w:p>
      <w:pPr>
        <w:pStyle w:val="105"/>
        <w:spacing w:before="156" w:after="156"/>
        <w:ind w:left="0"/>
        <w:rPr>
          <w:rFonts w:ascii="Times New Roman"/>
        </w:rPr>
      </w:pPr>
      <w:bookmarkStart w:id="131" w:name="_Toc130218757"/>
      <w:bookmarkStart w:id="132" w:name="_Toc130215170"/>
      <w:bookmarkStart w:id="133" w:name="_Toc129276122"/>
      <w:bookmarkStart w:id="134" w:name="_Toc69230950"/>
      <w:r>
        <w:rPr>
          <w:rFonts w:hint="eastAsia" w:ascii="Times New Roman"/>
        </w:rPr>
        <w:t>防水</w:t>
      </w:r>
      <w:r>
        <w:rPr>
          <w:rFonts w:ascii="Times New Roman"/>
        </w:rPr>
        <w:t>设计</w:t>
      </w:r>
      <w:bookmarkEnd w:id="131"/>
      <w:bookmarkEnd w:id="132"/>
      <w:bookmarkEnd w:id="133"/>
      <w:bookmarkEnd w:id="134"/>
    </w:p>
    <w:p>
      <w:pPr>
        <w:pStyle w:val="165"/>
        <w:ind w:left="0"/>
        <w:rPr>
          <w:rFonts w:ascii="Times New Roman"/>
        </w:rPr>
      </w:pPr>
      <w:r>
        <w:rPr>
          <w:rFonts w:hint="eastAsia" w:ascii="Times New Roman"/>
        </w:rPr>
        <w:t>防水设计应根据环境条件、环境作用等级、设计使用年限、结构特点、施工方法等因素进行，以满足结构安全、耐久性、环境保护和使用要求。</w:t>
      </w:r>
    </w:p>
    <w:p>
      <w:pPr>
        <w:pStyle w:val="165"/>
        <w:ind w:left="0"/>
      </w:pPr>
      <w:r>
        <w:rPr>
          <w:rFonts w:hint="eastAsia" w:ascii="Times New Roman"/>
        </w:rPr>
        <w:t>二次衬砌应以结构自防水为主，接缝防水为重点，以限制裂缝宽度的原则设计，并应考虑内水外渗对外衬受力造成的不利影响。</w:t>
      </w:r>
    </w:p>
    <w:p>
      <w:pPr>
        <w:pStyle w:val="165"/>
        <w:ind w:left="0"/>
      </w:pPr>
      <w:r>
        <w:rPr>
          <w:rFonts w:hint="eastAsia" w:ascii="Times New Roman"/>
        </w:rPr>
        <w:t>二次衬砌抗裂设计时迎水面裂缝宽度不得大于0</w:t>
      </w:r>
      <w:r>
        <w:rPr>
          <w:rFonts w:ascii="Times New Roman"/>
        </w:rPr>
        <w:t>.2</w:t>
      </w:r>
      <w:r>
        <w:rPr>
          <w:rFonts w:hint="eastAsia" w:ascii="Times New Roman"/>
        </w:rPr>
        <w:t>mm，背水面裂缝宽度不得大于0</w:t>
      </w:r>
      <w:r>
        <w:rPr>
          <w:rFonts w:ascii="Times New Roman"/>
        </w:rPr>
        <w:t>.2</w:t>
      </w:r>
      <w:r>
        <w:rPr>
          <w:rFonts w:hint="eastAsia" w:ascii="Times New Roman"/>
        </w:rPr>
        <w:t>m</w:t>
      </w:r>
      <w:r>
        <w:rPr>
          <w:rFonts w:ascii="Times New Roman"/>
        </w:rPr>
        <w:t>m</w:t>
      </w:r>
      <w:r>
        <w:rPr>
          <w:rFonts w:hint="eastAsia" w:ascii="Times New Roman"/>
        </w:rPr>
        <w:t>，并不得贯通。</w:t>
      </w:r>
    </w:p>
    <w:p>
      <w:pPr>
        <w:pStyle w:val="165"/>
        <w:ind w:left="0"/>
      </w:pPr>
      <w:r>
        <w:rPr>
          <w:rFonts w:hint="eastAsia" w:ascii="Times New Roman"/>
        </w:rPr>
        <w:t>二次衬砌可选用掺外加剂、掺合料的水泥基渗透结晶型防水涂料，水泥基渗透结晶型防水涂料技术指标应满足《水泥基渗透结晶型防水涂料》（GB18445）的相关规定，厚度不宜小于3</w:t>
      </w:r>
      <w:r>
        <w:rPr>
          <w:rFonts w:ascii="Times New Roman"/>
        </w:rPr>
        <w:t>.0</w:t>
      </w:r>
      <w:r>
        <w:rPr>
          <w:rFonts w:hint="eastAsia" w:ascii="Times New Roman"/>
        </w:rPr>
        <w:t>mm，水泥基渗透结晶型防水涂料的用量不宜小于1</w:t>
      </w:r>
      <w:r>
        <w:rPr>
          <w:rFonts w:ascii="Times New Roman"/>
        </w:rPr>
        <w:t>.5kg/m</w:t>
      </w:r>
      <w:r>
        <w:rPr>
          <w:rFonts w:ascii="Times New Roman"/>
          <w:vertAlign w:val="superscript"/>
        </w:rPr>
        <w:t>2</w:t>
      </w:r>
      <w:r>
        <w:rPr>
          <w:rFonts w:hint="eastAsia" w:ascii="Times New Roman"/>
        </w:rPr>
        <w:t>。</w:t>
      </w:r>
    </w:p>
    <w:p>
      <w:pPr>
        <w:pStyle w:val="165"/>
        <w:ind w:left="0"/>
        <w:rPr>
          <w:rFonts w:ascii="Times New Roman"/>
        </w:rPr>
      </w:pPr>
      <w:r>
        <w:rPr>
          <w:rFonts w:ascii="Times New Roman"/>
        </w:rPr>
        <w:t>二次衬砌施工缝</w:t>
      </w:r>
      <w:r>
        <w:rPr>
          <w:rFonts w:hint="eastAsia" w:ascii="Times New Roman"/>
        </w:rPr>
        <w:t>、变形缝</w:t>
      </w:r>
      <w:r>
        <w:rPr>
          <w:rFonts w:ascii="Times New Roman"/>
        </w:rPr>
        <w:t>防水设计应满足以下要求：</w:t>
      </w:r>
    </w:p>
    <w:p>
      <w:pPr>
        <w:pStyle w:val="174"/>
        <w:numPr>
          <w:ilvl w:val="0"/>
          <w:numId w:val="46"/>
        </w:numPr>
      </w:pPr>
      <w:r>
        <w:rPr>
          <w:rFonts w:hint="eastAsia"/>
        </w:rPr>
        <w:t>纵向施工缝宜采用粘贴遇水膨胀胶条和安设止水带复合的方式；</w:t>
      </w:r>
    </w:p>
    <w:p>
      <w:pPr>
        <w:pStyle w:val="174"/>
      </w:pPr>
      <w:r>
        <w:rPr>
          <w:rFonts w:hint="eastAsia"/>
        </w:rPr>
        <w:t>环向施工缝宜采用设置中埋式止水带和外贴式止水带复合的方式，也可采用中埋式止水带与预埋注浆管路复合的方式。</w:t>
      </w:r>
    </w:p>
    <w:p>
      <w:pPr>
        <w:pStyle w:val="174"/>
      </w:pPr>
      <w:r>
        <w:rPr>
          <w:rFonts w:hint="eastAsia"/>
        </w:rPr>
        <w:t>二次衬砌变形缝宜首选中埋式止水带，其次可选外贴式止水带，附贴式或可卸式等内装式止水带；</w:t>
      </w:r>
    </w:p>
    <w:p>
      <w:pPr>
        <w:pStyle w:val="174"/>
      </w:pPr>
      <w:r>
        <w:rPr>
          <w:rFonts w:hint="eastAsia"/>
        </w:rPr>
        <w:t>二次衬砌厚度小于300mm时，不宜采用中埋式止水带设计，可采用内装可卸式止水带设计，止水带设计如下图2所示。</w:t>
      </w:r>
    </w:p>
    <w:p>
      <w:pPr>
        <w:pStyle w:val="56"/>
        <w:ind w:firstLine="420"/>
        <w:jc w:val="center"/>
      </w:pPr>
      <w:r>
        <w:drawing>
          <wp:inline distT="0" distB="0" distL="0" distR="0">
            <wp:extent cx="3321685" cy="2925445"/>
            <wp:effectExtent l="0" t="0" r="0" b="8255"/>
            <wp:docPr id="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true" noChangeArrowheads="true"/>
                    </pic:cNvPicPr>
                  </pic:nvPicPr>
                  <pic:blipFill>
                    <a:blip r:embed="rId25">
                      <a:extLst>
                        <a:ext uri="{28A0092B-C50C-407E-A947-70E740481C1C}">
                          <a14:useLocalDpi xmlns:a14="http://schemas.microsoft.com/office/drawing/2010/main" val="false"/>
                        </a:ext>
                      </a:extLst>
                    </a:blip>
                    <a:srcRect/>
                    <a:stretch>
                      <a:fillRect/>
                    </a:stretch>
                  </pic:blipFill>
                  <pic:spPr>
                    <a:xfrm>
                      <a:off x="0" y="0"/>
                      <a:ext cx="3322423" cy="2926052"/>
                    </a:xfrm>
                    <a:prstGeom prst="rect">
                      <a:avLst/>
                    </a:prstGeom>
                    <a:noFill/>
                    <a:ln>
                      <a:noFill/>
                    </a:ln>
                  </pic:spPr>
                </pic:pic>
              </a:graphicData>
            </a:graphic>
          </wp:inline>
        </w:drawing>
      </w:r>
    </w:p>
    <w:p>
      <w:pPr>
        <w:pStyle w:val="179"/>
        <w:rPr>
          <w:lang w:bidi="ar"/>
        </w:rPr>
      </w:pPr>
      <w:r>
        <w:rPr>
          <w:rFonts w:hint="eastAsia"/>
          <w:lang w:bidi="ar"/>
        </w:rPr>
        <w:t>1—外贴式止水带。2—填缝板。3—改性聚硫密封胶。4—防水涂料。5—Ω橡胶止水带。6—不锈钢压板。7—聚合物水泥砂浆。8—膨胀型机械锚栓。9—外衬管片。10—现浇钢筋混凝土二次衬砌</w:t>
      </w:r>
    </w:p>
    <w:p>
      <w:pPr>
        <w:pStyle w:val="114"/>
        <w:spacing w:before="156" w:after="156"/>
        <w:rPr>
          <w:lang w:bidi="ar"/>
        </w:rPr>
      </w:pPr>
      <w:r>
        <w:rPr>
          <w:rFonts w:hint="eastAsia"/>
          <w:lang w:bidi="ar"/>
        </w:rPr>
        <w:t>内装可卸式止水带设计</w:t>
      </w:r>
    </w:p>
    <w:p>
      <w:pPr>
        <w:pStyle w:val="165"/>
        <w:ind w:left="0"/>
      </w:pPr>
      <w:r>
        <w:t>防水设计应符合现行国家标准《地下工程防水技术规范》GB 50108的有关规定。</w:t>
      </w:r>
    </w:p>
    <w:p>
      <w:pPr>
        <w:pStyle w:val="56"/>
        <w:ind w:firstLine="420"/>
        <w:rPr>
          <w:lang w:bidi="ar"/>
        </w:rPr>
      </w:pPr>
    </w:p>
    <w:p>
      <w:pPr>
        <w:pStyle w:val="105"/>
        <w:spacing w:before="156" w:after="156"/>
        <w:ind w:left="0"/>
        <w:rPr>
          <w:rFonts w:ascii="Times New Roman"/>
        </w:rPr>
      </w:pPr>
      <w:bookmarkStart w:id="135" w:name="_Toc130218758"/>
      <w:bookmarkStart w:id="136" w:name="_Toc130215171"/>
      <w:bookmarkStart w:id="137" w:name="_Toc129276123"/>
      <w:r>
        <w:rPr>
          <w:rFonts w:ascii="Times New Roman"/>
        </w:rPr>
        <w:t>防腐蚀设计</w:t>
      </w:r>
      <w:bookmarkEnd w:id="135"/>
      <w:bookmarkEnd w:id="136"/>
      <w:bookmarkEnd w:id="137"/>
    </w:p>
    <w:p>
      <w:pPr>
        <w:pStyle w:val="165"/>
        <w:ind w:left="0"/>
        <w:rPr>
          <w:rFonts w:ascii="Times New Roman"/>
        </w:rPr>
      </w:pPr>
      <w:r>
        <w:rPr>
          <w:rFonts w:ascii="Times New Roman"/>
        </w:rPr>
        <w:t>盾构法输水隧道现浇钢筋混凝土二次衬砌结构的防腐蚀设计应通过提高混凝土结构自身耐久性能，辅以附加防腐蚀措施，并进行施工质量控制及使用期检测维护等，使混凝土结构达到设计使用年限。</w:t>
      </w:r>
    </w:p>
    <w:p>
      <w:pPr>
        <w:pStyle w:val="165"/>
        <w:ind w:left="0"/>
        <w:rPr>
          <w:rFonts w:ascii="Times New Roman"/>
        </w:rPr>
      </w:pPr>
      <w:r>
        <w:rPr>
          <w:rFonts w:ascii="Times New Roman"/>
        </w:rPr>
        <w:t>二次衬砌结构防腐设计应根据结构的设计使用年限、内部水流类别及作用等级、结构重要性，并考虑施工条件、维护便利性及全寿命成本等因素进行合理设计。</w:t>
      </w:r>
    </w:p>
    <w:p>
      <w:pPr>
        <w:pStyle w:val="165"/>
        <w:ind w:left="0"/>
        <w:rPr>
          <w:rFonts w:ascii="Times New Roman"/>
        </w:rPr>
      </w:pPr>
      <w:r>
        <w:rPr>
          <w:rFonts w:ascii="Times New Roman"/>
        </w:rPr>
        <w:t>二次衬砌结构防腐设计前应进行专门的腐蚀环境调查，调查的内容应包括拟输水水体Cl</w:t>
      </w:r>
      <w:r>
        <w:rPr>
          <w:rFonts w:ascii="Times New Roman"/>
          <w:vertAlign w:val="superscript"/>
        </w:rPr>
        <w:t>-</w:t>
      </w:r>
      <w:r>
        <w:rPr>
          <w:rFonts w:ascii="Times New Roman"/>
        </w:rPr>
        <w:t>、SO</w:t>
      </w:r>
      <w:r>
        <w:rPr>
          <w:rFonts w:ascii="Times New Roman"/>
          <w:vertAlign w:val="subscript"/>
        </w:rPr>
        <w:t>4</w:t>
      </w:r>
      <w:r>
        <w:rPr>
          <w:rFonts w:ascii="Times New Roman"/>
          <w:vertAlign w:val="superscript"/>
        </w:rPr>
        <w:t>2-</w:t>
      </w:r>
      <w:r>
        <w:rPr>
          <w:rFonts w:ascii="Times New Roman"/>
        </w:rPr>
        <w:t>、H</w:t>
      </w:r>
      <w:r>
        <w:rPr>
          <w:rFonts w:ascii="Times New Roman"/>
          <w:vertAlign w:val="subscript"/>
        </w:rPr>
        <w:t>2</w:t>
      </w:r>
      <w:r>
        <w:rPr>
          <w:rFonts w:ascii="Times New Roman"/>
        </w:rPr>
        <w:t>S</w:t>
      </w:r>
      <w:r>
        <w:rPr>
          <w:rFonts w:ascii="Times New Roman"/>
          <w:vertAlign w:val="superscript"/>
        </w:rPr>
        <w:t>-</w:t>
      </w:r>
      <w:r>
        <w:rPr>
          <w:rFonts w:ascii="Times New Roman"/>
        </w:rPr>
        <w:t>等离子含量或存在的其他侵蚀介质</w:t>
      </w:r>
      <w:r>
        <w:rPr>
          <w:rFonts w:hint="eastAsia" w:ascii="Times New Roman"/>
        </w:rPr>
        <w:t>，pH值、</w:t>
      </w:r>
      <w:r>
        <w:rPr>
          <w:rFonts w:ascii="Times New Roman"/>
        </w:rPr>
        <w:t>电阻率等。</w:t>
      </w:r>
    </w:p>
    <w:p>
      <w:pPr>
        <w:pStyle w:val="165"/>
        <w:ind w:left="0"/>
        <w:rPr>
          <w:rFonts w:ascii="Times New Roman"/>
        </w:rPr>
      </w:pPr>
      <w:r>
        <w:rPr>
          <w:rFonts w:ascii="Times New Roman"/>
        </w:rPr>
        <w:t>针对不同的输水水体成分，防腐蚀设计应符合下列规定：</w:t>
      </w:r>
    </w:p>
    <w:p>
      <w:pPr>
        <w:pStyle w:val="174"/>
        <w:numPr>
          <w:ilvl w:val="0"/>
          <w:numId w:val="47"/>
        </w:numPr>
        <w:rPr>
          <w:lang w:bidi="ar"/>
        </w:rPr>
      </w:pPr>
      <w:r>
        <w:rPr>
          <w:lang w:bidi="ar"/>
        </w:rPr>
        <w:t>含氯离子水体应针对氯离子在混凝土内渗透导致的混凝土中钢筋腐蚀；</w:t>
      </w:r>
    </w:p>
    <w:p>
      <w:pPr>
        <w:pStyle w:val="174"/>
        <w:rPr>
          <w:lang w:bidi="ar"/>
        </w:rPr>
      </w:pPr>
      <w:r>
        <w:rPr>
          <w:lang w:bidi="ar"/>
        </w:rPr>
        <w:t>含化学腐蚀离子水体应针对混凝土遭受化学腐蚀性物质侵蚀引起的损伤；</w:t>
      </w:r>
    </w:p>
    <w:p>
      <w:pPr>
        <w:pStyle w:val="174"/>
        <w:rPr>
          <w:lang w:bidi="ar"/>
        </w:rPr>
      </w:pPr>
      <w:r>
        <w:rPr>
          <w:lang w:bidi="ar"/>
        </w:rPr>
        <w:t>含微生物水体应针对微生物代谢中间产物或终产物对混凝土侵蚀引起的损伤。</w:t>
      </w:r>
    </w:p>
    <w:p>
      <w:pPr>
        <w:pStyle w:val="165"/>
        <w:ind w:left="0"/>
        <w:rPr>
          <w:rFonts w:ascii="Times New Roman"/>
        </w:rPr>
      </w:pPr>
      <w:r>
        <w:rPr>
          <w:rFonts w:ascii="Times New Roman"/>
        </w:rPr>
        <w:t>二次衬砌结构的防腐蚀设计应包括以下内容：</w:t>
      </w:r>
    </w:p>
    <w:p>
      <w:pPr>
        <w:pStyle w:val="174"/>
        <w:numPr>
          <w:ilvl w:val="0"/>
          <w:numId w:val="48"/>
        </w:numPr>
      </w:pPr>
      <w:r>
        <w:t>结构或构件的设计使用年限、侵蚀性介质类别及</w:t>
      </w:r>
      <w:r>
        <w:rPr>
          <w:rFonts w:hint="eastAsia"/>
        </w:rPr>
        <w:t>环境类别</w:t>
      </w:r>
      <w:r>
        <w:t>；</w:t>
      </w:r>
    </w:p>
    <w:p>
      <w:pPr>
        <w:pStyle w:val="174"/>
      </w:pPr>
      <w:r>
        <w:t>有利于减轻或抵抗环境作用的结构和构件形式，可修复性说明；</w:t>
      </w:r>
    </w:p>
    <w:p>
      <w:pPr>
        <w:pStyle w:val="174"/>
      </w:pPr>
      <w:r>
        <w:t>混凝土保护层厚度、裂缝控制要求等；</w:t>
      </w:r>
    </w:p>
    <w:p>
      <w:pPr>
        <w:pStyle w:val="174"/>
      </w:pPr>
      <w:r>
        <w:t>混凝土性能要求，包括强度等级、抗氯离子渗透性、抗硫酸盐侵蚀等级、抗渗等级、抗硫化物侵蚀等级、拌合物氯离子含量和含气量等指标；</w:t>
      </w:r>
    </w:p>
    <w:p>
      <w:pPr>
        <w:pStyle w:val="174"/>
      </w:pPr>
      <w:r>
        <w:t>混凝土原材料质量及配合比要求，包括水泥和掺合料等胶凝材料、粗细骨料、拌合水和外加剂等质量及配比要求，规定水胶比、胶凝材料用量限值等；</w:t>
      </w:r>
    </w:p>
    <w:p>
      <w:pPr>
        <w:pStyle w:val="174"/>
      </w:pPr>
      <w:r>
        <w:t>附加防腐蚀措施及设计防护年限等；</w:t>
      </w:r>
    </w:p>
    <w:p>
      <w:pPr>
        <w:pStyle w:val="174"/>
      </w:pPr>
      <w:r>
        <w:t>试用阶段监测维护要求和建议等。</w:t>
      </w:r>
    </w:p>
    <w:p>
      <w:pPr>
        <w:pStyle w:val="165"/>
        <w:ind w:left="0"/>
        <w:rPr>
          <w:rFonts w:ascii="Times New Roman"/>
        </w:rPr>
      </w:pPr>
      <w:r>
        <w:rPr>
          <w:rFonts w:ascii="Times New Roman"/>
        </w:rPr>
        <w:t>二次衬砌结构的防腐蚀技术措施</w:t>
      </w:r>
      <w:r>
        <w:rPr>
          <w:rFonts w:hint="eastAsia" w:ascii="Times New Roman"/>
        </w:rPr>
        <w:t>应</w:t>
      </w:r>
      <w:r>
        <w:rPr>
          <w:rFonts w:ascii="Times New Roman"/>
        </w:rPr>
        <w:t>包括本体措施和附加措施</w:t>
      </w:r>
      <w:r>
        <w:rPr>
          <w:rFonts w:hint="eastAsia" w:ascii="Times New Roman"/>
        </w:rPr>
        <w:t>两方面，</w:t>
      </w:r>
      <w:r>
        <w:rPr>
          <w:rFonts w:ascii="Times New Roman"/>
        </w:rPr>
        <w:t>主要技术措施见</w:t>
      </w:r>
      <w:r>
        <w:rPr>
          <w:rFonts w:hint="eastAsia" w:ascii="Times New Roman"/>
        </w:rPr>
        <w:t>下</w:t>
      </w:r>
      <w:r>
        <w:rPr>
          <w:rFonts w:ascii="Times New Roman"/>
        </w:rPr>
        <w:t>表3。</w:t>
      </w:r>
    </w:p>
    <w:p>
      <w:pPr>
        <w:pStyle w:val="112"/>
        <w:spacing w:before="156" w:after="156"/>
        <w:rPr>
          <w:rFonts w:ascii="Times New Roman"/>
        </w:rPr>
      </w:pPr>
      <w:r>
        <w:rPr>
          <w:rFonts w:hint="eastAsia" w:ascii="Times New Roman"/>
        </w:rPr>
        <w:t>二次衬砌</w:t>
      </w:r>
      <w:r>
        <w:rPr>
          <w:rFonts w:ascii="Times New Roman"/>
        </w:rPr>
        <w:t>防腐蚀技术措施</w:t>
      </w:r>
    </w:p>
    <w:tbl>
      <w:tblPr>
        <w:tblStyle w:val="27"/>
        <w:tblW w:w="957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152"/>
        <w:gridCol w:w="4181"/>
        <w:gridCol w:w="2086"/>
        <w:gridCol w:w="21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1152" w:type="dxa"/>
            <w:tcBorders>
              <w:top w:val="single" w:color="auto" w:sz="8" w:space="0"/>
              <w:bottom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环境类别</w:t>
            </w:r>
          </w:p>
        </w:tc>
        <w:tc>
          <w:tcPr>
            <w:tcW w:w="4181" w:type="dxa"/>
            <w:tcBorders>
              <w:top w:val="single" w:color="auto" w:sz="8" w:space="0"/>
              <w:bottom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混凝土本体措施</w:t>
            </w:r>
          </w:p>
        </w:tc>
        <w:tc>
          <w:tcPr>
            <w:tcW w:w="2086" w:type="dxa"/>
            <w:tcBorders>
              <w:top w:val="single" w:color="auto" w:sz="8" w:space="0"/>
              <w:bottom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附加措施</w:t>
            </w:r>
          </w:p>
        </w:tc>
        <w:tc>
          <w:tcPr>
            <w:tcW w:w="2151" w:type="dxa"/>
            <w:tcBorders>
              <w:top w:val="single" w:color="auto" w:sz="8" w:space="0"/>
              <w:bottom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钢筋选择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1152" w:type="dxa"/>
            <w:tcBorders>
              <w:top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氯盐环境</w:t>
            </w:r>
          </w:p>
        </w:tc>
        <w:tc>
          <w:tcPr>
            <w:tcW w:w="4181" w:type="dxa"/>
            <w:tcBorders>
              <w:top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原材料、配合比、强度等级、抗氯离子渗透性、保护层厚度、裂缝宽度限值</w:t>
            </w:r>
          </w:p>
        </w:tc>
        <w:tc>
          <w:tcPr>
            <w:tcW w:w="2086" w:type="dxa"/>
            <w:tcBorders>
              <w:top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涂层防护、钢筋阻锈剂、合成纤维、阴极保护</w:t>
            </w:r>
          </w:p>
        </w:tc>
        <w:tc>
          <w:tcPr>
            <w:tcW w:w="2151" w:type="dxa"/>
            <w:tcBorders>
              <w:top w:val="single" w:color="auto" w:sz="8" w:space="0"/>
            </w:tcBorders>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普通碳钢钢筋、耐蚀钢筋、涂层钢筋、镀层钢筋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1152"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化学腐蚀环境</w:t>
            </w:r>
          </w:p>
        </w:tc>
        <w:tc>
          <w:tcPr>
            <w:tcW w:w="4181"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原材料、配合比、强度等级、抗渗等级、含气量、抗硫酸盐侵蚀等级、抗硫化物侵蚀等级</w:t>
            </w:r>
          </w:p>
        </w:tc>
        <w:tc>
          <w:tcPr>
            <w:tcW w:w="2086"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耐蚀剂、涂层防护</w:t>
            </w:r>
          </w:p>
        </w:tc>
        <w:tc>
          <w:tcPr>
            <w:tcW w:w="2151"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普通碳钢钢筋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1152"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微生物环境</w:t>
            </w:r>
          </w:p>
        </w:tc>
        <w:tc>
          <w:tcPr>
            <w:tcW w:w="4181"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原材料、配合比、强度等级、抗渗等级、含气量、抗微生物代谢产物侵蚀等级</w:t>
            </w:r>
          </w:p>
        </w:tc>
        <w:tc>
          <w:tcPr>
            <w:tcW w:w="2086"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耐蚀剂、涂层防护</w:t>
            </w:r>
          </w:p>
        </w:tc>
        <w:tc>
          <w:tcPr>
            <w:tcW w:w="2151" w:type="dxa"/>
            <w:shd w:val="clear" w:color="auto" w:fill="auto"/>
            <w:vAlign w:val="center"/>
          </w:tcPr>
          <w:p>
            <w:pPr>
              <w:pStyle w:val="164"/>
              <w:numPr>
                <w:ilvl w:val="4"/>
                <w:numId w:val="0"/>
              </w:numPr>
              <w:jc w:val="center"/>
              <w:rPr>
                <w:rFonts w:ascii="Times New Roman"/>
                <w:sz w:val="18"/>
                <w:szCs w:val="18"/>
                <w:lang w:bidi="ar"/>
              </w:rPr>
            </w:pPr>
            <w:r>
              <w:rPr>
                <w:rFonts w:ascii="Times New Roman"/>
                <w:sz w:val="18"/>
                <w:szCs w:val="18"/>
                <w:lang w:bidi="ar"/>
              </w:rPr>
              <w:t>普通碳钢钢筋</w:t>
            </w:r>
          </w:p>
        </w:tc>
      </w:tr>
    </w:tbl>
    <w:p>
      <w:pPr>
        <w:pStyle w:val="165"/>
        <w:ind w:left="0"/>
        <w:rPr>
          <w:rFonts w:ascii="Times New Roman"/>
        </w:rPr>
      </w:pPr>
      <w:r>
        <w:rPr>
          <w:rFonts w:ascii="Times New Roman"/>
        </w:rPr>
        <w:t>二次衬砌结构防腐蚀设计的施工质量控制及抗裂措施</w:t>
      </w:r>
      <w:r>
        <w:rPr>
          <w:rFonts w:hint="eastAsia" w:ascii="Times New Roman"/>
        </w:rPr>
        <w:t>应</w:t>
      </w:r>
      <w:r>
        <w:rPr>
          <w:rFonts w:ascii="Times New Roman"/>
        </w:rPr>
        <w:t>按照现行国家相关规范标准执行。</w:t>
      </w:r>
    </w:p>
    <w:p>
      <w:pPr>
        <w:pStyle w:val="105"/>
        <w:spacing w:before="156" w:after="156"/>
        <w:ind w:left="0"/>
        <w:rPr>
          <w:rFonts w:ascii="Times New Roman"/>
        </w:rPr>
      </w:pPr>
      <w:bookmarkStart w:id="138" w:name="_Toc129276124"/>
      <w:bookmarkStart w:id="139" w:name="_Toc130215172"/>
      <w:bookmarkStart w:id="140" w:name="_Toc130218759"/>
      <w:r>
        <w:rPr>
          <w:rFonts w:ascii="Times New Roman"/>
        </w:rPr>
        <w:t>抗冲磨设计</w:t>
      </w:r>
      <w:bookmarkEnd w:id="138"/>
      <w:bookmarkEnd w:id="139"/>
      <w:bookmarkEnd w:id="140"/>
    </w:p>
    <w:p>
      <w:pPr>
        <w:pStyle w:val="165"/>
        <w:ind w:left="0"/>
        <w:rPr>
          <w:rFonts w:ascii="Times New Roman"/>
        </w:rPr>
      </w:pPr>
      <w:r>
        <w:rPr>
          <w:rFonts w:ascii="Times New Roman"/>
        </w:rPr>
        <w:t>盾构法输水隧道与水流接触段的平面布置宜</w:t>
      </w:r>
      <w:r>
        <w:rPr>
          <w:rFonts w:hint="eastAsia" w:ascii="Times New Roman"/>
        </w:rPr>
        <w:t>优先</w:t>
      </w:r>
      <w:r>
        <w:rPr>
          <w:rFonts w:ascii="Times New Roman"/>
        </w:rPr>
        <w:t>采用直线</w:t>
      </w:r>
      <w:r>
        <w:rPr>
          <w:rFonts w:hint="eastAsia" w:ascii="Times New Roman"/>
        </w:rPr>
        <w:t>形</w:t>
      </w:r>
      <w:r>
        <w:rPr>
          <w:rFonts w:ascii="Times New Roman"/>
        </w:rPr>
        <w:t>。</w:t>
      </w:r>
      <w:r>
        <w:rPr>
          <w:rFonts w:hint="eastAsia" w:ascii="Times New Roman"/>
        </w:rPr>
        <w:t>当</w:t>
      </w:r>
      <w:r>
        <w:rPr>
          <w:rFonts w:ascii="Times New Roman"/>
        </w:rPr>
        <w:t>必须设置弯道段</w:t>
      </w:r>
      <w:r>
        <w:rPr>
          <w:rFonts w:hint="eastAsia" w:ascii="Times New Roman"/>
        </w:rPr>
        <w:t>时</w:t>
      </w:r>
      <w:r>
        <w:rPr>
          <w:rFonts w:ascii="Times New Roman"/>
        </w:rPr>
        <w:t>，弯道段的平面布置应采用大半径、小转角的弯道；纵剖面曲线应连续、平顺。当内水流速大于25m/s时，应开展水工模型试验，使形体简单合理、水流平稳，避免发生空蚀。</w:t>
      </w:r>
    </w:p>
    <w:p>
      <w:pPr>
        <w:pStyle w:val="165"/>
        <w:ind w:left="0"/>
        <w:rPr>
          <w:rFonts w:ascii="Times New Roman"/>
        </w:rPr>
      </w:pPr>
      <w:r>
        <w:rPr>
          <w:rFonts w:ascii="Times New Roman"/>
        </w:rPr>
        <w:t>盾构法输水隧道含固体颗粒高速水流方向和二次衬砌沿线平面夹角大于10°时，应提高二次衬砌混凝土的强度等级。</w:t>
      </w:r>
    </w:p>
    <w:p>
      <w:pPr>
        <w:pStyle w:val="165"/>
        <w:ind w:left="0"/>
        <w:rPr>
          <w:rFonts w:ascii="Times New Roman"/>
        </w:rPr>
      </w:pPr>
      <w:r>
        <w:rPr>
          <w:rFonts w:ascii="Times New Roman"/>
        </w:rPr>
        <w:t>二次衬砌结构抗冲磨设计应做好拟传输水体中固体颗粒的体积含量、颗粒形状、粒径、硬度、矿物成分、异重流运动规律等信息的收集，推移质多的水体应收集推移质的数量、粒径及其运动方式，并运用水工模型分析其对混凝土表面的冲磨影响。</w:t>
      </w:r>
    </w:p>
    <w:p>
      <w:pPr>
        <w:pStyle w:val="165"/>
        <w:ind w:left="0"/>
        <w:rPr>
          <w:rFonts w:ascii="Times New Roman"/>
        </w:rPr>
      </w:pPr>
      <w:r>
        <w:rPr>
          <w:rFonts w:hint="eastAsia" w:ascii="Times New Roman"/>
        </w:rPr>
        <w:t>在较易发生水流冲蚀的环境下，二次衬砌结构表面设置抗冲磨护面材料，护面材料可采用环氧树脂砂浆、聚合物纤维砂浆、不饱和聚醋树脂砂浆、丙烯酸树脂砂浆、聚氨酯砂浆等，其与二次衬砌结构间的界面粘结力不得小于1.5MPa、线膨胀系数之比应小于4。未设置护面材料的二次衬砌结构应满足以下要求：</w:t>
      </w:r>
    </w:p>
    <w:p>
      <w:pPr>
        <w:pStyle w:val="174"/>
        <w:numPr>
          <w:ilvl w:val="0"/>
          <w:numId w:val="49"/>
        </w:numPr>
      </w:pPr>
      <w:r>
        <w:rPr>
          <w:rFonts w:hint="eastAsia"/>
        </w:rPr>
        <w:t>二次衬砌应采用抗冲磨损率小于4%、冲磨韧性大于25kN·m、收缩率小于400×10</w:t>
      </w:r>
      <w:r>
        <w:rPr>
          <w:rFonts w:hint="eastAsia"/>
          <w:vertAlign w:val="superscript"/>
        </w:rPr>
        <w:t>-6</w:t>
      </w:r>
      <w:r>
        <w:rPr>
          <w:rFonts w:hint="eastAsia"/>
        </w:rPr>
        <w:t>的高性能混凝土；</w:t>
      </w:r>
    </w:p>
    <w:p>
      <w:pPr>
        <w:pStyle w:val="174"/>
      </w:pPr>
      <w:r>
        <w:rPr>
          <w:rFonts w:hint="eastAsia"/>
        </w:rPr>
        <w:t>接近抗水流冲蚀面的钢筋保护层厚度应大于5cm，且采取平行水流的方向布筋。</w:t>
      </w:r>
    </w:p>
    <w:p>
      <w:pPr>
        <w:pStyle w:val="165"/>
        <w:ind w:left="0"/>
        <w:rPr>
          <w:rFonts w:ascii="Times New Roman"/>
        </w:rPr>
      </w:pPr>
      <w:r>
        <w:rPr>
          <w:rFonts w:ascii="Times New Roman"/>
        </w:rPr>
        <w:t>二次衬砌结构</w:t>
      </w:r>
      <w:r>
        <w:rPr>
          <w:rFonts w:hint="eastAsia" w:ascii="Times New Roman"/>
        </w:rPr>
        <w:t>用</w:t>
      </w:r>
      <w:r>
        <w:rPr>
          <w:rFonts w:ascii="Times New Roman"/>
        </w:rPr>
        <w:t>混凝土应通过</w:t>
      </w:r>
      <w:r>
        <w:rPr>
          <w:rFonts w:hint="eastAsia" w:ascii="Times New Roman"/>
        </w:rPr>
        <w:t>《水工混凝土试验规程》SL 352进行</w:t>
      </w:r>
      <w:r>
        <w:rPr>
          <w:rFonts w:ascii="Times New Roman"/>
        </w:rPr>
        <w:t>配合比优化设计</w:t>
      </w:r>
      <w:r>
        <w:rPr>
          <w:rFonts w:hint="eastAsia" w:ascii="Times New Roman"/>
        </w:rPr>
        <w:t>和</w:t>
      </w:r>
      <w:r>
        <w:rPr>
          <w:rFonts w:ascii="Times New Roman"/>
        </w:rPr>
        <w:t>抗冲磨强度优选试验。</w:t>
      </w:r>
    </w:p>
    <w:p>
      <w:pPr>
        <w:pStyle w:val="104"/>
        <w:spacing w:before="312" w:after="312"/>
      </w:pPr>
      <w:bookmarkStart w:id="141" w:name="_Toc130215173"/>
      <w:bookmarkStart w:id="142" w:name="_Toc130218760"/>
      <w:bookmarkStart w:id="143" w:name="_Toc129276125"/>
      <w:bookmarkStart w:id="144" w:name="_Toc69230951"/>
      <w:r>
        <w:t>施工</w:t>
      </w:r>
      <w:bookmarkEnd w:id="141"/>
      <w:bookmarkEnd w:id="142"/>
      <w:bookmarkEnd w:id="143"/>
      <w:bookmarkEnd w:id="144"/>
    </w:p>
    <w:p>
      <w:pPr>
        <w:pStyle w:val="105"/>
        <w:spacing w:before="156" w:after="156"/>
        <w:ind w:left="0"/>
      </w:pPr>
      <w:bookmarkStart w:id="145" w:name="_Toc130215174"/>
      <w:bookmarkStart w:id="146" w:name="_Toc130218761"/>
      <w:bookmarkStart w:id="147" w:name="_Toc129276126"/>
      <w:bookmarkStart w:id="148" w:name="_Toc69230952"/>
      <w:bookmarkStart w:id="149" w:name="_Toc62634958"/>
      <w:r>
        <w:t>一般规定</w:t>
      </w:r>
      <w:bookmarkEnd w:id="145"/>
      <w:bookmarkEnd w:id="146"/>
      <w:bookmarkEnd w:id="147"/>
      <w:bookmarkEnd w:id="148"/>
      <w:bookmarkEnd w:id="149"/>
    </w:p>
    <w:p>
      <w:pPr>
        <w:pStyle w:val="165"/>
        <w:ind w:left="0"/>
      </w:pPr>
      <w:r>
        <w:rPr>
          <w:rFonts w:hint="eastAsia"/>
        </w:rPr>
        <w:t>盾构法输水隧道现浇钢筋混凝土二次衬砌施工应在管片外衬变形稳定且隐蔽验收完成后施作。</w:t>
      </w:r>
    </w:p>
    <w:p>
      <w:pPr>
        <w:pStyle w:val="174"/>
      </w:pPr>
      <w:r>
        <w:rPr>
          <w:rFonts w:hint="eastAsia"/>
        </w:rPr>
        <w:t>管片外衬结构变形稳定指标应采用变化速率与累计值双控，当无地方经验时，可按下表</w:t>
      </w:r>
      <w:r>
        <w:t>4</w:t>
      </w:r>
      <w:r>
        <w:rPr>
          <w:rFonts w:hint="eastAsia"/>
        </w:rPr>
        <w:t>确定。</w:t>
      </w:r>
    </w:p>
    <w:p>
      <w:pPr>
        <w:pStyle w:val="112"/>
        <w:spacing w:before="156" w:after="156"/>
      </w:pPr>
      <w:r>
        <w:rPr>
          <w:rFonts w:hint="eastAsia"/>
        </w:rPr>
        <w:t>管片外衬结构变形稳定指标</w:t>
      </w:r>
    </w:p>
    <w:tbl>
      <w:tblPr>
        <w:tblStyle w:val="27"/>
        <w:tblW w:w="84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948"/>
        <w:gridCol w:w="2435"/>
        <w:gridCol w:w="31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2799" w:type="dxa"/>
            <w:gridSpan w:val="2"/>
            <w:vAlign w:val="center"/>
          </w:tcPr>
          <w:p>
            <w:pPr>
              <w:pStyle w:val="231"/>
              <w:ind w:firstLine="0" w:firstLineChars="0"/>
              <w:jc w:val="center"/>
              <w:rPr>
                <w:rFonts w:hAnsi="宋体"/>
                <w:sz w:val="18"/>
                <w:szCs w:val="18"/>
              </w:rPr>
            </w:pPr>
            <w:r>
              <w:rPr>
                <w:rFonts w:hint="eastAsia" w:hAnsi="宋体"/>
                <w:sz w:val="18"/>
                <w:szCs w:val="18"/>
              </w:rPr>
              <w:t>变形稳定控制项</w:t>
            </w:r>
          </w:p>
        </w:tc>
        <w:tc>
          <w:tcPr>
            <w:tcW w:w="2435" w:type="dxa"/>
            <w:vAlign w:val="center"/>
          </w:tcPr>
          <w:p>
            <w:pPr>
              <w:pStyle w:val="231"/>
              <w:ind w:firstLine="0" w:firstLineChars="0"/>
              <w:jc w:val="center"/>
              <w:rPr>
                <w:rFonts w:hAnsi="宋体"/>
                <w:sz w:val="18"/>
                <w:szCs w:val="18"/>
              </w:rPr>
            </w:pPr>
            <w:r>
              <w:rPr>
                <w:rFonts w:hint="eastAsia" w:hAnsi="宋体"/>
                <w:sz w:val="18"/>
                <w:szCs w:val="18"/>
              </w:rPr>
              <w:t>变化速率控制值（mm/d）</w:t>
            </w:r>
          </w:p>
        </w:tc>
        <w:tc>
          <w:tcPr>
            <w:tcW w:w="3195" w:type="dxa"/>
            <w:vAlign w:val="center"/>
          </w:tcPr>
          <w:p>
            <w:pPr>
              <w:pStyle w:val="231"/>
              <w:ind w:firstLine="0" w:firstLineChars="0"/>
              <w:jc w:val="center"/>
              <w:rPr>
                <w:rFonts w:hAnsi="宋体"/>
                <w:sz w:val="18"/>
                <w:szCs w:val="18"/>
              </w:rPr>
            </w:pPr>
            <w:r>
              <w:rPr>
                <w:rFonts w:hint="eastAsia" w:hAnsi="宋体"/>
                <w:sz w:val="18"/>
                <w:szCs w:val="18"/>
              </w:rPr>
              <w:t>累计值控制值（mm）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851" w:type="dxa"/>
            <w:vMerge w:val="restart"/>
            <w:vAlign w:val="center"/>
          </w:tcPr>
          <w:p>
            <w:pPr>
              <w:pStyle w:val="231"/>
              <w:ind w:firstLine="0" w:firstLineChars="0"/>
              <w:jc w:val="center"/>
              <w:rPr>
                <w:rFonts w:hAnsi="宋体"/>
                <w:sz w:val="18"/>
                <w:szCs w:val="18"/>
              </w:rPr>
            </w:pPr>
            <w:r>
              <w:rPr>
                <w:rFonts w:hint="eastAsia" w:hAnsi="宋体"/>
                <w:sz w:val="18"/>
                <w:szCs w:val="18"/>
              </w:rPr>
              <w:t>管片结构沉降</w:t>
            </w:r>
          </w:p>
        </w:tc>
        <w:tc>
          <w:tcPr>
            <w:tcW w:w="1948" w:type="dxa"/>
            <w:vAlign w:val="center"/>
          </w:tcPr>
          <w:p>
            <w:pPr>
              <w:pStyle w:val="231"/>
              <w:ind w:firstLine="0" w:firstLineChars="0"/>
              <w:jc w:val="center"/>
              <w:rPr>
                <w:rFonts w:hAnsi="宋体"/>
                <w:sz w:val="18"/>
                <w:szCs w:val="18"/>
              </w:rPr>
            </w:pPr>
            <w:r>
              <w:rPr>
                <w:rFonts w:hint="eastAsia" w:hAnsi="宋体"/>
                <w:sz w:val="18"/>
                <w:szCs w:val="18"/>
              </w:rPr>
              <w:t>坚硬</w:t>
            </w:r>
            <w:r>
              <w:rPr>
                <w:rFonts w:hAnsi="宋体"/>
                <w:sz w:val="18"/>
                <w:szCs w:val="18"/>
              </w:rPr>
              <w:t>～</w:t>
            </w:r>
            <w:r>
              <w:rPr>
                <w:rFonts w:hint="eastAsia" w:hAnsi="宋体"/>
                <w:sz w:val="18"/>
                <w:szCs w:val="18"/>
              </w:rPr>
              <w:t>中硬土</w:t>
            </w:r>
          </w:p>
        </w:tc>
        <w:tc>
          <w:tcPr>
            <w:tcW w:w="2435" w:type="dxa"/>
            <w:vAlign w:val="center"/>
          </w:tcPr>
          <w:p>
            <w:pPr>
              <w:pStyle w:val="231"/>
              <w:ind w:firstLine="0" w:firstLineChars="0"/>
              <w:jc w:val="center"/>
              <w:rPr>
                <w:rFonts w:hAnsi="宋体"/>
                <w:sz w:val="18"/>
                <w:szCs w:val="18"/>
              </w:rPr>
            </w:pPr>
            <w:r>
              <w:rPr>
                <w:rFonts w:hAnsi="宋体"/>
                <w:sz w:val="18"/>
                <w:szCs w:val="18"/>
              </w:rPr>
              <w:t>1</w:t>
            </w:r>
          </w:p>
        </w:tc>
        <w:tc>
          <w:tcPr>
            <w:tcW w:w="3195" w:type="dxa"/>
            <w:vAlign w:val="center"/>
          </w:tcPr>
          <w:p>
            <w:pPr>
              <w:pStyle w:val="231"/>
              <w:ind w:firstLine="0" w:firstLineChars="0"/>
              <w:jc w:val="center"/>
              <w:rPr>
                <w:rFonts w:hAnsi="宋体"/>
                <w:sz w:val="18"/>
                <w:szCs w:val="18"/>
              </w:rPr>
            </w:pPr>
            <w:r>
              <w:rPr>
                <w:rFonts w:hAnsi="宋体"/>
                <w:sz w:val="18"/>
                <w:szCs w:val="18"/>
              </w:rPr>
              <w:t>10～20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851" w:type="dxa"/>
            <w:vMerge w:val="continue"/>
            <w:vAlign w:val="center"/>
          </w:tcPr>
          <w:p>
            <w:pPr>
              <w:pStyle w:val="231"/>
              <w:ind w:firstLine="0" w:firstLineChars="0"/>
              <w:jc w:val="center"/>
              <w:rPr>
                <w:rFonts w:hAnsi="宋体"/>
                <w:sz w:val="18"/>
                <w:szCs w:val="18"/>
              </w:rPr>
            </w:pPr>
          </w:p>
        </w:tc>
        <w:tc>
          <w:tcPr>
            <w:tcW w:w="1948" w:type="dxa"/>
            <w:vAlign w:val="center"/>
          </w:tcPr>
          <w:p>
            <w:pPr>
              <w:pStyle w:val="231"/>
              <w:ind w:firstLine="0" w:firstLineChars="0"/>
              <w:jc w:val="center"/>
              <w:rPr>
                <w:rFonts w:hAnsi="宋体"/>
                <w:sz w:val="18"/>
                <w:szCs w:val="18"/>
              </w:rPr>
            </w:pPr>
            <w:r>
              <w:rPr>
                <w:rFonts w:hint="eastAsia" w:hAnsi="宋体"/>
                <w:sz w:val="18"/>
                <w:szCs w:val="18"/>
              </w:rPr>
              <w:t>中软</w:t>
            </w:r>
            <w:r>
              <w:rPr>
                <w:rFonts w:hint="eastAsia" w:hAnsi="宋体"/>
                <w:b/>
                <w:sz w:val="18"/>
                <w:szCs w:val="18"/>
              </w:rPr>
              <w:t>～</w:t>
            </w:r>
            <w:r>
              <w:rPr>
                <w:rFonts w:hint="eastAsia" w:hAnsi="宋体"/>
                <w:sz w:val="18"/>
                <w:szCs w:val="18"/>
              </w:rPr>
              <w:t>软弱土</w:t>
            </w:r>
          </w:p>
        </w:tc>
        <w:tc>
          <w:tcPr>
            <w:tcW w:w="2435" w:type="dxa"/>
            <w:vAlign w:val="center"/>
          </w:tcPr>
          <w:p>
            <w:pPr>
              <w:pStyle w:val="231"/>
              <w:ind w:firstLine="0" w:firstLineChars="0"/>
              <w:jc w:val="center"/>
              <w:rPr>
                <w:rFonts w:hAnsi="宋体"/>
                <w:sz w:val="18"/>
                <w:szCs w:val="18"/>
              </w:rPr>
            </w:pPr>
            <w:r>
              <w:rPr>
                <w:rFonts w:hAnsi="宋体"/>
                <w:sz w:val="18"/>
                <w:szCs w:val="18"/>
              </w:rPr>
              <w:t>1</w:t>
            </w:r>
          </w:p>
        </w:tc>
        <w:tc>
          <w:tcPr>
            <w:tcW w:w="3195" w:type="dxa"/>
            <w:vAlign w:val="center"/>
          </w:tcPr>
          <w:p>
            <w:pPr>
              <w:pStyle w:val="231"/>
              <w:ind w:firstLine="0" w:firstLineChars="0"/>
              <w:jc w:val="center"/>
              <w:rPr>
                <w:rFonts w:hAnsi="宋体"/>
                <w:sz w:val="18"/>
                <w:szCs w:val="18"/>
              </w:rPr>
            </w:pPr>
            <w:r>
              <w:rPr>
                <w:rFonts w:hAnsi="宋体"/>
                <w:sz w:val="18"/>
                <w:szCs w:val="18"/>
              </w:rPr>
              <w:t>20～30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2799" w:type="dxa"/>
            <w:gridSpan w:val="2"/>
            <w:vAlign w:val="center"/>
          </w:tcPr>
          <w:p>
            <w:pPr>
              <w:pStyle w:val="231"/>
              <w:ind w:firstLine="0" w:firstLineChars="0"/>
              <w:jc w:val="center"/>
              <w:rPr>
                <w:rFonts w:hAnsi="宋体"/>
                <w:sz w:val="18"/>
                <w:szCs w:val="18"/>
              </w:rPr>
            </w:pPr>
            <w:r>
              <w:rPr>
                <w:rFonts w:hint="eastAsia" w:hAnsi="宋体"/>
                <w:sz w:val="18"/>
                <w:szCs w:val="18"/>
              </w:rPr>
              <w:t>管片结构上浮</w:t>
            </w:r>
          </w:p>
        </w:tc>
        <w:tc>
          <w:tcPr>
            <w:tcW w:w="2435" w:type="dxa"/>
            <w:vAlign w:val="center"/>
          </w:tcPr>
          <w:p>
            <w:pPr>
              <w:pStyle w:val="231"/>
              <w:ind w:firstLine="0" w:firstLineChars="0"/>
              <w:jc w:val="center"/>
              <w:rPr>
                <w:rFonts w:hAnsi="宋体"/>
                <w:sz w:val="18"/>
                <w:szCs w:val="18"/>
              </w:rPr>
            </w:pPr>
            <w:r>
              <w:rPr>
                <w:rFonts w:hAnsi="宋体"/>
                <w:sz w:val="18"/>
                <w:szCs w:val="18"/>
              </w:rPr>
              <w:t>1</w:t>
            </w:r>
          </w:p>
        </w:tc>
        <w:tc>
          <w:tcPr>
            <w:tcW w:w="3195" w:type="dxa"/>
            <w:vAlign w:val="center"/>
          </w:tcPr>
          <w:p>
            <w:pPr>
              <w:pStyle w:val="231"/>
              <w:ind w:firstLine="0" w:firstLineChars="0"/>
              <w:jc w:val="center"/>
              <w:rPr>
                <w:rFonts w:hAnsi="宋体"/>
                <w:sz w:val="18"/>
                <w:szCs w:val="18"/>
              </w:rPr>
            </w:pPr>
            <w:r>
              <w:rPr>
                <w:rFonts w:hAnsi="宋体"/>
                <w:sz w:val="18"/>
                <w:szCs w:val="1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2799" w:type="dxa"/>
            <w:gridSpan w:val="2"/>
            <w:vAlign w:val="center"/>
          </w:tcPr>
          <w:p>
            <w:pPr>
              <w:pStyle w:val="231"/>
              <w:ind w:firstLine="0" w:firstLineChars="0"/>
              <w:jc w:val="center"/>
              <w:rPr>
                <w:rFonts w:hAnsi="宋体"/>
                <w:sz w:val="18"/>
                <w:szCs w:val="18"/>
              </w:rPr>
            </w:pPr>
            <w:r>
              <w:rPr>
                <w:rFonts w:hint="eastAsia" w:hAnsi="宋体"/>
                <w:sz w:val="18"/>
                <w:szCs w:val="18"/>
              </w:rPr>
              <w:t>管片结构差异沉降</w:t>
            </w:r>
          </w:p>
        </w:tc>
        <w:tc>
          <w:tcPr>
            <w:tcW w:w="2435" w:type="dxa"/>
            <w:vAlign w:val="center"/>
          </w:tcPr>
          <w:p>
            <w:pPr>
              <w:pStyle w:val="231"/>
              <w:ind w:firstLine="0" w:firstLineChars="0"/>
              <w:jc w:val="center"/>
              <w:rPr>
                <w:rFonts w:hAnsi="宋体"/>
                <w:sz w:val="18"/>
                <w:szCs w:val="18"/>
              </w:rPr>
            </w:pPr>
            <w:r>
              <w:rPr>
                <w:rFonts w:hint="eastAsia" w:hAnsi="宋体"/>
                <w:sz w:val="18"/>
                <w:szCs w:val="18"/>
              </w:rPr>
              <w:t>—</w:t>
            </w:r>
          </w:p>
        </w:tc>
        <w:tc>
          <w:tcPr>
            <w:tcW w:w="3195" w:type="dxa"/>
            <w:vAlign w:val="center"/>
          </w:tcPr>
          <w:p>
            <w:pPr>
              <w:pStyle w:val="231"/>
              <w:ind w:firstLine="0" w:firstLineChars="0"/>
              <w:jc w:val="center"/>
              <w:rPr>
                <w:rFonts w:hAnsi="宋体"/>
                <w:sz w:val="18"/>
                <w:szCs w:val="18"/>
              </w:rPr>
            </w:pPr>
            <w:r>
              <w:rPr>
                <w:rFonts w:hAnsi="宋体"/>
                <w:sz w:val="18"/>
                <w:szCs w:val="18"/>
              </w:rPr>
              <w:t>0.04%L</w:t>
            </w:r>
            <w:r>
              <w:rPr>
                <w:rFonts w:hint="eastAsia" w:hAnsi="宋体"/>
                <w:sz w:val="18"/>
                <w:szCs w:val="18"/>
                <w:vertAlign w:val="subscript"/>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2799" w:type="dxa"/>
            <w:gridSpan w:val="2"/>
            <w:vAlign w:val="center"/>
          </w:tcPr>
          <w:p>
            <w:pPr>
              <w:pStyle w:val="231"/>
              <w:ind w:firstLine="0" w:firstLineChars="0"/>
              <w:jc w:val="center"/>
              <w:rPr>
                <w:rFonts w:hAnsi="宋体"/>
                <w:sz w:val="18"/>
                <w:szCs w:val="18"/>
              </w:rPr>
            </w:pPr>
            <w:r>
              <w:rPr>
                <w:rFonts w:hint="eastAsia" w:hAnsi="宋体"/>
                <w:sz w:val="18"/>
                <w:szCs w:val="18"/>
              </w:rPr>
              <w:t>管片结构净空收敛</w:t>
            </w:r>
          </w:p>
        </w:tc>
        <w:tc>
          <w:tcPr>
            <w:tcW w:w="2435" w:type="dxa"/>
            <w:vAlign w:val="center"/>
          </w:tcPr>
          <w:p>
            <w:pPr>
              <w:pStyle w:val="231"/>
              <w:ind w:firstLine="0" w:firstLineChars="0"/>
              <w:jc w:val="center"/>
              <w:rPr>
                <w:rFonts w:hAnsi="宋体"/>
                <w:sz w:val="18"/>
                <w:szCs w:val="18"/>
              </w:rPr>
            </w:pPr>
            <w:r>
              <w:rPr>
                <w:rFonts w:hAnsi="宋体"/>
                <w:sz w:val="18"/>
                <w:szCs w:val="18"/>
              </w:rPr>
              <w:t>1</w:t>
            </w:r>
          </w:p>
        </w:tc>
        <w:tc>
          <w:tcPr>
            <w:tcW w:w="3195" w:type="dxa"/>
            <w:vAlign w:val="center"/>
          </w:tcPr>
          <w:p>
            <w:pPr>
              <w:pStyle w:val="231"/>
              <w:ind w:firstLine="0" w:firstLineChars="0"/>
              <w:jc w:val="center"/>
              <w:rPr>
                <w:rFonts w:hAnsi="宋体"/>
                <w:sz w:val="18"/>
                <w:szCs w:val="18"/>
              </w:rPr>
            </w:pPr>
            <w:r>
              <w:rPr>
                <w:rFonts w:hAnsi="宋体"/>
                <w:sz w:val="18"/>
                <w:szCs w:val="18"/>
              </w:rPr>
              <w:t>0.2%D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blHeader/>
          <w:jc w:val="center"/>
        </w:trPr>
        <w:tc>
          <w:tcPr>
            <w:tcW w:w="8429" w:type="dxa"/>
            <w:gridSpan w:val="4"/>
          </w:tcPr>
          <w:p>
            <w:pPr>
              <w:pStyle w:val="179"/>
              <w:rPr>
                <w:rFonts w:hAnsi="宋体"/>
              </w:rPr>
            </w:pPr>
            <w:r>
              <w:rPr>
                <w:rFonts w:hAnsi="宋体"/>
              </w:rPr>
              <w:t>L</w:t>
            </w:r>
            <w:r>
              <w:rPr>
                <w:rFonts w:hint="eastAsia" w:hAnsi="宋体"/>
                <w:vertAlign w:val="subscript"/>
              </w:rPr>
              <w:t>s</w:t>
            </w:r>
            <w:r>
              <w:rPr>
                <w:rFonts w:ascii="Times New Roman"/>
              </w:rPr>
              <w:t>——</w:t>
            </w:r>
            <w:r>
              <w:rPr>
                <w:rFonts w:hint="eastAsia" w:hAnsi="宋体"/>
              </w:rPr>
              <w:t>沿隧道轴向两监测点间距，D</w:t>
            </w:r>
            <w:r>
              <w:rPr>
                <w:rFonts w:ascii="Times New Roman"/>
              </w:rPr>
              <w:t>——</w:t>
            </w:r>
            <w:r>
              <w:rPr>
                <w:rFonts w:hint="eastAsia" w:hAnsi="宋体"/>
              </w:rPr>
              <w:t>隧道开挖直径，d</w:t>
            </w:r>
            <w:r>
              <w:rPr>
                <w:rFonts w:ascii="Times New Roman"/>
              </w:rPr>
              <w:t>——</w:t>
            </w:r>
            <w:r>
              <w:rPr>
                <w:rFonts w:hint="eastAsia" w:hAnsi="宋体"/>
              </w:rPr>
              <w:t>天。</w:t>
            </w:r>
          </w:p>
        </w:tc>
      </w:tr>
    </w:tbl>
    <w:p>
      <w:pPr>
        <w:pStyle w:val="174"/>
        <w:numPr>
          <w:ilvl w:val="0"/>
          <w:numId w:val="50"/>
        </w:numPr>
      </w:pPr>
      <w:r>
        <w:rPr>
          <w:rFonts w:hint="eastAsia"/>
        </w:rPr>
        <w:t>管片外衬结构隐蔽验收参照《盾构法隧道施工及验收规范》（G</w:t>
      </w:r>
      <w:r>
        <w:t>B50446</w:t>
      </w:r>
      <w:r>
        <w:rPr>
          <w:rFonts w:hint="eastAsia"/>
        </w:rPr>
        <w:t>）成型隧道验收的要求进行。</w:t>
      </w:r>
    </w:p>
    <w:p>
      <w:pPr>
        <w:pStyle w:val="165"/>
        <w:ind w:left="0"/>
      </w:pPr>
      <w:r>
        <w:rPr>
          <w:rFonts w:hint="eastAsia"/>
        </w:rPr>
        <w:t>二次衬砌施工前应编制专项施工方案，并应包含以下内容：</w:t>
      </w:r>
    </w:p>
    <w:p>
      <w:pPr>
        <w:pStyle w:val="174"/>
        <w:numPr>
          <w:ilvl w:val="0"/>
          <w:numId w:val="51"/>
        </w:numPr>
      </w:pPr>
      <w:r>
        <w:t>工作井及隧道内临时设施布置</w:t>
      </w:r>
      <w:r>
        <w:rPr>
          <w:rFonts w:hint="eastAsia"/>
        </w:rPr>
        <w:t>；</w:t>
      </w:r>
    </w:p>
    <w:p>
      <w:pPr>
        <w:pStyle w:val="174"/>
      </w:pPr>
      <w:r>
        <w:rPr>
          <w:rFonts w:hint="eastAsia"/>
        </w:rPr>
        <w:t>外衬管片基面处理要求；</w:t>
      </w:r>
    </w:p>
    <w:p>
      <w:pPr>
        <w:pStyle w:val="174"/>
      </w:pPr>
      <w:r>
        <w:t>模板体系设计</w:t>
      </w:r>
      <w:r>
        <w:rPr>
          <w:rFonts w:hint="eastAsia"/>
        </w:rPr>
        <w:t>；</w:t>
      </w:r>
    </w:p>
    <w:p>
      <w:pPr>
        <w:pStyle w:val="174"/>
      </w:pPr>
      <w:r>
        <w:t>钢筋及混凝土水平运输工艺</w:t>
      </w:r>
      <w:r>
        <w:rPr>
          <w:rFonts w:hint="eastAsia"/>
        </w:rPr>
        <w:t>；</w:t>
      </w:r>
    </w:p>
    <w:p>
      <w:pPr>
        <w:pStyle w:val="174"/>
      </w:pPr>
      <w:r>
        <w:rPr>
          <w:rFonts w:hint="eastAsia"/>
        </w:rPr>
        <w:t>隧道风、水、电供应措施；</w:t>
      </w:r>
    </w:p>
    <w:p>
      <w:pPr>
        <w:pStyle w:val="174"/>
      </w:pPr>
      <w:r>
        <w:t>轨行区作业安全措施</w:t>
      </w:r>
      <w:r>
        <w:rPr>
          <w:rFonts w:hint="eastAsia"/>
        </w:rPr>
        <w:t>；</w:t>
      </w:r>
    </w:p>
    <w:p>
      <w:pPr>
        <w:pStyle w:val="174"/>
      </w:pPr>
      <w:r>
        <w:t>常见质量缺陷防治及处理措施</w:t>
      </w:r>
      <w:r>
        <w:rPr>
          <w:rFonts w:hint="eastAsia"/>
        </w:rPr>
        <w:t>；</w:t>
      </w:r>
    </w:p>
    <w:p>
      <w:pPr>
        <w:pStyle w:val="174"/>
      </w:pPr>
      <w:r>
        <w:rPr>
          <w:rFonts w:hint="eastAsia"/>
        </w:rPr>
        <w:t>应急救援预案。</w:t>
      </w:r>
    </w:p>
    <w:p>
      <w:pPr>
        <w:pStyle w:val="165"/>
        <w:ind w:left="0"/>
      </w:pPr>
      <w:r>
        <w:rPr>
          <w:rFonts w:hint="eastAsia"/>
        </w:rPr>
        <w:t>二次衬砌施工工艺应结合隧道断面大小、隧道长度、工期要求等选取，可采用仰拱先行，门架式拱墙台车跟进的施工方法，当隧道断面较小时宜采用全圆针梁式台车或穿行式台车一次成型。</w:t>
      </w:r>
    </w:p>
    <w:p>
      <w:pPr>
        <w:pStyle w:val="165"/>
        <w:ind w:left="0"/>
      </w:pPr>
      <w:r>
        <w:rPr>
          <w:rFonts w:hint="eastAsia"/>
        </w:rPr>
        <w:t>二次衬砌施工过程中应做好外衬管片及成型二次衬砌成品保护，不应损坏外衬管片及已成型二次衬砌。</w:t>
      </w:r>
    </w:p>
    <w:p>
      <w:pPr>
        <w:pStyle w:val="165"/>
        <w:ind w:left="0"/>
      </w:pPr>
      <w:r>
        <w:rPr>
          <w:rFonts w:hint="eastAsia"/>
        </w:rPr>
        <w:t>二次衬砌大面积施工前，应设置首件样板，首件工程验收通过后方可开展大面积施工。</w:t>
      </w:r>
    </w:p>
    <w:p>
      <w:pPr>
        <w:pStyle w:val="105"/>
        <w:spacing w:before="156" w:after="156"/>
        <w:ind w:left="0"/>
      </w:pPr>
      <w:bookmarkStart w:id="150" w:name="_Toc130215175"/>
      <w:bookmarkStart w:id="151" w:name="_Toc130218762"/>
      <w:bookmarkStart w:id="152" w:name="_Toc69230953"/>
      <w:bookmarkStart w:id="153" w:name="_Toc129276127"/>
      <w:r>
        <w:rPr>
          <w:rFonts w:hint="eastAsia"/>
        </w:rPr>
        <w:t>施工准备</w:t>
      </w:r>
      <w:bookmarkEnd w:id="150"/>
      <w:bookmarkEnd w:id="151"/>
      <w:bookmarkEnd w:id="152"/>
      <w:bookmarkEnd w:id="153"/>
    </w:p>
    <w:p>
      <w:pPr>
        <w:pStyle w:val="165"/>
        <w:ind w:left="0"/>
      </w:pPr>
      <w:r>
        <w:rPr>
          <w:rFonts w:hint="eastAsia"/>
        </w:rPr>
        <w:t>场地布置应满足以下要求：</w:t>
      </w:r>
    </w:p>
    <w:p>
      <w:pPr>
        <w:pStyle w:val="174"/>
        <w:numPr>
          <w:ilvl w:val="0"/>
          <w:numId w:val="52"/>
        </w:numPr>
      </w:pPr>
      <w:r>
        <w:rPr>
          <w:rFonts w:hint="eastAsia"/>
        </w:rPr>
        <w:t>二次衬砌施工场地应与盾构施工场地布置统一规划，减少重复调整；</w:t>
      </w:r>
    </w:p>
    <w:p>
      <w:pPr>
        <w:pStyle w:val="174"/>
      </w:pPr>
      <w:r>
        <w:rPr>
          <w:rFonts w:hint="eastAsia"/>
        </w:rPr>
        <w:t>二次衬砌施工工作井底布置应综合考虑二衬施工水平运输错车的需求，合理布置道岔或平移设备；</w:t>
      </w:r>
    </w:p>
    <w:p>
      <w:pPr>
        <w:pStyle w:val="174"/>
      </w:pPr>
      <w:r>
        <w:rPr>
          <w:rFonts w:hint="eastAsia"/>
        </w:rPr>
        <w:t>二次衬砌施工工作井及隧道应合理规划人员通行通道，人员通行通道应有必要的防滑措施，轨行区应有必要的防护措施及警示措施。</w:t>
      </w:r>
    </w:p>
    <w:p>
      <w:pPr>
        <w:pStyle w:val="165"/>
        <w:ind w:left="0"/>
      </w:pPr>
      <w:r>
        <w:rPr>
          <w:rFonts w:hint="eastAsia"/>
        </w:rPr>
        <w:t>二次衬砌施工测量应符合以下规定：</w:t>
      </w:r>
    </w:p>
    <w:p>
      <w:pPr>
        <w:pStyle w:val="174"/>
        <w:numPr>
          <w:ilvl w:val="0"/>
          <w:numId w:val="53"/>
        </w:numPr>
      </w:pPr>
      <w:r>
        <w:rPr>
          <w:rFonts w:hint="eastAsia"/>
        </w:rPr>
        <w:t>二</w:t>
      </w:r>
      <w:r>
        <w:t>次衬砌施工前，应对工作井内的测量控制点进行复核，对于已破坏控制点进行加设</w:t>
      </w:r>
      <w:r>
        <w:rPr>
          <w:rFonts w:hint="eastAsia"/>
        </w:rPr>
        <w:t>；</w:t>
      </w:r>
    </w:p>
    <w:p>
      <w:pPr>
        <w:pStyle w:val="174"/>
      </w:pPr>
      <w:r>
        <w:rPr>
          <w:rFonts w:hint="eastAsia"/>
        </w:rPr>
        <w:t>二</w:t>
      </w:r>
      <w:r>
        <w:t>次衬砌洞内施工的水准点，应根据洞外、洞内已设定的水准点，按施工需要进行加设</w:t>
      </w:r>
      <w:r>
        <w:rPr>
          <w:rFonts w:hint="eastAsia"/>
        </w:rPr>
        <w:t>；</w:t>
      </w:r>
    </w:p>
    <w:p>
      <w:pPr>
        <w:pStyle w:val="174"/>
      </w:pPr>
      <w:r>
        <w:rPr>
          <w:rFonts w:hint="eastAsia"/>
        </w:rPr>
        <w:t>二</w:t>
      </w:r>
      <w:r>
        <w:t>次衬砌施工前，应复核</w:t>
      </w:r>
      <w:r>
        <w:rPr>
          <w:rFonts w:hint="eastAsia"/>
        </w:rPr>
        <w:t>成型管片</w:t>
      </w:r>
      <w:r>
        <w:t>初衬中线位置和高程，确</w:t>
      </w:r>
      <w:r>
        <w:rPr>
          <w:rFonts w:hint="eastAsia"/>
        </w:rPr>
        <w:t>保</w:t>
      </w:r>
      <w:r>
        <w:t>衬砌施工后的衬砌厚度和净空满足规范和设计要求</w:t>
      </w:r>
      <w:r>
        <w:rPr>
          <w:rFonts w:hint="eastAsia"/>
        </w:rPr>
        <w:t>；</w:t>
      </w:r>
    </w:p>
    <w:p>
      <w:pPr>
        <w:pStyle w:val="174"/>
      </w:pPr>
      <w:r>
        <w:rPr>
          <w:rFonts w:hint="eastAsia"/>
        </w:rPr>
        <w:t>二</w:t>
      </w:r>
      <w:r>
        <w:t>次衬砌施工用的临时中线点的间距宜与模板长度一致。</w:t>
      </w:r>
    </w:p>
    <w:p>
      <w:pPr>
        <w:pStyle w:val="165"/>
        <w:ind w:left="0"/>
      </w:pPr>
      <w:r>
        <w:rPr>
          <w:rFonts w:hint="eastAsia"/>
        </w:rPr>
        <w:t>施工材料应符合以下规定：</w:t>
      </w:r>
    </w:p>
    <w:p>
      <w:pPr>
        <w:pStyle w:val="174"/>
        <w:numPr>
          <w:ilvl w:val="0"/>
          <w:numId w:val="54"/>
        </w:numPr>
      </w:pPr>
      <w:r>
        <w:rPr>
          <w:rFonts w:hint="eastAsia"/>
        </w:rPr>
        <w:t>二次衬砌钢筋宜在二次衬砌开始施工前加工完成，已完成加工的钢筋应采取防锈蚀措施；</w:t>
      </w:r>
    </w:p>
    <w:p>
      <w:pPr>
        <w:pStyle w:val="174"/>
      </w:pPr>
      <w:r>
        <w:rPr>
          <w:rFonts w:hint="eastAsia"/>
        </w:rPr>
        <w:t>二次衬砌混凝土应完成配合比设计，相关原材送检工作已完成；</w:t>
      </w:r>
    </w:p>
    <w:p>
      <w:pPr>
        <w:pStyle w:val="174"/>
      </w:pPr>
      <w:r>
        <w:rPr>
          <w:rFonts w:hint="eastAsia"/>
        </w:rPr>
        <w:t>二次衬砌</w:t>
      </w:r>
      <w:r>
        <w:t>需特殊加工的防水</w:t>
      </w:r>
      <w:r>
        <w:rPr>
          <w:rFonts w:hint="eastAsia"/>
        </w:rPr>
        <w:t>材料加工进度应满足要求，并应完成试验及检测工作。</w:t>
      </w:r>
    </w:p>
    <w:p>
      <w:pPr>
        <w:pStyle w:val="165"/>
        <w:ind w:left="0"/>
      </w:pPr>
      <w:r>
        <w:rPr>
          <w:rFonts w:hint="eastAsia"/>
        </w:rPr>
        <w:t>施工设备应符合以下规定：</w:t>
      </w:r>
    </w:p>
    <w:p>
      <w:pPr>
        <w:pStyle w:val="174"/>
        <w:numPr>
          <w:ilvl w:val="0"/>
          <w:numId w:val="55"/>
        </w:numPr>
      </w:pPr>
      <w:r>
        <w:rPr>
          <w:rFonts w:hint="eastAsia"/>
        </w:rPr>
        <w:t>二次衬砌施工应选用污染小、噪声小的机械设备，优先采用清洁能源；</w:t>
      </w:r>
    </w:p>
    <w:p>
      <w:pPr>
        <w:pStyle w:val="174"/>
      </w:pPr>
      <w:r>
        <w:rPr>
          <w:rFonts w:hint="eastAsia"/>
        </w:rPr>
        <w:t>二次衬砌施工设备应与施工工艺相配套，与工作井尺寸、隧道断面、施工工期相适应；</w:t>
      </w:r>
    </w:p>
    <w:p>
      <w:pPr>
        <w:pStyle w:val="174"/>
      </w:pPr>
      <w:r>
        <w:rPr>
          <w:rFonts w:hint="eastAsia"/>
        </w:rPr>
        <w:t>二次衬砌施工供电设施设备应安装调试到位；</w:t>
      </w:r>
    </w:p>
    <w:p>
      <w:pPr>
        <w:pStyle w:val="174"/>
      </w:pPr>
      <w:r>
        <w:rPr>
          <w:rFonts w:hint="eastAsia"/>
        </w:rPr>
        <w:t>二次衬砌衬砌台车等特制设备应进场完成调试或具备进场条件。</w:t>
      </w:r>
    </w:p>
    <w:p>
      <w:pPr>
        <w:pStyle w:val="165"/>
        <w:ind w:left="0"/>
      </w:pPr>
      <w:r>
        <w:rPr>
          <w:rFonts w:hint="eastAsia"/>
        </w:rPr>
        <w:t>风、水、电供应应符合以下规定：</w:t>
      </w:r>
    </w:p>
    <w:p>
      <w:pPr>
        <w:pStyle w:val="174"/>
        <w:numPr>
          <w:ilvl w:val="0"/>
          <w:numId w:val="56"/>
        </w:numPr>
      </w:pPr>
      <w:r>
        <w:rPr>
          <w:rFonts w:hint="eastAsia"/>
        </w:rPr>
        <w:t>风、水、电管路敷设应牢固、平顺，且不妨碍隧道内水平运输。</w:t>
      </w:r>
    </w:p>
    <w:p>
      <w:pPr>
        <w:pStyle w:val="174"/>
      </w:pPr>
      <w:r>
        <w:rPr>
          <w:rFonts w:hint="eastAsia"/>
        </w:rPr>
        <w:t>风、水、电管路敷设应尽可能减少在成型二次衬砌上打孔、开槽等作业。</w:t>
      </w:r>
    </w:p>
    <w:p>
      <w:pPr>
        <w:pStyle w:val="174"/>
      </w:pPr>
      <w:r>
        <w:rPr>
          <w:rFonts w:hint="eastAsia"/>
        </w:rPr>
        <w:t>施工期间，风、水、电管路应设置专人负责定期检查、养护。</w:t>
      </w:r>
    </w:p>
    <w:p>
      <w:pPr>
        <w:pStyle w:val="174"/>
      </w:pPr>
      <w:r>
        <w:rPr>
          <w:rFonts w:hint="eastAsia"/>
        </w:rPr>
        <w:t>通风措施应根据隧道长度、断面大小、施工方法等综合确定。二次衬砌与盾构同步施工时，通风措施应与盾构施工同步设计，盾构贯通后二衬施工时应结合隧道内气体质量检测有害气体浓度情况制定通风措施，必要时应增设固定式有害气体监测及报警装置。当工作井深度较大时，应设置有垂直通风措施。</w:t>
      </w:r>
    </w:p>
    <w:p>
      <w:pPr>
        <w:pStyle w:val="174"/>
      </w:pPr>
      <w:r>
        <w:rPr>
          <w:rFonts w:hint="eastAsia"/>
        </w:rPr>
        <w:t>隧道供电应按动力、照明分路供电，当隧道断面较小时宜采用低压供电，低压供电线路长于300m时，应考虑电压降的影响，可结合隧道长度、隧道直径选用合适的低压补偿、稳压措施；</w:t>
      </w:r>
    </w:p>
    <w:p>
      <w:pPr>
        <w:pStyle w:val="174"/>
      </w:pPr>
      <w:r>
        <w:rPr>
          <w:rFonts w:hint="eastAsia"/>
        </w:rPr>
        <w:t>隧道内二次衬砌施工应有充足的照明，不安全因素较大施工区域应加大光照度；</w:t>
      </w:r>
    </w:p>
    <w:p>
      <w:pPr>
        <w:pStyle w:val="174"/>
      </w:pPr>
      <w:r>
        <w:rPr>
          <w:rFonts w:hint="eastAsia"/>
        </w:rPr>
        <w:t>钢筋施工、模板台车前移过程中应有有效的电缆保护措施。</w:t>
      </w:r>
    </w:p>
    <w:p>
      <w:pPr>
        <w:pStyle w:val="105"/>
        <w:spacing w:before="156" w:after="156"/>
        <w:ind w:left="0"/>
      </w:pPr>
      <w:bookmarkStart w:id="154" w:name="_Toc130215176"/>
      <w:bookmarkStart w:id="155" w:name="_Toc129276128"/>
      <w:bookmarkStart w:id="156" w:name="_Toc130218763"/>
      <w:bookmarkStart w:id="157" w:name="_Toc69230954"/>
      <w:r>
        <w:rPr>
          <w:rFonts w:hint="eastAsia"/>
        </w:rPr>
        <w:t>基面施工</w:t>
      </w:r>
      <w:bookmarkEnd w:id="154"/>
      <w:bookmarkEnd w:id="155"/>
      <w:bookmarkEnd w:id="156"/>
      <w:bookmarkEnd w:id="157"/>
    </w:p>
    <w:p>
      <w:pPr>
        <w:pStyle w:val="165"/>
        <w:ind w:left="0"/>
      </w:pPr>
      <w:r>
        <w:rPr>
          <w:rFonts w:hint="eastAsia"/>
        </w:rPr>
        <w:t>外衬管片基面应符合以下规定：</w:t>
      </w:r>
    </w:p>
    <w:p>
      <w:pPr>
        <w:pStyle w:val="174"/>
        <w:numPr>
          <w:ilvl w:val="0"/>
          <w:numId w:val="57"/>
        </w:numPr>
      </w:pPr>
      <w:r>
        <w:rPr>
          <w:rFonts w:hint="eastAsia"/>
        </w:rPr>
        <w:t>外衬管片应清洁、干燥，不得有污泥、积水、垃圾等；</w:t>
      </w:r>
    </w:p>
    <w:p>
      <w:pPr>
        <w:pStyle w:val="174"/>
      </w:pPr>
      <w:r>
        <w:rPr>
          <w:rFonts w:hint="eastAsia"/>
        </w:rPr>
        <w:t>外衬管片应提前进行渗漏封堵处理，满足设计防水等级规定；</w:t>
      </w:r>
    </w:p>
    <w:p>
      <w:pPr>
        <w:pStyle w:val="174"/>
      </w:pPr>
      <w:r>
        <w:rPr>
          <w:rFonts w:hint="eastAsia"/>
        </w:rPr>
        <w:t>外衬管片螺栓应全部拧紧，不得欠拧，螺栓不得缺漏；</w:t>
      </w:r>
    </w:p>
    <w:p>
      <w:pPr>
        <w:pStyle w:val="174"/>
      </w:pPr>
      <w:r>
        <w:rPr>
          <w:rFonts w:hint="eastAsia"/>
        </w:rPr>
        <w:t>外衬破损管片应完成修补。</w:t>
      </w:r>
    </w:p>
    <w:p>
      <w:pPr>
        <w:pStyle w:val="165"/>
        <w:ind w:left="0"/>
      </w:pPr>
      <w:r>
        <w:t>叠合式双层衬砌</w:t>
      </w:r>
      <w:r>
        <w:rPr>
          <w:rFonts w:hint="eastAsia"/>
        </w:rPr>
        <w:t>结构外衬管片基面应符合以下规定：</w:t>
      </w:r>
    </w:p>
    <w:p>
      <w:pPr>
        <w:pStyle w:val="174"/>
        <w:numPr>
          <w:ilvl w:val="0"/>
          <w:numId w:val="58"/>
        </w:numPr>
      </w:pPr>
      <w:r>
        <w:t>外衬管片内弧面应</w:t>
      </w:r>
      <w:r>
        <w:rPr>
          <w:rFonts w:hint="eastAsia"/>
        </w:rPr>
        <w:t>保持毛面</w:t>
      </w:r>
      <w:r>
        <w:t>，</w:t>
      </w:r>
      <w:r>
        <w:rPr>
          <w:rFonts w:hint="eastAsia"/>
        </w:rPr>
        <w:t>毛面</w:t>
      </w:r>
      <w:r>
        <w:t>深度不</w:t>
      </w:r>
      <w:r>
        <w:rPr>
          <w:rFonts w:hint="eastAsia"/>
        </w:rPr>
        <w:t>应</w:t>
      </w:r>
      <w:r>
        <w:t>小于</w:t>
      </w:r>
      <w:r>
        <w:rPr>
          <w:rFonts w:hint="eastAsia"/>
        </w:rPr>
        <w:t>4mm；</w:t>
      </w:r>
    </w:p>
    <w:p>
      <w:pPr>
        <w:pStyle w:val="174"/>
      </w:pPr>
      <w:r>
        <w:t>外衬</w:t>
      </w:r>
      <w:r>
        <w:rPr>
          <w:rFonts w:hint="eastAsia"/>
        </w:rPr>
        <w:t>管片应在出厂前完成</w:t>
      </w:r>
      <w:r>
        <w:t>凿毛，凿毛宜</w:t>
      </w:r>
      <w:r>
        <w:rPr>
          <w:rFonts w:hint="eastAsia"/>
        </w:rPr>
        <w:t>采用生产时预留凹凸面的方式；</w:t>
      </w:r>
    </w:p>
    <w:p>
      <w:pPr>
        <w:pStyle w:val="174"/>
      </w:pPr>
      <w:r>
        <w:t>外衬</w:t>
      </w:r>
      <w:r>
        <w:rPr>
          <w:rFonts w:hint="eastAsia"/>
        </w:rPr>
        <w:t>管片设置有钢筋接驳器时，应进行全数清理及试连接。</w:t>
      </w:r>
    </w:p>
    <w:p>
      <w:pPr>
        <w:pStyle w:val="165"/>
        <w:ind w:left="0"/>
      </w:pPr>
      <w:r>
        <w:rPr>
          <w:rFonts w:hint="eastAsia"/>
        </w:rPr>
        <w:t>复合式双层衬砌结构外衬管片基面应符合以下规定：</w:t>
      </w:r>
    </w:p>
    <w:p>
      <w:pPr>
        <w:pStyle w:val="174"/>
        <w:numPr>
          <w:ilvl w:val="0"/>
          <w:numId w:val="59"/>
        </w:numPr>
      </w:pPr>
      <w:r>
        <w:rPr>
          <w:rFonts w:hint="eastAsia"/>
        </w:rPr>
        <w:t>外衬管片螺栓孔、吊装孔应完成封堵；</w:t>
      </w:r>
    </w:p>
    <w:p>
      <w:pPr>
        <w:pStyle w:val="174"/>
      </w:pPr>
      <w:r>
        <w:rPr>
          <w:rFonts w:hint="eastAsia"/>
        </w:rPr>
        <w:t>外衬管片拼装缝应完成嵌缝。</w:t>
      </w:r>
    </w:p>
    <w:p>
      <w:pPr>
        <w:pStyle w:val="105"/>
        <w:spacing w:before="156" w:after="156"/>
        <w:ind w:left="0"/>
      </w:pPr>
      <w:bookmarkStart w:id="158" w:name="_Toc69230955"/>
      <w:bookmarkStart w:id="159" w:name="_Toc130218764"/>
      <w:bookmarkStart w:id="160" w:name="_Toc130215177"/>
      <w:bookmarkStart w:id="161" w:name="_Toc129276129"/>
      <w:r>
        <w:t>钢筋施工</w:t>
      </w:r>
      <w:bookmarkEnd w:id="158"/>
      <w:bookmarkEnd w:id="159"/>
      <w:bookmarkEnd w:id="160"/>
      <w:bookmarkEnd w:id="161"/>
    </w:p>
    <w:p>
      <w:pPr>
        <w:pStyle w:val="165"/>
        <w:ind w:left="0"/>
      </w:pPr>
      <w:r>
        <w:rPr>
          <w:rFonts w:hint="eastAsia"/>
        </w:rPr>
        <w:t>钢筋原材</w:t>
      </w:r>
      <w:r>
        <w:rPr>
          <w:rFonts w:ascii="Times New Roman"/>
        </w:rPr>
        <w:t>表面的油渍、水泥浆和铁锈等均应清除干净。</w:t>
      </w:r>
    </w:p>
    <w:p>
      <w:pPr>
        <w:pStyle w:val="165"/>
        <w:ind w:left="0"/>
      </w:pPr>
      <w:r>
        <w:rPr>
          <w:rFonts w:hint="eastAsia"/>
        </w:rPr>
        <w:t>钢筋加工应符合以下规定：</w:t>
      </w:r>
    </w:p>
    <w:p>
      <w:pPr>
        <w:pStyle w:val="174"/>
        <w:numPr>
          <w:ilvl w:val="0"/>
          <w:numId w:val="60"/>
        </w:numPr>
      </w:pPr>
      <w:r>
        <w:t>钢筋应在隧道外集中加工</w:t>
      </w:r>
      <w:r>
        <w:rPr>
          <w:rFonts w:hint="eastAsia"/>
        </w:rPr>
        <w:t>，保证弧形加工精度；</w:t>
      </w:r>
    </w:p>
    <w:p>
      <w:pPr>
        <w:pStyle w:val="174"/>
      </w:pPr>
      <w:r>
        <w:rPr>
          <w:rFonts w:hint="eastAsia"/>
        </w:rPr>
        <w:t>环向钢筋应结合隧道断面在外进行机械预弯弧，一次弯弧到位；</w:t>
      </w:r>
    </w:p>
    <w:p>
      <w:pPr>
        <w:pStyle w:val="174"/>
      </w:pPr>
      <w:r>
        <w:rPr>
          <w:rFonts w:hint="eastAsia"/>
        </w:rPr>
        <w:t>环向钢筋应结合钢筋运输设备、钢筋加工及安装的可操作性合理分段，搭接长度应满足规范及设计要求；</w:t>
      </w:r>
    </w:p>
    <w:p>
      <w:pPr>
        <w:pStyle w:val="174"/>
      </w:pPr>
      <w:r>
        <w:rPr>
          <w:rFonts w:hint="eastAsia"/>
        </w:rPr>
        <w:t>加工成型钢筋应</w:t>
      </w:r>
      <w:r>
        <w:t>分环向钢筋、纵向钢筋、箍筋等类别有序堆放并标识</w:t>
      </w:r>
      <w:r>
        <w:rPr>
          <w:rFonts w:hint="eastAsia"/>
        </w:rPr>
        <w:t>；</w:t>
      </w:r>
    </w:p>
    <w:p>
      <w:pPr>
        <w:pStyle w:val="174"/>
      </w:pPr>
      <w:r>
        <w:rPr>
          <w:rFonts w:hint="eastAsia"/>
        </w:rPr>
        <w:t>已检验合格的钢筋螺纹头应戴上保护帽，保护帽在存放及运输装卸过程中不得取下。</w:t>
      </w:r>
    </w:p>
    <w:p>
      <w:pPr>
        <w:pStyle w:val="165"/>
        <w:ind w:left="0"/>
      </w:pPr>
      <w:r>
        <w:rPr>
          <w:rFonts w:hint="eastAsia"/>
        </w:rPr>
        <w:t>钢筋运输应符合以下规定：</w:t>
      </w:r>
    </w:p>
    <w:p>
      <w:pPr>
        <w:pStyle w:val="174"/>
        <w:numPr>
          <w:ilvl w:val="0"/>
          <w:numId w:val="61"/>
        </w:numPr>
      </w:pPr>
      <w:r>
        <w:t>钢筋运输应采用机械化运输方式</w:t>
      </w:r>
      <w:r>
        <w:rPr>
          <w:rFonts w:hint="eastAsia"/>
        </w:rPr>
        <w:t>；</w:t>
      </w:r>
    </w:p>
    <w:p>
      <w:pPr>
        <w:pStyle w:val="174"/>
      </w:pPr>
      <w:r>
        <w:t>钢筋运输时应对不同类别的钢筋进行明显标识并分开摆放</w:t>
      </w:r>
      <w:r>
        <w:rPr>
          <w:rFonts w:hint="eastAsia"/>
        </w:rPr>
        <w:t>；</w:t>
      </w:r>
    </w:p>
    <w:p>
      <w:pPr>
        <w:pStyle w:val="174"/>
      </w:pPr>
      <w:r>
        <w:rPr>
          <w:rFonts w:hint="eastAsia"/>
        </w:rPr>
        <w:t>钢筋运输过程中应做好钢筋半成品的保护工作；</w:t>
      </w:r>
    </w:p>
    <w:p>
      <w:pPr>
        <w:pStyle w:val="174"/>
      </w:pPr>
      <w:r>
        <w:rPr>
          <w:rFonts w:hint="eastAsia"/>
        </w:rPr>
        <w:t>钢筋运输至洞内后应根据施工段划分分开摆放，不宜堆叠，避免损伤钢筋或者影响使用；</w:t>
      </w:r>
    </w:p>
    <w:p>
      <w:pPr>
        <w:pStyle w:val="174"/>
      </w:pPr>
      <w:r>
        <w:rPr>
          <w:rFonts w:hint="eastAsia"/>
        </w:rPr>
        <w:t>钢筋运输至洞内后摆放时应采取下垫措施，避免直接摆放于外衬管片底部。</w:t>
      </w:r>
    </w:p>
    <w:p>
      <w:pPr>
        <w:pStyle w:val="165"/>
        <w:ind w:left="0"/>
      </w:pPr>
      <w:r>
        <w:rPr>
          <w:rFonts w:hint="eastAsia"/>
        </w:rPr>
        <w:t>钢筋连接与安装应符合以下规定：</w:t>
      </w:r>
    </w:p>
    <w:p>
      <w:pPr>
        <w:pStyle w:val="174"/>
        <w:numPr>
          <w:ilvl w:val="0"/>
          <w:numId w:val="62"/>
        </w:numPr>
      </w:pPr>
      <w:r>
        <w:rPr>
          <w:rFonts w:hint="eastAsia"/>
        </w:rPr>
        <w:t>二次衬砌钢筋安装过程中应采取定位及防变形措施；</w:t>
      </w:r>
    </w:p>
    <w:p>
      <w:pPr>
        <w:pStyle w:val="174"/>
      </w:pPr>
      <w:r>
        <w:rPr>
          <w:rFonts w:hint="eastAsia"/>
        </w:rPr>
        <w:t>二次衬砌钢筋应按设计要求与外衬管片上预埋的钢筋接驳器、管片螺栓等有效连接；</w:t>
      </w:r>
    </w:p>
    <w:p>
      <w:pPr>
        <w:pStyle w:val="174"/>
      </w:pPr>
      <w:r>
        <w:t>隧道直径较小或区间距离较长时，钢筋连接不宜采用焊接方式</w:t>
      </w:r>
      <w:r>
        <w:rPr>
          <w:rFonts w:hint="eastAsia"/>
        </w:rPr>
        <w:t>。如必须采用焊接作业时，应采取强制通风措施，并对隧道内空气质量进行实时监测；</w:t>
      </w:r>
    </w:p>
    <w:p>
      <w:pPr>
        <w:pStyle w:val="174"/>
      </w:pPr>
      <w:r>
        <w:t>钢筋安装时，同一根环向受力筋应置于同一竖直面，并垂直于隧道轴线，环向受力筋应与纵向筋垂直</w:t>
      </w:r>
      <w:r>
        <w:rPr>
          <w:rFonts w:hint="eastAsia"/>
        </w:rPr>
        <w:t>；</w:t>
      </w:r>
    </w:p>
    <w:p>
      <w:pPr>
        <w:pStyle w:val="174"/>
      </w:pPr>
      <w:r>
        <w:rPr>
          <w:rFonts w:hint="eastAsia"/>
        </w:rPr>
        <w:t>二次衬砌设置双层以上钢筋时，钢筋接头应分散布置，带压传输型输水隧道二次衬砌钢筋接头统一按受拉区处理；</w:t>
      </w:r>
    </w:p>
    <w:p>
      <w:pPr>
        <w:pStyle w:val="174"/>
      </w:pPr>
      <w:r>
        <w:rPr>
          <w:rFonts w:hint="eastAsia"/>
        </w:rPr>
        <w:t>受力筋与模板之间、受力筋与防水层之间应安装满足设计厚度要求的垫块。垫块应按梅花形布置，垫块纵向、环向间距不宜大于1.5m；</w:t>
      </w:r>
    </w:p>
    <w:p>
      <w:pPr>
        <w:pStyle w:val="174"/>
      </w:pPr>
      <w:r>
        <w:rPr>
          <w:rFonts w:hint="eastAsia"/>
        </w:rPr>
        <w:t>二次衬砌钢筋产生锈蚀现象时，应在模板安装前完成除锈工作；</w:t>
      </w:r>
    </w:p>
    <w:p>
      <w:pPr>
        <w:pStyle w:val="174"/>
      </w:pPr>
      <w:r>
        <w:rPr>
          <w:rFonts w:hint="eastAsia"/>
        </w:rPr>
        <w:t>二次衬砌钢筋连接及安装应设置稳定可靠的作业平台，宜设置中间可穿行式钢筋作业台车。</w:t>
      </w:r>
    </w:p>
    <w:p>
      <w:pPr>
        <w:pStyle w:val="105"/>
        <w:spacing w:before="156" w:after="156"/>
        <w:ind w:left="0"/>
      </w:pPr>
      <w:bookmarkStart w:id="162" w:name="_Toc130218765"/>
      <w:bookmarkStart w:id="163" w:name="_Toc69230956"/>
      <w:bookmarkStart w:id="164" w:name="_Toc130215178"/>
      <w:bookmarkStart w:id="165" w:name="_Toc129276130"/>
      <w:r>
        <w:rPr>
          <w:rFonts w:hint="eastAsia"/>
        </w:rPr>
        <w:t>模板施工</w:t>
      </w:r>
      <w:bookmarkEnd w:id="162"/>
      <w:bookmarkEnd w:id="163"/>
      <w:bookmarkEnd w:id="164"/>
      <w:bookmarkEnd w:id="165"/>
    </w:p>
    <w:p>
      <w:pPr>
        <w:pStyle w:val="165"/>
        <w:ind w:left="0"/>
      </w:pPr>
      <w:r>
        <w:rPr>
          <w:rFonts w:hint="eastAsia"/>
        </w:rPr>
        <w:t>模板体系设计应符合以下规定：</w:t>
      </w:r>
    </w:p>
    <w:p>
      <w:pPr>
        <w:pStyle w:val="174"/>
        <w:numPr>
          <w:ilvl w:val="0"/>
          <w:numId w:val="63"/>
        </w:numPr>
      </w:pPr>
      <w:r>
        <w:rPr>
          <w:rFonts w:hint="eastAsia"/>
        </w:rPr>
        <w:t>模板体系的选用应结合隧道断面、区间长度、施工部署、材料及机械供应进行确定，宜采用模板台车进行施工；</w:t>
      </w:r>
    </w:p>
    <w:p>
      <w:pPr>
        <w:pStyle w:val="174"/>
      </w:pPr>
      <w:r>
        <w:rPr>
          <w:rFonts w:hint="eastAsia"/>
        </w:rPr>
        <w:t>二次衬砌模筑法施工，模板台车及拼装式模板支架应进行设计，应满足混凝土浇筑过程中的强度、刚度和稳定性要求；</w:t>
      </w:r>
    </w:p>
    <w:p>
      <w:pPr>
        <w:pStyle w:val="174"/>
      </w:pPr>
      <w:r>
        <w:rPr>
          <w:rFonts w:hint="eastAsia"/>
        </w:rPr>
        <w:t>模板体系设计应考虑泵送混凝土荷载和辅助振捣荷载，并应确保模板台车在拆卸、移动、安装等施工条件下不变形；</w:t>
      </w:r>
    </w:p>
    <w:p>
      <w:pPr>
        <w:pStyle w:val="174"/>
      </w:pPr>
      <w:r>
        <w:rPr>
          <w:rFonts w:hint="eastAsia"/>
        </w:rPr>
        <w:t>挡头模板应与衬砌断面相适应，方便止水带安装，采用台车时应采用可重复使用并能同时固定止水带的定型模板；</w:t>
      </w:r>
    </w:p>
    <w:p>
      <w:pPr>
        <w:pStyle w:val="174"/>
      </w:pPr>
      <w:r>
        <w:rPr>
          <w:rFonts w:hint="eastAsia"/>
        </w:rPr>
        <w:t>采用拼装式模板时，单块活动模板长度宜为1000mm，最大不应超过1500mm，宽度不宜大于500mm。当隧道直径小于4m时，仰拱宜采用环向整体式定型模板，减少模板拼装量。</w:t>
      </w:r>
    </w:p>
    <w:p>
      <w:pPr>
        <w:pStyle w:val="165"/>
        <w:ind w:left="0"/>
      </w:pPr>
      <w:r>
        <w:rPr>
          <w:rFonts w:hint="eastAsia"/>
        </w:rPr>
        <w:t>二次衬砌采用模板台车进行施工时，应符合以下规定：</w:t>
      </w:r>
    </w:p>
    <w:p>
      <w:pPr>
        <w:pStyle w:val="174"/>
        <w:numPr>
          <w:ilvl w:val="0"/>
          <w:numId w:val="64"/>
        </w:numPr>
      </w:pPr>
      <w:r>
        <w:rPr>
          <w:rFonts w:hint="eastAsia"/>
        </w:rPr>
        <w:t>模板台车单节长度应根据隧道曲率大小、混凝土供应能力、衬砌厚度等进行确定；</w:t>
      </w:r>
    </w:p>
    <w:p>
      <w:pPr>
        <w:pStyle w:val="174"/>
      </w:pPr>
      <w:r>
        <w:rPr>
          <w:rFonts w:hint="eastAsia"/>
        </w:rPr>
        <w:t>隧道曲率较大时，模板台车长度设计应充分考虑台车过弯侵限问题，可采用减小台车长度或者台车分节铰接连接的措施；</w:t>
      </w:r>
    </w:p>
    <w:p>
      <w:pPr>
        <w:pStyle w:val="174"/>
      </w:pPr>
      <w:r>
        <w:rPr>
          <w:rFonts w:hint="eastAsia"/>
        </w:rPr>
        <w:t>模板台车应有可靠的导向装置（如轨道、针梁等），行走方式宜设计为自行式，配置自动行走装置和固定装置；</w:t>
      </w:r>
    </w:p>
    <w:p>
      <w:pPr>
        <w:pStyle w:val="174"/>
      </w:pPr>
      <w:r>
        <w:rPr>
          <w:rFonts w:hint="eastAsia"/>
        </w:rPr>
        <w:t>门架式模板台车行走方式宜设计为轨行式，配置行走轮及行走轨道；</w:t>
      </w:r>
    </w:p>
    <w:p>
      <w:pPr>
        <w:pStyle w:val="174"/>
      </w:pPr>
      <w:r>
        <w:rPr>
          <w:rFonts w:hint="eastAsia"/>
        </w:rPr>
        <w:t>门架式模板台车应考虑中间人员及材料安全通行要求，宜采用可穿行式设计；</w:t>
      </w:r>
    </w:p>
    <w:p>
      <w:pPr>
        <w:pStyle w:val="174"/>
      </w:pPr>
      <w:r>
        <w:rPr>
          <w:rFonts w:hint="eastAsia"/>
        </w:rPr>
        <w:t>仰拱模板台车及全圆式模板台车设计时，应进行抗浮设计；</w:t>
      </w:r>
    </w:p>
    <w:p>
      <w:pPr>
        <w:pStyle w:val="174"/>
      </w:pPr>
      <w:r>
        <w:rPr>
          <w:rFonts w:hint="eastAsia"/>
        </w:rPr>
        <w:t>模板台车设计应合理留置振捣窗、观察窗、浇筑孔（注浆孔）、排气孔（溢浆孔）。</w:t>
      </w:r>
    </w:p>
    <w:p>
      <w:pPr>
        <w:pStyle w:val="165"/>
        <w:ind w:left="0"/>
      </w:pPr>
      <w:r>
        <w:rPr>
          <w:rFonts w:hint="eastAsia"/>
        </w:rPr>
        <w:t>模板体系制作及安装应符合以下规定：</w:t>
      </w:r>
    </w:p>
    <w:p>
      <w:pPr>
        <w:pStyle w:val="174"/>
        <w:numPr>
          <w:ilvl w:val="0"/>
          <w:numId w:val="65"/>
        </w:numPr>
      </w:pPr>
      <w:r>
        <w:rPr>
          <w:rFonts w:hint="eastAsia"/>
        </w:rPr>
        <w:t>模板台车投入使用前，应进行预拼装验收，验收通过后方可使用；</w:t>
      </w:r>
    </w:p>
    <w:p>
      <w:pPr>
        <w:pStyle w:val="174"/>
        <w:numPr>
          <w:ilvl w:val="0"/>
          <w:numId w:val="65"/>
        </w:numPr>
      </w:pPr>
      <w:r>
        <w:rPr>
          <w:rFonts w:hint="eastAsia"/>
        </w:rPr>
        <w:t>模板台车吊装入工作井过程中，应有防止勒伤模板、台车变形及与竖井结构碰撞的措施；</w:t>
      </w:r>
    </w:p>
    <w:p>
      <w:pPr>
        <w:pStyle w:val="174"/>
      </w:pPr>
      <w:r>
        <w:rPr>
          <w:rFonts w:hint="eastAsia"/>
        </w:rPr>
        <w:t>模板台车定位时，先定高程，后定中线，确保台车中心线和高程与设计隧洞中线高程吻合；</w:t>
      </w:r>
    </w:p>
    <w:p>
      <w:pPr>
        <w:pStyle w:val="174"/>
      </w:pPr>
      <w:r>
        <w:rPr>
          <w:rFonts w:hint="eastAsia"/>
        </w:rPr>
        <w:t>模板体系与已浇筑完成的二次衬砌搭接宽度不宜小于200mm；</w:t>
      </w:r>
    </w:p>
    <w:p>
      <w:pPr>
        <w:pStyle w:val="174"/>
      </w:pPr>
      <w:r>
        <w:rPr>
          <w:rFonts w:hint="eastAsia"/>
        </w:rPr>
        <w:t>模板体系重复使用时，循环使用前应进行检查，出现异常应予以修整，模板面应进行清理并刷涂脱模剂，脱模剂刷涂应全面彻底，模板面清理应避免损伤模板面；</w:t>
      </w:r>
    </w:p>
    <w:p>
      <w:pPr>
        <w:pStyle w:val="174"/>
      </w:pPr>
      <w:r>
        <w:rPr>
          <w:rFonts w:hint="eastAsia"/>
        </w:rPr>
        <w:t>模板就位后，应对模板背后净空是否满足衬砌厚度要求进行检查，固定在模板上的预埋件、预留孔和预留洞，应检查其数量和尺寸；</w:t>
      </w:r>
    </w:p>
    <w:p>
      <w:pPr>
        <w:pStyle w:val="174"/>
      </w:pPr>
      <w:r>
        <w:rPr>
          <w:rFonts w:hint="eastAsia"/>
        </w:rPr>
        <w:t>挡头模板安装应固定牢靠，封堵严密，不得损坏止水带安装；</w:t>
      </w:r>
    </w:p>
    <w:p>
      <w:pPr>
        <w:pStyle w:val="174"/>
      </w:pPr>
      <w:r>
        <w:rPr>
          <w:rFonts w:hint="eastAsia"/>
        </w:rPr>
        <w:t>模板体系安装到位后，应进行位置测量，验收满足要求后方可进行混凝土浇筑。</w:t>
      </w:r>
    </w:p>
    <w:p>
      <w:pPr>
        <w:pStyle w:val="165"/>
        <w:ind w:left="0"/>
      </w:pPr>
      <w:r>
        <w:rPr>
          <w:rFonts w:hint="eastAsia"/>
        </w:rPr>
        <w:t>模板体系拆除及维护应符合以下规定：</w:t>
      </w:r>
    </w:p>
    <w:p>
      <w:pPr>
        <w:pStyle w:val="174"/>
        <w:numPr>
          <w:ilvl w:val="0"/>
          <w:numId w:val="66"/>
        </w:numPr>
      </w:pPr>
      <w:r>
        <w:rPr>
          <w:rFonts w:hint="eastAsia"/>
        </w:rPr>
        <w:t>混凝土拆模时的强度应符合设计要求。当设计未提出要求时，应在混凝土强度达到</w:t>
      </w:r>
      <w:r>
        <w:t>10</w:t>
      </w:r>
      <w:r>
        <w:rPr>
          <w:rFonts w:hint="eastAsia"/>
        </w:rPr>
        <w:t>MPa以上，且其表面及棱角不因拆模而受损时，方可拆除；</w:t>
      </w:r>
    </w:p>
    <w:p>
      <w:pPr>
        <w:pStyle w:val="174"/>
      </w:pPr>
      <w:r>
        <w:rPr>
          <w:rFonts w:hint="eastAsia"/>
        </w:rPr>
        <w:t>模板体系拆除后应及时移位并进行维护。</w:t>
      </w:r>
    </w:p>
    <w:p>
      <w:pPr>
        <w:pStyle w:val="105"/>
        <w:spacing w:before="156" w:after="156"/>
        <w:ind w:left="0"/>
      </w:pPr>
      <w:bookmarkStart w:id="166" w:name="_Toc130218766"/>
      <w:bookmarkStart w:id="167" w:name="_Toc69230957"/>
      <w:bookmarkStart w:id="168" w:name="_Toc129276131"/>
      <w:bookmarkStart w:id="169" w:name="_Toc130215179"/>
      <w:r>
        <w:t>混凝土施工</w:t>
      </w:r>
      <w:bookmarkEnd w:id="166"/>
      <w:bookmarkEnd w:id="167"/>
      <w:bookmarkEnd w:id="168"/>
      <w:bookmarkEnd w:id="169"/>
    </w:p>
    <w:p>
      <w:pPr>
        <w:pStyle w:val="165"/>
        <w:ind w:left="0"/>
      </w:pPr>
      <w:r>
        <w:rPr>
          <w:rFonts w:hint="eastAsia"/>
        </w:rPr>
        <w:t>混凝土运输设备和浇筑设备，应与运输条件、混凝土级配、拌和能力、运输能力、浇筑强度、混凝土温度控制要求、仓面具体情况等相适应。</w:t>
      </w:r>
    </w:p>
    <w:p>
      <w:pPr>
        <w:pStyle w:val="165"/>
        <w:ind w:left="0"/>
      </w:pPr>
      <w:r>
        <w:t>混凝土输送</w:t>
      </w:r>
      <w:r>
        <w:rPr>
          <w:rFonts w:hint="eastAsia"/>
        </w:rPr>
        <w:t>应符合以下规定：</w:t>
      </w:r>
    </w:p>
    <w:p>
      <w:pPr>
        <w:pStyle w:val="174"/>
        <w:numPr>
          <w:ilvl w:val="0"/>
          <w:numId w:val="67"/>
        </w:numPr>
      </w:pPr>
      <w:r>
        <w:rPr>
          <w:rFonts w:hint="eastAsia"/>
        </w:rPr>
        <w:t>混凝土运输应采取保证连续供应的措施，并应满足现场施工的需要；</w:t>
      </w:r>
    </w:p>
    <w:p>
      <w:pPr>
        <w:pStyle w:val="174"/>
      </w:pPr>
      <w:r>
        <w:rPr>
          <w:rFonts w:hint="eastAsia"/>
        </w:rPr>
        <w:t>混凝土水平运输方式应根据隧道断面、隧道长度、施工部署、混凝土性能、工作井情况综合选取，可采用一泵到底、设置中转站接力泵送、皮带运输及混凝土运输罐车等运输方式或几种方式相结合的接力运输方式；</w:t>
      </w:r>
    </w:p>
    <w:p>
      <w:pPr>
        <w:pStyle w:val="174"/>
      </w:pPr>
      <w:r>
        <w:rPr>
          <w:rFonts w:hint="eastAsia"/>
        </w:rPr>
        <w:t>二次衬砌混凝土</w:t>
      </w:r>
      <w:r>
        <w:t>需进行长距离水平泵送</w:t>
      </w:r>
      <w:r>
        <w:rPr>
          <w:rFonts w:hint="eastAsia"/>
        </w:rPr>
        <w:t>时</w:t>
      </w:r>
      <w:r>
        <w:t>，应满足《混凝土泵送施工技术规程》（</w:t>
      </w:r>
      <w:r>
        <w:rPr>
          <w:rFonts w:hint="eastAsia"/>
        </w:rPr>
        <w:t>JGJ/T 10）的要求，</w:t>
      </w:r>
      <w:r>
        <w:t>混凝土性能应经泵送试验验证</w:t>
      </w:r>
      <w:r>
        <w:rPr>
          <w:rFonts w:hint="eastAsia"/>
        </w:rPr>
        <w:t>，若采用水平一次泵送，距离不宜超过500m，超过时宜采用接力泵送；</w:t>
      </w:r>
    </w:p>
    <w:p>
      <w:pPr>
        <w:pStyle w:val="174"/>
      </w:pPr>
      <w:r>
        <w:t>混凝土采用泵送时，</w:t>
      </w:r>
      <w:r>
        <w:rPr>
          <w:rFonts w:hint="eastAsia"/>
        </w:rPr>
        <w:t>应在泵送前泵送砂浆进行润滑，砂浆泵出后应妥善回收；</w:t>
      </w:r>
    </w:p>
    <w:p>
      <w:pPr>
        <w:pStyle w:val="174"/>
      </w:pPr>
      <w:r>
        <w:t>混凝土需从工作井进行垂直向下运输，超出天泵工作深度时应配置溜槽或溜管，溜槽或溜管底部应设置足量的弯头或水平配管</w:t>
      </w:r>
      <w:r>
        <w:rPr>
          <w:rFonts w:hint="eastAsia"/>
        </w:rPr>
        <w:t>；</w:t>
      </w:r>
    </w:p>
    <w:p>
      <w:pPr>
        <w:pStyle w:val="174"/>
      </w:pPr>
      <w:r>
        <w:t>采用混凝土罐车进行混凝土运输时，罐车</w:t>
      </w:r>
      <w:r>
        <w:rPr>
          <w:rFonts w:hint="eastAsia"/>
        </w:rPr>
        <w:t>大小应与隧道断面大小相适应，</w:t>
      </w:r>
      <w:r>
        <w:t>工作井或隧道内</w:t>
      </w:r>
      <w:r>
        <w:rPr>
          <w:rFonts w:hint="eastAsia"/>
        </w:rPr>
        <w:t>宜有</w:t>
      </w:r>
      <w:r>
        <w:t>辅助倒车或错车的措施</w:t>
      </w:r>
      <w:r>
        <w:rPr>
          <w:rFonts w:hint="eastAsia"/>
        </w:rPr>
        <w:t>。</w:t>
      </w:r>
    </w:p>
    <w:p>
      <w:pPr>
        <w:pStyle w:val="165"/>
        <w:ind w:left="0"/>
      </w:pPr>
      <w:r>
        <w:t>混凝土浇筑</w:t>
      </w:r>
      <w:r>
        <w:rPr>
          <w:rFonts w:hint="eastAsia"/>
        </w:rPr>
        <w:t>应符合以下规定：</w:t>
      </w:r>
    </w:p>
    <w:p>
      <w:pPr>
        <w:pStyle w:val="174"/>
        <w:numPr>
          <w:ilvl w:val="0"/>
          <w:numId w:val="68"/>
        </w:numPr>
      </w:pPr>
      <w:r>
        <w:rPr>
          <w:rFonts w:hint="eastAsia"/>
        </w:rPr>
        <w:t>二次衬砌混凝土浇筑应分仓进行，单仓长度根据模板体系设计决定，</w:t>
      </w:r>
    </w:p>
    <w:p>
      <w:pPr>
        <w:pStyle w:val="174"/>
      </w:pPr>
      <w:r>
        <w:rPr>
          <w:rFonts w:hint="eastAsia"/>
        </w:rPr>
        <w:t>二次衬砌混凝土浇筑方法应与区间长度、工期要求、模板体系设计相适应，区间长度较长且工期要求较紧时，宜采用跳仓法作业；</w:t>
      </w:r>
    </w:p>
    <w:p>
      <w:pPr>
        <w:pStyle w:val="174"/>
      </w:pPr>
      <w:r>
        <w:rPr>
          <w:rFonts w:hint="eastAsia"/>
        </w:rPr>
        <w:t>二次衬砌混凝土浇筑应连续，当出现间歇浇筑时，其间歇时间应尽量缩短，并应在前层混凝土初凝之前，将次层混凝土浇筑完毕；</w:t>
      </w:r>
    </w:p>
    <w:p>
      <w:pPr>
        <w:pStyle w:val="174"/>
      </w:pPr>
      <w:r>
        <w:rPr>
          <w:rFonts w:hint="eastAsia"/>
        </w:rPr>
        <w:t>二次衬砌混凝土浇筑时，宜采用后退拆管式由远及近浇筑；</w:t>
      </w:r>
    </w:p>
    <w:p>
      <w:pPr>
        <w:pStyle w:val="174"/>
      </w:pPr>
      <w:r>
        <w:rPr>
          <w:rFonts w:hint="eastAsia"/>
        </w:rPr>
        <w:t>二次衬砌混凝土浇筑时，混凝土应备料充足，衬砌混凝土应浇筑密实，衬砌混凝土结构厚度应满足设计要求，混凝土浇筑结束前，应结合拱顶模板观察口、溢浆孔对浇筑情况进行检查，结构厚度达到设计要求后方可收盘；</w:t>
      </w:r>
    </w:p>
    <w:p>
      <w:pPr>
        <w:pStyle w:val="174"/>
      </w:pPr>
      <w:r>
        <w:rPr>
          <w:rFonts w:hint="eastAsia"/>
        </w:rPr>
        <w:t>二次衬砌采用模板台车施工时，台车宜配备混凝土密实监测系统及带模注浆系统，在混凝土浇筑完毕后利用带模注浆系统对拱顶进行跟踪注浆，确保拱顶密实；</w:t>
      </w:r>
    </w:p>
    <w:p>
      <w:pPr>
        <w:pStyle w:val="174"/>
      </w:pPr>
      <w:r>
        <w:rPr>
          <w:rFonts w:hint="eastAsia"/>
        </w:rPr>
        <w:t>二次衬砌混凝土浇筑应由下向上对称浇筑，两侧同</w:t>
      </w:r>
      <w:r>
        <w:t>时或交替进行，</w:t>
      </w:r>
      <w:r>
        <w:rPr>
          <w:rFonts w:hint="eastAsia"/>
        </w:rPr>
        <w:t>混凝土出料口与混凝土灌筑面高差不宜大于2.0m。</w:t>
      </w:r>
    </w:p>
    <w:p>
      <w:pPr>
        <w:pStyle w:val="165"/>
        <w:ind w:left="0"/>
      </w:pPr>
      <w:r>
        <w:t>混凝土</w:t>
      </w:r>
      <w:r>
        <w:rPr>
          <w:rFonts w:hint="eastAsia"/>
        </w:rPr>
        <w:t>养护应符合以下规定：</w:t>
      </w:r>
    </w:p>
    <w:p>
      <w:pPr>
        <w:pStyle w:val="174"/>
        <w:numPr>
          <w:ilvl w:val="0"/>
          <w:numId w:val="69"/>
        </w:numPr>
      </w:pPr>
      <w:r>
        <w:t>二次衬砌混凝土养护应在</w:t>
      </w:r>
      <w:r>
        <w:rPr>
          <w:rFonts w:hint="eastAsia"/>
        </w:rPr>
        <w:t>拆模</w:t>
      </w:r>
      <w:r>
        <w:t>后</w:t>
      </w:r>
      <w:r>
        <w:rPr>
          <w:rFonts w:hint="eastAsia"/>
        </w:rPr>
        <w:t>立即</w:t>
      </w:r>
      <w:r>
        <w:t>进行</w:t>
      </w:r>
      <w:r>
        <w:rPr>
          <w:rFonts w:hint="eastAsia"/>
        </w:rPr>
        <w:t>，保湿养</w:t>
      </w:r>
      <w:r>
        <w:t>护应不少于14天</w:t>
      </w:r>
      <w:r>
        <w:rPr>
          <w:rFonts w:hint="eastAsia"/>
        </w:rPr>
        <w:t>；</w:t>
      </w:r>
    </w:p>
    <w:p>
      <w:pPr>
        <w:pStyle w:val="174"/>
      </w:pPr>
      <w:r>
        <w:t>在已浇筑的混凝土强度未达到10MPa以前，不得在其上踩踏或</w:t>
      </w:r>
      <w:r>
        <w:rPr>
          <w:rFonts w:hint="eastAsia"/>
        </w:rPr>
        <w:t>铺设施工用轨。</w:t>
      </w:r>
    </w:p>
    <w:p>
      <w:pPr>
        <w:pStyle w:val="165"/>
        <w:ind w:left="0"/>
      </w:pPr>
      <w:r>
        <w:rPr>
          <w:rFonts w:hint="eastAsia"/>
        </w:rPr>
        <w:t>二衬背后回填注浆应符合以下规定：</w:t>
      </w:r>
    </w:p>
    <w:p>
      <w:pPr>
        <w:pStyle w:val="174"/>
        <w:numPr>
          <w:ilvl w:val="0"/>
          <w:numId w:val="70"/>
        </w:numPr>
      </w:pPr>
      <w:r>
        <w:rPr>
          <w:rFonts w:hint="eastAsia"/>
        </w:rPr>
        <w:t>注浆应采用高强无收缩材料，可采用微膨胀水泥浆；</w:t>
      </w:r>
    </w:p>
    <w:p>
      <w:pPr>
        <w:pStyle w:val="174"/>
      </w:pPr>
      <w:r>
        <w:rPr>
          <w:rFonts w:hint="eastAsia"/>
        </w:rPr>
        <w:t>回填注浆应在二次衬砌强度达到设计强度的8</w:t>
      </w:r>
      <w:r>
        <w:t>0%</w:t>
      </w:r>
      <w:r>
        <w:rPr>
          <w:rFonts w:hint="eastAsia"/>
        </w:rPr>
        <w:t>后方可施作，范围应在顶部中心角9</w:t>
      </w:r>
      <w:r>
        <w:t>0</w:t>
      </w:r>
      <w:r>
        <w:rPr>
          <w:rFonts w:hint="eastAsia"/>
        </w:rPr>
        <w:t>°</w:t>
      </w:r>
      <w:r>
        <w:t>～120°</w:t>
      </w:r>
      <w:r>
        <w:rPr>
          <w:rFonts w:hint="eastAsia"/>
        </w:rPr>
        <w:t>，注浆压力根据二次衬砌厚度、注浆范围、注浆工艺等确定。</w:t>
      </w:r>
    </w:p>
    <w:p>
      <w:pPr>
        <w:pStyle w:val="105"/>
        <w:spacing w:before="156" w:after="156"/>
        <w:ind w:left="0"/>
      </w:pPr>
      <w:bookmarkStart w:id="170" w:name="_Toc130215180"/>
      <w:bookmarkStart w:id="171" w:name="_Toc130218767"/>
      <w:bookmarkStart w:id="172" w:name="_Toc129276132"/>
      <w:bookmarkStart w:id="173" w:name="_Toc69230958"/>
      <w:r>
        <w:rPr>
          <w:rFonts w:hint="eastAsia"/>
        </w:rPr>
        <w:t>预应力</w:t>
      </w:r>
      <w:r>
        <w:t>施工</w:t>
      </w:r>
      <w:bookmarkEnd w:id="170"/>
      <w:bookmarkEnd w:id="171"/>
      <w:bookmarkEnd w:id="172"/>
      <w:bookmarkEnd w:id="173"/>
    </w:p>
    <w:p>
      <w:pPr>
        <w:pStyle w:val="165"/>
        <w:ind w:left="0"/>
      </w:pPr>
      <w:r>
        <w:rPr>
          <w:rFonts w:hint="eastAsia"/>
        </w:rPr>
        <w:t>二次衬砌结构施加预应力前，结构强度等级应不低于设计要求，设计无要求时，混凝土强度不应低于设计强度等级值的80%，弹性模量不低于混凝土28d弹性模量的80%。</w:t>
      </w:r>
    </w:p>
    <w:p>
      <w:pPr>
        <w:pStyle w:val="165"/>
        <w:ind w:left="0"/>
      </w:pPr>
      <w:r>
        <w:rPr>
          <w:rFonts w:hint="eastAsia"/>
        </w:rPr>
        <w:t>二次衬砌采用后张有粘结预应力筋时，应对孔道应采取包括线型控制、接头防漏、防堵、内壁清理与电视复查等措施。</w:t>
      </w:r>
    </w:p>
    <w:p>
      <w:pPr>
        <w:pStyle w:val="165"/>
        <w:ind w:left="0"/>
      </w:pPr>
      <w:r>
        <w:rPr>
          <w:rFonts w:hint="eastAsia"/>
        </w:rPr>
        <w:t>二次衬砌采用后张无粘结预应力筋时，应按现行《无粘结预应力混凝土结构技术规程》(JGJ92）中对外包层材料及防腐油脂性能进行检测。</w:t>
      </w:r>
    </w:p>
    <w:p>
      <w:pPr>
        <w:pStyle w:val="165"/>
        <w:ind w:left="0"/>
      </w:pPr>
      <w:r>
        <w:rPr>
          <w:rFonts w:hint="eastAsia"/>
        </w:rPr>
        <w:t>二次衬砌后张预应力筋施工应满足以下规定：</w:t>
      </w:r>
    </w:p>
    <w:p>
      <w:pPr>
        <w:pStyle w:val="174"/>
        <w:numPr>
          <w:ilvl w:val="0"/>
          <w:numId w:val="71"/>
        </w:numPr>
      </w:pPr>
      <w:r>
        <w:rPr>
          <w:rFonts w:hint="eastAsia"/>
        </w:rPr>
        <w:t>预应力器材进场后，应由有资质的检测单位对张拉机具的拉力与油压计量设备进行复核率定，对预应力筋抽样进行原材物理力学性能测试，并将预应力筋与锚具的组装件进行静载组装件锚固性能试验；</w:t>
      </w:r>
    </w:p>
    <w:p>
      <w:pPr>
        <w:pStyle w:val="174"/>
      </w:pPr>
      <w:r>
        <w:rPr>
          <w:rFonts w:hint="eastAsia"/>
        </w:rPr>
        <w:t>预留槽尺寸应满足张拉机具对锚具组装件的张拉要求，宜</w:t>
      </w:r>
      <w:r>
        <w:t>采用纤维混凝土免拆模板</w:t>
      </w:r>
      <w:r>
        <w:rPr>
          <w:rFonts w:hint="eastAsia"/>
        </w:rPr>
        <w:t>；</w:t>
      </w:r>
    </w:p>
    <w:p>
      <w:pPr>
        <w:pStyle w:val="174"/>
      </w:pPr>
      <w:r>
        <w:rPr>
          <w:rFonts w:hint="eastAsia"/>
        </w:rPr>
        <w:t>预应力筋安装前，应对预留槽周壁及底板凿毛；</w:t>
      </w:r>
    </w:p>
    <w:p>
      <w:pPr>
        <w:pStyle w:val="174"/>
      </w:pPr>
      <w:r>
        <w:t>在对预应力筋整束张拉前，应对其中的每根预应力筋逐根预紧，单根预紧力不</w:t>
      </w:r>
      <w:r>
        <w:rPr>
          <w:rFonts w:hint="eastAsia"/>
        </w:rPr>
        <w:t>应</w:t>
      </w:r>
      <w:r>
        <w:t>超过控制拉力的25%</w:t>
      </w:r>
      <w:r>
        <w:rPr>
          <w:rFonts w:hint="eastAsia"/>
        </w:rPr>
        <w:t>；</w:t>
      </w:r>
    </w:p>
    <w:p>
      <w:pPr>
        <w:pStyle w:val="174"/>
      </w:pPr>
      <w:r>
        <w:t>应通过合理分批的张拉方案，防止纵向拉应力超限</w:t>
      </w:r>
      <w:r>
        <w:rPr>
          <w:rFonts w:hint="eastAsia"/>
        </w:rPr>
        <w:t>，相邻两道锚索之间张拉应力差值控制在5</w:t>
      </w:r>
      <w:r>
        <w:t>0%</w:t>
      </w:r>
      <w:r>
        <w:rPr>
          <w:rFonts w:hint="eastAsia"/>
        </w:rPr>
        <w:t>以内；</w:t>
      </w:r>
    </w:p>
    <w:p>
      <w:pPr>
        <w:pStyle w:val="174"/>
      </w:pPr>
      <w:r>
        <w:rPr>
          <w:rFonts w:hint="eastAsia" w:ascii="Times New Roman"/>
        </w:rPr>
        <w:t>张拉控制应采用双控，</w:t>
      </w:r>
      <w:r>
        <w:rPr>
          <w:rFonts w:ascii="Times New Roman"/>
        </w:rPr>
        <w:t>同时对</w:t>
      </w:r>
      <w:r>
        <w:rPr>
          <w:rFonts w:hint="eastAsia" w:ascii="Times New Roman"/>
        </w:rPr>
        <w:t>张拉力及</w:t>
      </w:r>
      <w:r>
        <w:rPr>
          <w:rFonts w:ascii="Times New Roman"/>
        </w:rPr>
        <w:t>伸长</w:t>
      </w:r>
      <w:r>
        <w:rPr>
          <w:rFonts w:hint="eastAsia" w:ascii="Times New Roman"/>
        </w:rPr>
        <w:t>量</w:t>
      </w:r>
      <w:r>
        <w:rPr>
          <w:rFonts w:ascii="Times New Roman"/>
        </w:rPr>
        <w:t>进行控制</w:t>
      </w:r>
      <w:r>
        <w:rPr>
          <w:rFonts w:hint="eastAsia" w:ascii="Times New Roman"/>
        </w:rPr>
        <w:t>；</w:t>
      </w:r>
    </w:p>
    <w:p>
      <w:pPr>
        <w:pStyle w:val="174"/>
      </w:pPr>
      <w:r>
        <w:rPr>
          <w:rFonts w:hint="eastAsia" w:ascii="Times New Roman"/>
        </w:rPr>
        <w:t>每次张拉结束后，应仔细查看二衬混凝土有无裂缝，尤其注意预留槽端壁和周围，并做好记录，若出现异常情况，须及时妥善处理后，方可进行下一序次的张拉。</w:t>
      </w:r>
    </w:p>
    <w:p>
      <w:pPr>
        <w:pStyle w:val="165"/>
        <w:ind w:left="0"/>
      </w:pPr>
      <w:r>
        <w:rPr>
          <w:rFonts w:hint="eastAsia"/>
        </w:rPr>
        <w:t>后张有粘结预应力施工应满足下列要求：</w:t>
      </w:r>
    </w:p>
    <w:p>
      <w:pPr>
        <w:pStyle w:val="174"/>
        <w:numPr>
          <w:ilvl w:val="0"/>
          <w:numId w:val="72"/>
        </w:numPr>
      </w:pPr>
      <w:r>
        <w:rPr>
          <w:rFonts w:hint="eastAsia"/>
        </w:rPr>
        <w:t>预应力筋孔道应架立在设计要求的同一环向平面内，孔道的大弧段宜利用二次衬砌外层钢筋架立，弯入预留槽的小弧段宜采用样架钢筋定位架立；</w:t>
      </w:r>
    </w:p>
    <w:p>
      <w:pPr>
        <w:pStyle w:val="174"/>
      </w:pPr>
      <w:r>
        <w:rPr>
          <w:rFonts w:hint="eastAsia"/>
        </w:rPr>
        <w:t>孔道安装前、后应清除孔内淤积物，必要时应进行孔道电视检查。</w:t>
      </w:r>
    </w:p>
    <w:p>
      <w:pPr>
        <w:pStyle w:val="165"/>
        <w:ind w:left="0"/>
      </w:pPr>
      <w:r>
        <w:rPr>
          <w:rFonts w:hint="eastAsia"/>
        </w:rPr>
        <w:t>预应力筋张拉完毕应及时回填预留槽，预留槽回填应符合以下规定：</w:t>
      </w:r>
    </w:p>
    <w:p>
      <w:pPr>
        <w:pStyle w:val="174"/>
        <w:numPr>
          <w:ilvl w:val="0"/>
          <w:numId w:val="73"/>
        </w:numPr>
      </w:pPr>
      <w:r>
        <w:rPr>
          <w:rFonts w:hint="eastAsia"/>
        </w:rPr>
        <w:t>对于有粘结预应力系统，应尽快对孔道采取真空灌浆，灌浆应采用无收缩水泥砂浆或水泥浆；</w:t>
      </w:r>
    </w:p>
    <w:p>
      <w:pPr>
        <w:pStyle w:val="174"/>
      </w:pPr>
      <w:r>
        <w:rPr>
          <w:rFonts w:hint="eastAsia"/>
        </w:rPr>
        <w:t>对于无粘结预应力系统，应对外露于预留槽内的预应力筋和锚具采取可靠的防腐措施；</w:t>
      </w:r>
    </w:p>
    <w:p>
      <w:pPr>
        <w:pStyle w:val="174"/>
      </w:pPr>
      <w:r>
        <w:rPr>
          <w:rFonts w:hint="eastAsia"/>
        </w:rPr>
        <w:t>回填混凝土强度等级应不低于二衬混凝土强度等级，并采用微膨胀混凝土。</w:t>
      </w:r>
    </w:p>
    <w:p>
      <w:pPr>
        <w:pStyle w:val="105"/>
        <w:spacing w:before="156" w:after="156"/>
        <w:ind w:left="0"/>
      </w:pPr>
      <w:bookmarkStart w:id="174" w:name="_Toc69230959"/>
      <w:bookmarkStart w:id="175" w:name="_Toc130218768"/>
      <w:bookmarkStart w:id="176" w:name="_Toc130215181"/>
      <w:bookmarkStart w:id="177" w:name="_Toc129276133"/>
      <w:r>
        <w:rPr>
          <w:rFonts w:hint="eastAsia"/>
        </w:rPr>
        <w:t>防</w:t>
      </w:r>
      <w:r>
        <w:t>水施工</w:t>
      </w:r>
      <w:bookmarkEnd w:id="174"/>
      <w:bookmarkEnd w:id="175"/>
      <w:bookmarkEnd w:id="176"/>
      <w:bookmarkEnd w:id="177"/>
    </w:p>
    <w:p>
      <w:pPr>
        <w:pStyle w:val="165"/>
        <w:ind w:left="0"/>
        <w:rPr>
          <w:rFonts w:ascii="Times New Roman"/>
          <w:bCs/>
        </w:rPr>
      </w:pPr>
      <w:r>
        <w:rPr>
          <w:rFonts w:hint="eastAsia"/>
        </w:rPr>
        <w:t>二次衬砌采用的防水混凝土、防水涂料、橡胶止水带等材料特性应符合现行国家标准《地下工程防水技术</w:t>
      </w:r>
      <w:r>
        <w:rPr>
          <w:rFonts w:hint="eastAsia" w:ascii="Times New Roman"/>
        </w:rPr>
        <w:t>规范》</w:t>
      </w:r>
      <w:r>
        <w:rPr>
          <w:rFonts w:ascii="Times New Roman"/>
        </w:rPr>
        <w:t>(GB50108)</w:t>
      </w:r>
      <w:r>
        <w:rPr>
          <w:rFonts w:hint="eastAsia" w:ascii="Times New Roman"/>
        </w:rPr>
        <w:t>、《地下防水工程质量验收规范》</w:t>
      </w:r>
      <w:r>
        <w:rPr>
          <w:rFonts w:ascii="Times New Roman"/>
        </w:rPr>
        <w:t>(GB 50208)</w:t>
      </w:r>
      <w:r>
        <w:rPr>
          <w:rFonts w:hint="eastAsia" w:ascii="Times New Roman"/>
        </w:rPr>
        <w:t>的规定。</w:t>
      </w:r>
    </w:p>
    <w:p>
      <w:pPr>
        <w:pStyle w:val="165"/>
        <w:ind w:left="0"/>
        <w:rPr>
          <w:rFonts w:ascii="Times New Roman"/>
          <w:bCs/>
        </w:rPr>
      </w:pPr>
      <w:r>
        <w:rPr>
          <w:rFonts w:hint="eastAsia" w:ascii="Times New Roman"/>
        </w:rPr>
        <w:t>二次衬砌背后防水层施工应在基面施工完成后，钢筋施工前完成，且超前钢筋施工2个初砌长度。</w:t>
      </w:r>
    </w:p>
    <w:p>
      <w:pPr>
        <w:pStyle w:val="165"/>
        <w:ind w:left="0"/>
        <w:rPr>
          <w:rFonts w:ascii="Times New Roman"/>
          <w:bCs/>
        </w:rPr>
      </w:pPr>
      <w:r>
        <w:rPr>
          <w:rFonts w:hint="eastAsia"/>
        </w:rPr>
        <w:t>复合式双层衬砌结构二次衬砌背后防水层施工应满足要以下要求：</w:t>
      </w:r>
    </w:p>
    <w:p>
      <w:pPr>
        <w:pStyle w:val="174"/>
        <w:numPr>
          <w:ilvl w:val="0"/>
          <w:numId w:val="74"/>
        </w:numPr>
      </w:pPr>
      <w:r>
        <w:rPr>
          <w:rFonts w:hint="eastAsia"/>
        </w:rPr>
        <w:t>施工前应对外衬管片基面进行验收，不得有渗水、污泥，管片螺栓孔、吊装孔等完成封堵，拼装缝完成嵌缝；</w:t>
      </w:r>
    </w:p>
    <w:p>
      <w:pPr>
        <w:pStyle w:val="174"/>
      </w:pPr>
      <w:r>
        <w:rPr>
          <w:rFonts w:hint="eastAsia"/>
        </w:rPr>
        <w:t>排水（盲）管的材质、强度、透水性应符合相关规范的规定，尺寸规格应满足设计要求，盲管不得有凹瘪、扭曲；</w:t>
      </w:r>
    </w:p>
    <w:p>
      <w:pPr>
        <w:pStyle w:val="174"/>
      </w:pPr>
      <w:r>
        <w:rPr>
          <w:rFonts w:hint="eastAsia"/>
        </w:rPr>
        <w:t>环向排水盲管、竖向排水盲管应紧贴初期支护表面敷设，布置间距应满足设计要求，应在有集中渗水位置敷设，在地下水较大地段应适当加密；</w:t>
      </w:r>
    </w:p>
    <w:p>
      <w:pPr>
        <w:pStyle w:val="174"/>
      </w:pPr>
      <w:r>
        <w:rPr>
          <w:rFonts w:hint="eastAsia"/>
        </w:rPr>
        <w:t>纵向排水盲管敷设的纵向坡度应与隧道纵坡一致，不得起伏不平，不得侵占衬砌结构空间；</w:t>
      </w:r>
    </w:p>
    <w:p>
      <w:pPr>
        <w:pStyle w:val="174"/>
      </w:pPr>
      <w:r>
        <w:rPr>
          <w:rFonts w:hint="eastAsia"/>
        </w:rPr>
        <w:t>防水层施工应设置稳定可靠的作业平台，宜利用专用台车铺设；</w:t>
      </w:r>
    </w:p>
    <w:p>
      <w:pPr>
        <w:pStyle w:val="174"/>
      </w:pPr>
      <w:r>
        <w:rPr>
          <w:rFonts w:hint="eastAsia"/>
        </w:rPr>
        <w:t>防水层应环向整幅铺设；</w:t>
      </w:r>
    </w:p>
    <w:p>
      <w:pPr>
        <w:pStyle w:val="174"/>
      </w:pPr>
      <w:r>
        <w:rPr>
          <w:rFonts w:hint="eastAsia"/>
        </w:rPr>
        <w:t>防水板铺挂时应适当松弛，松弛系数根据断面大小情况确</w:t>
      </w:r>
      <w:r>
        <w:t>定，一般情况取1.1～1.2</w:t>
      </w:r>
      <w:r>
        <w:rPr>
          <w:rFonts w:hint="eastAsia"/>
        </w:rPr>
        <w:t>；</w:t>
      </w:r>
    </w:p>
    <w:p>
      <w:pPr>
        <w:pStyle w:val="174"/>
      </w:pPr>
      <w:r>
        <w:rPr>
          <w:rFonts w:hint="eastAsia"/>
        </w:rPr>
        <w:t>防水卷材铺设好后，应注意卷材的保护。</w:t>
      </w:r>
    </w:p>
    <w:p>
      <w:pPr>
        <w:pStyle w:val="165"/>
        <w:ind w:left="0"/>
      </w:pPr>
      <w:r>
        <w:rPr>
          <w:rFonts w:hint="eastAsia"/>
        </w:rPr>
        <w:t>施工缝、变形缝施工应符合下列规定：</w:t>
      </w:r>
    </w:p>
    <w:p>
      <w:pPr>
        <w:pStyle w:val="174"/>
        <w:numPr>
          <w:ilvl w:val="0"/>
          <w:numId w:val="75"/>
        </w:numPr>
      </w:pPr>
      <w:r>
        <w:rPr>
          <w:rFonts w:hint="eastAsia"/>
        </w:rPr>
        <w:t>水平及环向施工缝接缝面应凿毛，涂刷混凝土界面剂、水泥基渗透结晶型防水涂料等；</w:t>
      </w:r>
    </w:p>
    <w:p>
      <w:pPr>
        <w:pStyle w:val="174"/>
      </w:pPr>
      <w:r>
        <w:t>中埋式止水带中间空心圆应顺施工缝、变形缝方向并与缝重合安装</w:t>
      </w:r>
      <w:r>
        <w:rPr>
          <w:rFonts w:hint="eastAsia"/>
        </w:rPr>
        <w:t>；</w:t>
      </w:r>
    </w:p>
    <w:p>
      <w:pPr>
        <w:pStyle w:val="174"/>
      </w:pPr>
      <w:r>
        <w:rPr>
          <w:rFonts w:hint="eastAsia"/>
        </w:rPr>
        <w:t>不得在止水带上穿钉、打孔，应防止止水带撕裂、刺破；</w:t>
      </w:r>
    </w:p>
    <w:p>
      <w:pPr>
        <w:pStyle w:val="174"/>
      </w:pPr>
      <w:r>
        <w:rPr>
          <w:rFonts w:hint="eastAsia"/>
        </w:rPr>
        <w:t xml:space="preserve"> “十”字型及环向止水带宜避免接头，可根据施工要求事先向厂家定制，如必须设置接头，应采取搭接、复合连接等形式，且应采取热熔连接；</w:t>
      </w:r>
    </w:p>
    <w:p>
      <w:pPr>
        <w:pStyle w:val="174"/>
      </w:pPr>
      <w:r>
        <w:rPr>
          <w:rFonts w:hint="eastAsia"/>
        </w:rPr>
        <w:t>后浇一侧混凝土浇筑前应清除止水带上混凝土残渣，结合面应洒水湿润但不得有积水。</w:t>
      </w:r>
    </w:p>
    <w:p>
      <w:pPr>
        <w:pStyle w:val="165"/>
        <w:ind w:left="0"/>
      </w:pPr>
      <w:r>
        <w:rPr>
          <w:rFonts w:hint="eastAsia"/>
        </w:rPr>
        <w:t>二次衬砌内表面防水涂层施工应符合下列规定：</w:t>
      </w:r>
    </w:p>
    <w:p>
      <w:pPr>
        <w:pStyle w:val="174"/>
        <w:numPr>
          <w:ilvl w:val="0"/>
          <w:numId w:val="76"/>
        </w:numPr>
      </w:pPr>
      <w:r>
        <w:rPr>
          <w:rFonts w:hint="eastAsia"/>
        </w:rPr>
        <w:t>大面积施工时，可采用喷涂技术进行防水涂层的施工。喷涂型防水涂层可选用喷涂聚脲防水涂层、喷涂型聚合物防水涂层、丙烯酸盐喷膜防水涂层、喷涂型橡胶沥青防水涂层等；</w:t>
      </w:r>
    </w:p>
    <w:p>
      <w:pPr>
        <w:pStyle w:val="174"/>
      </w:pPr>
      <w:r>
        <w:rPr>
          <w:rFonts w:hint="eastAsia"/>
        </w:rPr>
        <w:t>有机防水涂料基面应干燥，当基面较潮湿时，应刷涂湿固化型胶结剂或潮湿界面隔离剂；无机防水涂料施工前，基面应充分湿润，但不得有明水；</w:t>
      </w:r>
    </w:p>
    <w:p>
      <w:pPr>
        <w:pStyle w:val="174"/>
      </w:pPr>
      <w:r>
        <w:rPr>
          <w:rFonts w:hint="eastAsia"/>
        </w:rPr>
        <w:t>涂料应分层刷涂或喷涂，涂层应均匀，不得漏刷漏涂，涂刷应待前遍涂层干燥成膜后进行；每遍涂刷时应交替改变涂层的涂刷方向，同层涂膜的先后搭压宽度宜为3</w:t>
      </w:r>
      <w:r>
        <w:t>0</w:t>
      </w:r>
      <w:r>
        <w:rPr>
          <w:rFonts w:hint="eastAsia"/>
        </w:rPr>
        <w:t>mm</w:t>
      </w:r>
      <w:r>
        <w:t>～50</w:t>
      </w:r>
      <w:r>
        <w:rPr>
          <w:rFonts w:hint="eastAsia"/>
        </w:rPr>
        <w:t>mm；接搓宽度不应小于1</w:t>
      </w:r>
      <w:r>
        <w:t>00</w:t>
      </w:r>
      <w:r>
        <w:rPr>
          <w:rFonts w:hint="eastAsia"/>
        </w:rPr>
        <w:t>m</w:t>
      </w:r>
      <w:r>
        <w:t>m</w:t>
      </w:r>
      <w:r>
        <w:rPr>
          <w:rFonts w:hint="eastAsia"/>
        </w:rPr>
        <w:t>。</w:t>
      </w:r>
    </w:p>
    <w:p>
      <w:pPr>
        <w:pStyle w:val="104"/>
        <w:spacing w:before="312" w:after="312"/>
      </w:pPr>
      <w:bookmarkStart w:id="178" w:name="_Toc130218769"/>
      <w:bookmarkStart w:id="179" w:name="_Toc129276134"/>
      <w:bookmarkStart w:id="180" w:name="_Toc130215182"/>
      <w:r>
        <w:rPr>
          <w:rFonts w:hint="eastAsia"/>
        </w:rPr>
        <w:t>结构健康监测预留</w:t>
      </w:r>
      <w:bookmarkEnd w:id="178"/>
      <w:bookmarkEnd w:id="179"/>
      <w:bookmarkEnd w:id="180"/>
    </w:p>
    <w:p>
      <w:pPr>
        <w:pStyle w:val="105"/>
        <w:spacing w:before="156" w:after="156"/>
        <w:ind w:left="0"/>
      </w:pPr>
      <w:bookmarkStart w:id="181" w:name="_Toc129276135"/>
      <w:bookmarkStart w:id="182" w:name="_Toc130215183"/>
      <w:bookmarkStart w:id="183" w:name="_Toc130218770"/>
      <w:r>
        <w:t>一般规定</w:t>
      </w:r>
      <w:bookmarkEnd w:id="181"/>
      <w:bookmarkEnd w:id="182"/>
      <w:bookmarkEnd w:id="183"/>
    </w:p>
    <w:p>
      <w:pPr>
        <w:pStyle w:val="165"/>
        <w:ind w:left="0"/>
        <w:rPr>
          <w:rFonts w:ascii="Times New Roman"/>
        </w:rPr>
      </w:pPr>
      <w:r>
        <w:rPr>
          <w:rFonts w:hint="eastAsia" w:ascii="Times New Roman"/>
        </w:rPr>
        <w:t>二次衬砌结构健康监测应满足在设计周期内掌握隧道结构安全状态的要求。</w:t>
      </w:r>
    </w:p>
    <w:p>
      <w:pPr>
        <w:pStyle w:val="165"/>
        <w:ind w:left="0"/>
        <w:rPr>
          <w:rFonts w:ascii="Times New Roman"/>
        </w:rPr>
      </w:pPr>
      <w:r>
        <w:rPr>
          <w:rFonts w:hint="eastAsia" w:ascii="Times New Roman"/>
        </w:rPr>
        <w:t>二次衬砌结构健康监测系统的硬件和软件应遵循稳定可靠、经济适用、技术先进、操作方便的基本原则。</w:t>
      </w:r>
    </w:p>
    <w:p>
      <w:pPr>
        <w:pStyle w:val="165"/>
        <w:ind w:left="0"/>
        <w:rPr>
          <w:rFonts w:ascii="Times New Roman"/>
        </w:rPr>
      </w:pPr>
      <w:r>
        <w:rPr>
          <w:rFonts w:hint="eastAsia" w:ascii="Times New Roman"/>
        </w:rPr>
        <w:t>二次衬砌结构健康监测系统应具有采集、传输、存储、数据处理、预警与安全状态评估等功能。</w:t>
      </w:r>
    </w:p>
    <w:p>
      <w:pPr>
        <w:pStyle w:val="105"/>
        <w:spacing w:before="156" w:after="156"/>
        <w:ind w:left="0"/>
      </w:pPr>
      <w:bookmarkStart w:id="184" w:name="_Toc129276136"/>
      <w:bookmarkStart w:id="185" w:name="_Toc130215184"/>
      <w:bookmarkStart w:id="186" w:name="_Toc130218771"/>
      <w:r>
        <w:rPr>
          <w:rFonts w:hint="eastAsia"/>
        </w:rPr>
        <w:t>结构健康监测设计</w:t>
      </w:r>
      <w:bookmarkEnd w:id="184"/>
      <w:bookmarkEnd w:id="185"/>
      <w:bookmarkEnd w:id="186"/>
    </w:p>
    <w:p>
      <w:pPr>
        <w:pStyle w:val="165"/>
        <w:ind w:left="0"/>
        <w:rPr>
          <w:rFonts w:ascii="Times New Roman"/>
        </w:rPr>
      </w:pPr>
      <w:r>
        <w:rPr>
          <w:rFonts w:hint="eastAsia" w:ascii="Times New Roman"/>
        </w:rPr>
        <w:t>二次衬砌结构健康监测设计前应进行风险源识别，风险源识别的对象应包含：隧道所处地质与环境条件、隧道结构形式、毗邻建（构）筑物、运营过程以及突发事件等因素。</w:t>
      </w:r>
    </w:p>
    <w:p>
      <w:pPr>
        <w:pStyle w:val="165"/>
        <w:ind w:left="0"/>
        <w:rPr>
          <w:rFonts w:ascii="Times New Roman"/>
        </w:rPr>
      </w:pPr>
      <w:r>
        <w:rPr>
          <w:rFonts w:hint="eastAsia" w:ascii="Times New Roman"/>
        </w:rPr>
        <w:t>二次衬砌结构健康监测项目应以风险源识别为基础，综合考虑服役环境、隧道周边环境特征、结构形式、施工工艺等确定监测项目，满足安全预警及状态评估的要求，同时兼顾毗邻建（构）筑物结构安全、设计验证、正常使用功能等需求。具体监测项目可在表</w:t>
      </w:r>
      <w:r>
        <w:rPr>
          <w:rFonts w:ascii="Times New Roman"/>
        </w:rPr>
        <w:t>5</w:t>
      </w:r>
      <w:r>
        <w:rPr>
          <w:rFonts w:hint="eastAsia" w:ascii="Times New Roman"/>
        </w:rPr>
        <w:t>选择。</w:t>
      </w:r>
    </w:p>
    <w:p>
      <w:pPr>
        <w:pStyle w:val="112"/>
        <w:spacing w:before="156" w:after="156"/>
      </w:pPr>
      <w:r>
        <w:rPr>
          <w:rFonts w:hint="eastAsia"/>
        </w:rPr>
        <w:t>二次衬砌健康监测内容</w:t>
      </w:r>
    </w:p>
    <w:tbl>
      <w:tblPr>
        <w:tblStyle w:val="237"/>
        <w:tblW w:w="5000" w:type="pct"/>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autofit"/>
        <w:tblCellMar>
          <w:top w:w="0" w:type="dxa"/>
          <w:left w:w="0" w:type="dxa"/>
          <w:bottom w:w="0" w:type="dxa"/>
          <w:right w:w="0" w:type="dxa"/>
        </w:tblCellMar>
      </w:tblPr>
      <w:tblGrid>
        <w:gridCol w:w="1501"/>
        <w:gridCol w:w="2586"/>
        <w:gridCol w:w="5287"/>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12" w:hRule="atLeast"/>
          <w:tblHeader/>
          <w:jc w:val="center"/>
        </w:trPr>
        <w:tc>
          <w:tcPr>
            <w:tcW w:w="684" w:type="pct"/>
            <w:tcBorders>
              <w:top w:val="single" w:color="000000" w:sz="8" w:space="0"/>
              <w:bottom w:val="single" w:color="000000" w:sz="8" w:space="0"/>
            </w:tcBorders>
            <w:shd w:val="clear" w:color="auto" w:fill="auto"/>
            <w:vAlign w:val="center"/>
          </w:tcPr>
          <w:p>
            <w:pPr>
              <w:pStyle w:val="236"/>
              <w:jc w:val="center"/>
              <w:rPr>
                <w:rFonts w:ascii="宋体" w:hAnsi="宋体" w:eastAsia="宋体" w:cs="宋体"/>
                <w:sz w:val="18"/>
                <w:szCs w:val="18"/>
              </w:rPr>
            </w:pPr>
            <w:r>
              <w:rPr>
                <w:rFonts w:ascii="宋体" w:hAnsi="宋体" w:eastAsia="宋体" w:cs="宋体"/>
                <w:sz w:val="18"/>
                <w:szCs w:val="18"/>
              </w:rPr>
              <w:t>监测</w:t>
            </w:r>
            <w:r>
              <w:rPr>
                <w:rFonts w:ascii="宋体" w:hAnsi="宋体" w:eastAsia="宋体" w:cs="宋体"/>
                <w:spacing w:val="-3"/>
                <w:sz w:val="18"/>
                <w:szCs w:val="18"/>
              </w:rPr>
              <w:t>类别</w:t>
            </w:r>
          </w:p>
        </w:tc>
        <w:tc>
          <w:tcPr>
            <w:tcW w:w="1438" w:type="pct"/>
            <w:tcBorders>
              <w:top w:val="single" w:color="000000" w:sz="8" w:space="0"/>
              <w:bottom w:val="single" w:color="000000" w:sz="8" w:space="0"/>
            </w:tcBorders>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监测</w:t>
            </w:r>
            <w:r>
              <w:rPr>
                <w:rFonts w:ascii="宋体" w:hAnsi="宋体" w:eastAsia="宋体" w:cs="宋体"/>
                <w:spacing w:val="-3"/>
                <w:sz w:val="18"/>
                <w:szCs w:val="18"/>
                <w:lang w:eastAsia="zh-CN"/>
              </w:rPr>
              <w:t>内容</w:t>
            </w:r>
            <w:r>
              <w:rPr>
                <w:rFonts w:hint="eastAsia" w:ascii="宋体" w:hAnsi="宋体" w:eastAsia="宋体" w:cs="宋体"/>
                <w:spacing w:val="-3"/>
                <w:sz w:val="18"/>
                <w:szCs w:val="18"/>
                <w:lang w:eastAsia="zh-CN"/>
              </w:rPr>
              <w:t>-应测项</w:t>
            </w:r>
          </w:p>
        </w:tc>
        <w:tc>
          <w:tcPr>
            <w:tcW w:w="2878" w:type="pct"/>
            <w:tcBorders>
              <w:top w:val="single" w:color="000000" w:sz="8" w:space="0"/>
              <w:bottom w:val="single" w:color="000000" w:sz="8" w:space="0"/>
            </w:tcBorders>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监测</w:t>
            </w:r>
            <w:r>
              <w:rPr>
                <w:rFonts w:ascii="宋体" w:hAnsi="宋体" w:eastAsia="宋体" w:cs="宋体"/>
                <w:spacing w:val="-3"/>
                <w:sz w:val="18"/>
                <w:szCs w:val="18"/>
                <w:lang w:eastAsia="zh-CN"/>
              </w:rPr>
              <w:t>内容</w:t>
            </w:r>
            <w:r>
              <w:rPr>
                <w:rFonts w:hint="eastAsia" w:ascii="宋体" w:hAnsi="宋体" w:eastAsia="宋体" w:cs="宋体"/>
                <w:spacing w:val="-3"/>
                <w:sz w:val="18"/>
                <w:szCs w:val="18"/>
                <w:lang w:eastAsia="zh-CN"/>
              </w:rPr>
              <w:t>-选测项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312" w:hRule="atLeast"/>
          <w:tblHeader/>
          <w:jc w:val="center"/>
        </w:trPr>
        <w:tc>
          <w:tcPr>
            <w:tcW w:w="684" w:type="pct"/>
            <w:tcBorders>
              <w:top w:val="single" w:color="000000" w:sz="8" w:space="0"/>
            </w:tcBorders>
            <w:shd w:val="clear" w:color="auto" w:fill="auto"/>
            <w:vAlign w:val="center"/>
          </w:tcPr>
          <w:p>
            <w:pPr>
              <w:pStyle w:val="236"/>
              <w:jc w:val="center"/>
              <w:rPr>
                <w:rFonts w:ascii="宋体" w:hAnsi="宋体" w:eastAsia="宋体" w:cs="宋体"/>
                <w:sz w:val="18"/>
                <w:szCs w:val="18"/>
              </w:rPr>
            </w:pPr>
            <w:r>
              <w:rPr>
                <w:rFonts w:ascii="宋体" w:hAnsi="宋体" w:eastAsia="宋体" w:cs="宋体"/>
                <w:sz w:val="18"/>
                <w:szCs w:val="18"/>
              </w:rPr>
              <w:t>工作</w:t>
            </w:r>
            <w:r>
              <w:rPr>
                <w:rFonts w:ascii="宋体" w:hAnsi="宋体" w:eastAsia="宋体" w:cs="宋体"/>
                <w:spacing w:val="-3"/>
                <w:sz w:val="18"/>
                <w:szCs w:val="18"/>
              </w:rPr>
              <w:t>条</w:t>
            </w:r>
            <w:r>
              <w:rPr>
                <w:rFonts w:ascii="宋体" w:hAnsi="宋体" w:eastAsia="宋体" w:cs="宋体"/>
                <w:spacing w:val="-1"/>
                <w:sz w:val="18"/>
                <w:szCs w:val="18"/>
              </w:rPr>
              <w:t>件</w:t>
            </w:r>
            <w:r>
              <w:rPr>
                <w:rFonts w:ascii="宋体" w:hAnsi="宋体" w:eastAsia="宋体" w:cs="宋体"/>
                <w:spacing w:val="-3"/>
                <w:sz w:val="18"/>
                <w:szCs w:val="18"/>
              </w:rPr>
              <w:t>监测</w:t>
            </w:r>
          </w:p>
        </w:tc>
        <w:tc>
          <w:tcPr>
            <w:tcW w:w="1438" w:type="pct"/>
            <w:tcBorders>
              <w:top w:val="single" w:color="000000" w:sz="8" w:space="0"/>
            </w:tcBorders>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pacing w:val="-3"/>
                <w:sz w:val="18"/>
                <w:szCs w:val="18"/>
                <w:lang w:eastAsia="zh-CN"/>
              </w:rPr>
              <w:t>水</w:t>
            </w:r>
            <w:r>
              <w:rPr>
                <w:rFonts w:ascii="宋体" w:hAnsi="宋体" w:eastAsia="宋体" w:cs="宋体"/>
                <w:sz w:val="18"/>
                <w:szCs w:val="18"/>
                <w:lang w:eastAsia="zh-CN"/>
              </w:rPr>
              <w:t>位</w:t>
            </w:r>
            <w:r>
              <w:rPr>
                <w:rFonts w:ascii="宋体" w:hAnsi="宋体" w:eastAsia="宋体" w:cs="宋体"/>
                <w:spacing w:val="-3"/>
                <w:sz w:val="18"/>
                <w:szCs w:val="18"/>
                <w:lang w:eastAsia="zh-CN"/>
              </w:rPr>
              <w:t>监</w:t>
            </w:r>
            <w:r>
              <w:rPr>
                <w:rFonts w:ascii="宋体" w:hAnsi="宋体" w:eastAsia="宋体" w:cs="宋体"/>
                <w:sz w:val="18"/>
                <w:szCs w:val="18"/>
                <w:lang w:eastAsia="zh-CN"/>
              </w:rPr>
              <w:t>测</w:t>
            </w:r>
            <w:r>
              <w:rPr>
                <w:rFonts w:hint="eastAsia" w:ascii="宋体" w:hAnsi="宋体" w:eastAsia="宋体" w:cs="宋体"/>
                <w:sz w:val="18"/>
                <w:szCs w:val="18"/>
                <w:lang w:eastAsia="zh-CN"/>
              </w:rPr>
              <w:t>、</w:t>
            </w:r>
            <w:r>
              <w:rPr>
                <w:rFonts w:ascii="宋体" w:hAnsi="宋体" w:eastAsia="宋体" w:cs="宋体"/>
                <w:spacing w:val="-3"/>
                <w:sz w:val="18"/>
                <w:szCs w:val="18"/>
                <w:lang w:eastAsia="zh-CN"/>
              </w:rPr>
              <w:t>水</w:t>
            </w:r>
            <w:r>
              <w:rPr>
                <w:rFonts w:ascii="宋体" w:hAnsi="宋体" w:eastAsia="宋体" w:cs="宋体"/>
                <w:sz w:val="18"/>
                <w:szCs w:val="18"/>
                <w:lang w:eastAsia="zh-CN"/>
              </w:rPr>
              <w:t>压</w:t>
            </w:r>
            <w:r>
              <w:rPr>
                <w:rFonts w:ascii="宋体" w:hAnsi="宋体" w:eastAsia="宋体" w:cs="宋体"/>
                <w:spacing w:val="-3"/>
                <w:sz w:val="18"/>
                <w:szCs w:val="18"/>
                <w:lang w:eastAsia="zh-CN"/>
              </w:rPr>
              <w:t>力</w:t>
            </w:r>
          </w:p>
        </w:tc>
        <w:tc>
          <w:tcPr>
            <w:tcW w:w="2878" w:type="pct"/>
            <w:tcBorders>
              <w:top w:val="single" w:color="000000" w:sz="8" w:space="0"/>
            </w:tcBorders>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温度</w:t>
            </w:r>
            <w:r>
              <w:rPr>
                <w:rFonts w:ascii="宋体" w:hAnsi="宋体" w:eastAsia="宋体" w:cs="宋体"/>
                <w:spacing w:val="-3"/>
                <w:sz w:val="18"/>
                <w:szCs w:val="18"/>
                <w:lang w:eastAsia="zh-CN"/>
              </w:rPr>
              <w:t>监</w:t>
            </w:r>
            <w:r>
              <w:rPr>
                <w:rFonts w:ascii="宋体" w:hAnsi="宋体" w:eastAsia="宋体" w:cs="宋体"/>
                <w:sz w:val="18"/>
                <w:szCs w:val="18"/>
                <w:lang w:eastAsia="zh-CN"/>
              </w:rPr>
              <w:t>测</w:t>
            </w:r>
            <w:r>
              <w:rPr>
                <w:rFonts w:ascii="宋体" w:hAnsi="宋体" w:eastAsia="宋体" w:cs="宋体"/>
                <w:spacing w:val="-3"/>
                <w:sz w:val="18"/>
                <w:szCs w:val="18"/>
                <w:lang w:eastAsia="zh-CN"/>
              </w:rPr>
              <w:t>、</w:t>
            </w:r>
            <w:r>
              <w:rPr>
                <w:rFonts w:ascii="宋体" w:hAnsi="宋体" w:eastAsia="宋体" w:cs="宋体"/>
                <w:sz w:val="18"/>
                <w:szCs w:val="18"/>
                <w:lang w:eastAsia="zh-CN"/>
              </w:rPr>
              <w:t>湿</w:t>
            </w:r>
            <w:r>
              <w:rPr>
                <w:rFonts w:ascii="宋体" w:hAnsi="宋体" w:eastAsia="宋体" w:cs="宋体"/>
                <w:spacing w:val="-3"/>
                <w:sz w:val="18"/>
                <w:szCs w:val="18"/>
                <w:lang w:eastAsia="zh-CN"/>
              </w:rPr>
              <w:t>度</w:t>
            </w:r>
            <w:r>
              <w:rPr>
                <w:rFonts w:ascii="宋体" w:hAnsi="宋体" w:eastAsia="宋体" w:cs="宋体"/>
                <w:sz w:val="18"/>
                <w:szCs w:val="18"/>
                <w:lang w:eastAsia="zh-CN"/>
              </w:rPr>
              <w:t>监</w:t>
            </w:r>
            <w:r>
              <w:rPr>
                <w:rFonts w:ascii="宋体" w:hAnsi="宋体" w:eastAsia="宋体" w:cs="宋体"/>
                <w:spacing w:val="-3"/>
                <w:sz w:val="18"/>
                <w:szCs w:val="18"/>
                <w:lang w:eastAsia="zh-CN"/>
              </w:rPr>
              <w:t>测</w:t>
            </w:r>
            <w:r>
              <w:rPr>
                <w:rFonts w:ascii="宋体" w:hAnsi="宋体" w:eastAsia="宋体" w:cs="宋体"/>
                <w:sz w:val="18"/>
                <w:szCs w:val="18"/>
                <w:lang w:eastAsia="zh-CN"/>
              </w:rPr>
              <w:t>、</w:t>
            </w:r>
            <w:r>
              <w:rPr>
                <w:rFonts w:ascii="宋体" w:hAnsi="宋体" w:eastAsia="宋体" w:cs="宋体"/>
                <w:spacing w:val="-3"/>
                <w:sz w:val="18"/>
                <w:szCs w:val="18"/>
                <w:lang w:eastAsia="zh-CN"/>
              </w:rPr>
              <w:t>地</w:t>
            </w:r>
            <w:r>
              <w:rPr>
                <w:rFonts w:ascii="宋体" w:hAnsi="宋体" w:eastAsia="宋体" w:cs="宋体"/>
                <w:sz w:val="18"/>
                <w:szCs w:val="18"/>
                <w:lang w:eastAsia="zh-CN"/>
              </w:rPr>
              <w:t>震监</w:t>
            </w:r>
            <w:r>
              <w:rPr>
                <w:rFonts w:ascii="宋体" w:hAnsi="宋体" w:eastAsia="宋体" w:cs="宋体"/>
                <w:spacing w:val="-3"/>
                <w:sz w:val="18"/>
                <w:szCs w:val="18"/>
                <w:lang w:eastAsia="zh-CN"/>
              </w:rPr>
              <w:t>测</w:t>
            </w:r>
            <w:r>
              <w:rPr>
                <w:rFonts w:ascii="宋体" w:hAnsi="宋体" w:eastAsia="宋体" w:cs="宋体"/>
                <w:sz w:val="18"/>
                <w:szCs w:val="18"/>
                <w:lang w:eastAsia="zh-CN"/>
              </w:rPr>
              <w:t>、</w:t>
            </w:r>
            <w:r>
              <w:rPr>
                <w:rFonts w:ascii="宋体" w:hAnsi="宋体" w:eastAsia="宋体" w:cs="宋体"/>
                <w:spacing w:val="-3"/>
                <w:sz w:val="18"/>
                <w:szCs w:val="18"/>
                <w:lang w:eastAsia="zh-CN"/>
              </w:rPr>
              <w:t>覆</w:t>
            </w:r>
            <w:r>
              <w:rPr>
                <w:rFonts w:ascii="宋体" w:hAnsi="宋体" w:eastAsia="宋体" w:cs="宋体"/>
                <w:sz w:val="18"/>
                <w:szCs w:val="18"/>
                <w:lang w:eastAsia="zh-CN"/>
              </w:rPr>
              <w:t>盖层厚</w:t>
            </w:r>
            <w:r>
              <w:rPr>
                <w:rFonts w:ascii="宋体" w:hAnsi="宋体" w:eastAsia="宋体" w:cs="宋体"/>
                <w:spacing w:val="-3"/>
                <w:sz w:val="18"/>
                <w:szCs w:val="18"/>
                <w:lang w:eastAsia="zh-CN"/>
              </w:rPr>
              <w:t>度</w:t>
            </w:r>
            <w:r>
              <w:rPr>
                <w:rFonts w:ascii="宋体" w:hAnsi="宋体" w:eastAsia="宋体" w:cs="宋体"/>
                <w:sz w:val="18"/>
                <w:szCs w:val="18"/>
                <w:lang w:eastAsia="zh-CN"/>
              </w:rPr>
              <w:t>、</w:t>
            </w:r>
            <w:r>
              <w:rPr>
                <w:rFonts w:ascii="宋体" w:hAnsi="宋体" w:eastAsia="宋体" w:cs="宋体"/>
                <w:spacing w:val="-3"/>
                <w:sz w:val="18"/>
                <w:szCs w:val="18"/>
                <w:lang w:eastAsia="zh-CN"/>
              </w:rPr>
              <w:t>地</w:t>
            </w:r>
            <w:r>
              <w:rPr>
                <w:rFonts w:ascii="宋体" w:hAnsi="宋体" w:eastAsia="宋体" w:cs="宋体"/>
                <w:sz w:val="18"/>
                <w:szCs w:val="18"/>
                <w:lang w:eastAsia="zh-CN"/>
              </w:rPr>
              <w:t>层</w:t>
            </w:r>
            <w:r>
              <w:rPr>
                <w:rFonts w:ascii="宋体" w:hAnsi="宋体" w:eastAsia="宋体" w:cs="宋体"/>
                <w:spacing w:val="-3"/>
                <w:sz w:val="18"/>
                <w:szCs w:val="18"/>
                <w:lang w:eastAsia="zh-CN"/>
              </w:rPr>
              <w:t>变</w:t>
            </w:r>
            <w:r>
              <w:rPr>
                <w:rFonts w:ascii="宋体" w:hAnsi="宋体" w:eastAsia="宋体" w:cs="宋体"/>
                <w:sz w:val="18"/>
                <w:szCs w:val="18"/>
                <w:lang w:eastAsia="zh-CN"/>
              </w:rPr>
              <w:t>形</w:t>
            </w:r>
            <w:r>
              <w:rPr>
                <w:rFonts w:ascii="宋体" w:hAnsi="宋体" w:eastAsia="宋体" w:cs="宋体"/>
                <w:spacing w:val="-3"/>
                <w:sz w:val="18"/>
                <w:szCs w:val="18"/>
                <w:lang w:eastAsia="zh-CN"/>
              </w:rPr>
              <w:t>、</w:t>
            </w:r>
            <w:r>
              <w:rPr>
                <w:rFonts w:ascii="宋体" w:hAnsi="宋体" w:eastAsia="宋体" w:cs="宋体"/>
                <w:sz w:val="18"/>
                <w:szCs w:val="18"/>
                <w:lang w:eastAsia="zh-CN"/>
              </w:rPr>
              <w:t>腐</w:t>
            </w:r>
            <w:r>
              <w:rPr>
                <w:rFonts w:ascii="宋体" w:hAnsi="宋体" w:eastAsia="宋体" w:cs="宋体"/>
                <w:spacing w:val="-3"/>
                <w:sz w:val="18"/>
                <w:szCs w:val="18"/>
                <w:lang w:eastAsia="zh-CN"/>
              </w:rPr>
              <w:t>蚀</w:t>
            </w:r>
            <w:r>
              <w:rPr>
                <w:rFonts w:ascii="宋体" w:hAnsi="宋体" w:eastAsia="宋体" w:cs="宋体"/>
                <w:spacing w:val="-1"/>
                <w:sz w:val="18"/>
                <w:szCs w:val="18"/>
                <w:lang w:eastAsia="zh-CN"/>
              </w:rPr>
              <w:t>性</w:t>
            </w:r>
            <w:r>
              <w:rPr>
                <w:rFonts w:ascii="宋体" w:hAnsi="宋体" w:eastAsia="宋体" w:cs="宋体"/>
                <w:sz w:val="18"/>
                <w:szCs w:val="18"/>
                <w:lang w:eastAsia="zh-CN"/>
              </w:rPr>
              <w:t>离</w:t>
            </w:r>
            <w:r>
              <w:rPr>
                <w:rFonts w:ascii="宋体" w:hAnsi="宋体" w:eastAsia="宋体" w:cs="宋体"/>
                <w:spacing w:val="-3"/>
                <w:sz w:val="18"/>
                <w:szCs w:val="18"/>
                <w:lang w:eastAsia="zh-CN"/>
              </w:rPr>
              <w:t>子</w:t>
            </w:r>
            <w:r>
              <w:rPr>
                <w:rFonts w:ascii="宋体" w:hAnsi="宋体" w:eastAsia="宋体" w:cs="宋体"/>
                <w:sz w:val="18"/>
                <w:szCs w:val="18"/>
                <w:lang w:eastAsia="zh-CN"/>
              </w:rPr>
              <w:t>、</w:t>
            </w:r>
            <w:r>
              <w:rPr>
                <w:rFonts w:ascii="宋体" w:hAnsi="宋体" w:eastAsia="宋体" w:cs="宋体"/>
                <w:spacing w:val="-3"/>
                <w:sz w:val="18"/>
                <w:szCs w:val="18"/>
                <w:lang w:eastAsia="zh-CN"/>
              </w:rPr>
              <w:t>振</w:t>
            </w:r>
            <w:r>
              <w:rPr>
                <w:rFonts w:ascii="宋体" w:hAnsi="宋体" w:eastAsia="宋体" w:cs="宋体"/>
                <w:spacing w:val="-1"/>
                <w:sz w:val="18"/>
                <w:szCs w:val="18"/>
                <w:lang w:eastAsia="zh-CN"/>
              </w:rPr>
              <w:t>动</w:t>
            </w:r>
            <w:r>
              <w:rPr>
                <w:rFonts w:ascii="宋体" w:hAnsi="宋体" w:eastAsia="宋体" w:cs="宋体"/>
                <w:sz w:val="18"/>
                <w:szCs w:val="18"/>
                <w:lang w:eastAsia="zh-CN"/>
              </w:rPr>
              <w:t>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12" w:hRule="atLeast"/>
          <w:tblHeader/>
          <w:jc w:val="center"/>
        </w:trPr>
        <w:tc>
          <w:tcPr>
            <w:tcW w:w="684" w:type="pct"/>
            <w:shd w:val="clear" w:color="auto" w:fill="auto"/>
            <w:vAlign w:val="center"/>
          </w:tcPr>
          <w:p>
            <w:pPr>
              <w:pStyle w:val="109"/>
              <w:widowControl w:val="0"/>
              <w:rPr>
                <w:rFonts w:eastAsiaTheme="minorEastAsia" w:cstheme="minorBidi"/>
                <w:szCs w:val="22"/>
                <w:lang w:eastAsia="en-US"/>
              </w:rPr>
            </w:pPr>
            <w:r>
              <w:rPr>
                <w:rFonts w:eastAsiaTheme="minorEastAsia" w:cstheme="minorBidi"/>
                <w:szCs w:val="22"/>
                <w:lang w:eastAsia="en-US"/>
              </w:rPr>
              <w:t>结构</w:t>
            </w:r>
            <w:r>
              <w:rPr>
                <w:rFonts w:eastAsiaTheme="minorEastAsia" w:cstheme="minorBidi"/>
                <w:spacing w:val="-3"/>
                <w:szCs w:val="22"/>
                <w:lang w:eastAsia="en-US"/>
              </w:rPr>
              <w:t>受</w:t>
            </w:r>
            <w:r>
              <w:rPr>
                <w:rFonts w:eastAsiaTheme="minorEastAsia" w:cstheme="minorBidi"/>
                <w:szCs w:val="22"/>
                <w:lang w:eastAsia="en-US"/>
              </w:rPr>
              <w:t>力</w:t>
            </w:r>
            <w:r>
              <w:rPr>
                <w:rFonts w:eastAsiaTheme="minorEastAsia" w:cstheme="minorBidi"/>
                <w:spacing w:val="-3"/>
                <w:szCs w:val="22"/>
                <w:lang w:eastAsia="en-US"/>
              </w:rPr>
              <w:t>监</w:t>
            </w:r>
            <w:r>
              <w:rPr>
                <w:rFonts w:eastAsiaTheme="minorEastAsia" w:cstheme="minorBidi"/>
                <w:szCs w:val="22"/>
                <w:lang w:eastAsia="en-US"/>
              </w:rPr>
              <w:t>测</w:t>
            </w:r>
          </w:p>
        </w:tc>
        <w:tc>
          <w:tcPr>
            <w:tcW w:w="1438" w:type="pct"/>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混凝</w:t>
            </w:r>
            <w:r>
              <w:rPr>
                <w:rFonts w:ascii="宋体" w:hAnsi="宋体" w:eastAsia="宋体" w:cs="宋体"/>
                <w:spacing w:val="-3"/>
                <w:sz w:val="18"/>
                <w:szCs w:val="18"/>
                <w:lang w:eastAsia="zh-CN"/>
              </w:rPr>
              <w:t>土</w:t>
            </w:r>
            <w:r>
              <w:rPr>
                <w:rFonts w:ascii="宋体" w:hAnsi="宋体" w:eastAsia="宋体" w:cs="宋体"/>
                <w:sz w:val="18"/>
                <w:szCs w:val="18"/>
                <w:lang w:eastAsia="zh-CN"/>
              </w:rPr>
              <w:t>应</w:t>
            </w:r>
            <w:r>
              <w:rPr>
                <w:rFonts w:ascii="宋体" w:hAnsi="宋体" w:eastAsia="宋体" w:cs="宋体"/>
                <w:spacing w:val="-3"/>
                <w:sz w:val="18"/>
                <w:szCs w:val="18"/>
                <w:lang w:eastAsia="zh-CN"/>
              </w:rPr>
              <w:t>力</w:t>
            </w:r>
            <w:r>
              <w:rPr>
                <w:rFonts w:ascii="宋体" w:hAnsi="宋体" w:eastAsia="宋体" w:cs="宋体"/>
                <w:sz w:val="18"/>
                <w:szCs w:val="18"/>
                <w:lang w:eastAsia="zh-CN"/>
              </w:rPr>
              <w:t>、</w:t>
            </w:r>
            <w:r>
              <w:rPr>
                <w:rFonts w:ascii="宋体" w:hAnsi="宋体" w:eastAsia="宋体" w:cs="宋体"/>
                <w:spacing w:val="-3"/>
                <w:sz w:val="18"/>
                <w:szCs w:val="18"/>
                <w:lang w:eastAsia="zh-CN"/>
              </w:rPr>
              <w:t>钢</w:t>
            </w:r>
            <w:r>
              <w:rPr>
                <w:rFonts w:ascii="宋体" w:hAnsi="宋体" w:eastAsia="宋体" w:cs="宋体"/>
                <w:sz w:val="18"/>
                <w:szCs w:val="18"/>
                <w:lang w:eastAsia="zh-CN"/>
              </w:rPr>
              <w:t>筋</w:t>
            </w:r>
            <w:r>
              <w:rPr>
                <w:rFonts w:ascii="宋体" w:hAnsi="宋体" w:eastAsia="宋体" w:cs="宋体"/>
                <w:spacing w:val="-3"/>
                <w:sz w:val="18"/>
                <w:szCs w:val="18"/>
                <w:lang w:eastAsia="zh-CN"/>
              </w:rPr>
              <w:t>应</w:t>
            </w:r>
            <w:r>
              <w:rPr>
                <w:rFonts w:ascii="宋体" w:hAnsi="宋体" w:eastAsia="宋体" w:cs="宋体"/>
                <w:sz w:val="18"/>
                <w:szCs w:val="18"/>
                <w:lang w:eastAsia="zh-CN"/>
              </w:rPr>
              <w:t>力</w:t>
            </w:r>
          </w:p>
        </w:tc>
        <w:tc>
          <w:tcPr>
            <w:tcW w:w="2878" w:type="pct"/>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接</w:t>
            </w:r>
            <w:r>
              <w:rPr>
                <w:rFonts w:ascii="宋体" w:hAnsi="宋体" w:eastAsia="宋体" w:cs="宋体"/>
                <w:spacing w:val="-3"/>
                <w:sz w:val="18"/>
                <w:szCs w:val="18"/>
                <w:lang w:eastAsia="zh-CN"/>
              </w:rPr>
              <w:t>触</w:t>
            </w:r>
            <w:r>
              <w:rPr>
                <w:rFonts w:ascii="宋体" w:hAnsi="宋体" w:eastAsia="宋体" w:cs="宋体"/>
                <w:spacing w:val="-1"/>
                <w:sz w:val="18"/>
                <w:szCs w:val="18"/>
                <w:lang w:eastAsia="zh-CN"/>
              </w:rPr>
              <w:t>面</w:t>
            </w:r>
            <w:r>
              <w:rPr>
                <w:rFonts w:ascii="宋体" w:hAnsi="宋体" w:eastAsia="宋体" w:cs="宋体"/>
                <w:spacing w:val="-3"/>
                <w:sz w:val="18"/>
                <w:szCs w:val="18"/>
                <w:lang w:eastAsia="zh-CN"/>
              </w:rPr>
              <w:t>压</w:t>
            </w:r>
            <w:r>
              <w:rPr>
                <w:rFonts w:ascii="宋体" w:hAnsi="宋体" w:eastAsia="宋体" w:cs="宋体"/>
                <w:sz w:val="18"/>
                <w:szCs w:val="18"/>
                <w:lang w:eastAsia="zh-CN"/>
              </w:rPr>
              <w:t>力</w:t>
            </w:r>
            <w:r>
              <w:rPr>
                <w:rFonts w:hint="eastAsia" w:ascii="宋体" w:hAnsi="宋体" w:eastAsia="宋体" w:cs="宋体"/>
                <w:sz w:val="18"/>
                <w:szCs w:val="18"/>
                <w:lang w:eastAsia="zh-CN"/>
              </w:rPr>
              <w:t>、孔隙水压力</w:t>
            </w:r>
            <w:r>
              <w:rPr>
                <w:rFonts w:ascii="宋体" w:hAnsi="宋体" w:eastAsia="宋体" w:cs="宋体"/>
                <w:sz w:val="18"/>
                <w:szCs w:val="18"/>
                <w:lang w:eastAsia="zh-CN"/>
              </w:rPr>
              <w:t>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trHeight w:val="312" w:hRule="atLeast"/>
          <w:tblHeader/>
          <w:jc w:val="center"/>
        </w:trPr>
        <w:tc>
          <w:tcPr>
            <w:tcW w:w="684" w:type="pct"/>
            <w:shd w:val="clear" w:color="auto" w:fill="auto"/>
            <w:vAlign w:val="center"/>
          </w:tcPr>
          <w:p>
            <w:pPr>
              <w:pStyle w:val="236"/>
              <w:jc w:val="center"/>
              <w:rPr>
                <w:rFonts w:ascii="宋体" w:hAnsi="宋体" w:eastAsia="宋体" w:cs="宋体"/>
                <w:sz w:val="18"/>
                <w:szCs w:val="18"/>
              </w:rPr>
            </w:pPr>
            <w:r>
              <w:rPr>
                <w:rFonts w:ascii="宋体" w:hAnsi="宋体" w:eastAsia="宋体" w:cs="宋体"/>
                <w:sz w:val="18"/>
                <w:szCs w:val="18"/>
              </w:rPr>
              <w:t>结构</w:t>
            </w:r>
            <w:r>
              <w:rPr>
                <w:rFonts w:ascii="宋体" w:hAnsi="宋体" w:eastAsia="宋体" w:cs="宋体"/>
                <w:spacing w:val="-3"/>
                <w:sz w:val="18"/>
                <w:szCs w:val="18"/>
              </w:rPr>
              <w:t>变</w:t>
            </w:r>
            <w:r>
              <w:rPr>
                <w:rFonts w:ascii="宋体" w:hAnsi="宋体" w:eastAsia="宋体" w:cs="宋体"/>
                <w:sz w:val="18"/>
                <w:szCs w:val="18"/>
              </w:rPr>
              <w:t>形</w:t>
            </w:r>
            <w:r>
              <w:rPr>
                <w:rFonts w:ascii="宋体" w:hAnsi="宋体" w:eastAsia="宋体" w:cs="宋体"/>
                <w:spacing w:val="-3"/>
                <w:sz w:val="18"/>
                <w:szCs w:val="18"/>
              </w:rPr>
              <w:t>监</w:t>
            </w:r>
            <w:r>
              <w:rPr>
                <w:rFonts w:ascii="宋体" w:hAnsi="宋体" w:eastAsia="宋体" w:cs="宋体"/>
                <w:sz w:val="18"/>
                <w:szCs w:val="18"/>
              </w:rPr>
              <w:t>测</w:t>
            </w:r>
          </w:p>
        </w:tc>
        <w:tc>
          <w:tcPr>
            <w:tcW w:w="1438" w:type="pct"/>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拱</w:t>
            </w:r>
            <w:r>
              <w:rPr>
                <w:rFonts w:ascii="宋体" w:hAnsi="宋体" w:eastAsia="宋体" w:cs="宋体"/>
                <w:spacing w:val="-3"/>
                <w:sz w:val="18"/>
                <w:szCs w:val="18"/>
                <w:lang w:eastAsia="zh-CN"/>
              </w:rPr>
              <w:t>顶</w:t>
            </w:r>
            <w:r>
              <w:rPr>
                <w:rFonts w:ascii="宋体" w:hAnsi="宋体" w:eastAsia="宋体" w:cs="宋体"/>
                <w:sz w:val="18"/>
                <w:szCs w:val="18"/>
                <w:lang w:eastAsia="zh-CN"/>
              </w:rPr>
              <w:t>下</w:t>
            </w:r>
            <w:r>
              <w:rPr>
                <w:rFonts w:ascii="宋体" w:hAnsi="宋体" w:eastAsia="宋体" w:cs="宋体"/>
                <w:spacing w:val="-3"/>
                <w:sz w:val="18"/>
                <w:szCs w:val="18"/>
                <w:lang w:eastAsia="zh-CN"/>
              </w:rPr>
              <w:t>沉</w:t>
            </w:r>
            <w:r>
              <w:rPr>
                <w:rFonts w:ascii="宋体" w:hAnsi="宋体" w:eastAsia="宋体" w:cs="宋体"/>
                <w:sz w:val="18"/>
                <w:szCs w:val="18"/>
                <w:lang w:eastAsia="zh-CN"/>
              </w:rPr>
              <w:t>、断</w:t>
            </w:r>
            <w:r>
              <w:rPr>
                <w:rFonts w:ascii="宋体" w:hAnsi="宋体" w:eastAsia="宋体" w:cs="宋体"/>
                <w:spacing w:val="-2"/>
                <w:sz w:val="18"/>
                <w:szCs w:val="18"/>
                <w:lang w:eastAsia="zh-CN"/>
              </w:rPr>
              <w:t>面</w:t>
            </w:r>
            <w:r>
              <w:rPr>
                <w:rFonts w:ascii="宋体" w:hAnsi="宋体" w:eastAsia="宋体" w:cs="宋体"/>
                <w:sz w:val="18"/>
                <w:szCs w:val="18"/>
                <w:lang w:eastAsia="zh-CN"/>
              </w:rPr>
              <w:t>收</w:t>
            </w:r>
            <w:r>
              <w:rPr>
                <w:rFonts w:ascii="宋体" w:hAnsi="宋体" w:eastAsia="宋体" w:cs="宋体"/>
                <w:spacing w:val="-3"/>
                <w:sz w:val="18"/>
                <w:szCs w:val="18"/>
                <w:lang w:eastAsia="zh-CN"/>
              </w:rPr>
              <w:t>敛</w:t>
            </w:r>
            <w:r>
              <w:rPr>
                <w:rFonts w:ascii="宋体" w:hAnsi="宋体" w:eastAsia="宋体" w:cs="宋体"/>
                <w:sz w:val="18"/>
                <w:szCs w:val="18"/>
                <w:lang w:eastAsia="zh-CN"/>
              </w:rPr>
              <w:t>变</w:t>
            </w:r>
            <w:r>
              <w:rPr>
                <w:rFonts w:ascii="宋体" w:hAnsi="宋体" w:eastAsia="宋体" w:cs="宋体"/>
                <w:spacing w:val="-3"/>
                <w:sz w:val="18"/>
                <w:szCs w:val="18"/>
                <w:lang w:eastAsia="zh-CN"/>
              </w:rPr>
              <w:t>形</w:t>
            </w:r>
          </w:p>
        </w:tc>
        <w:tc>
          <w:tcPr>
            <w:tcW w:w="2878" w:type="pct"/>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结构</w:t>
            </w:r>
            <w:r>
              <w:rPr>
                <w:rFonts w:ascii="宋体" w:hAnsi="宋体" w:eastAsia="宋体" w:cs="宋体"/>
                <w:spacing w:val="-3"/>
                <w:sz w:val="18"/>
                <w:szCs w:val="18"/>
                <w:lang w:eastAsia="zh-CN"/>
              </w:rPr>
              <w:t>沉</w:t>
            </w:r>
            <w:r>
              <w:rPr>
                <w:rFonts w:ascii="宋体" w:hAnsi="宋体" w:eastAsia="宋体" w:cs="宋体"/>
                <w:sz w:val="18"/>
                <w:szCs w:val="18"/>
                <w:lang w:eastAsia="zh-CN"/>
              </w:rPr>
              <w:t>降</w:t>
            </w:r>
            <w:r>
              <w:rPr>
                <w:rFonts w:ascii="宋体" w:hAnsi="宋体" w:eastAsia="宋体" w:cs="宋体"/>
                <w:spacing w:val="-3"/>
                <w:sz w:val="18"/>
                <w:szCs w:val="18"/>
                <w:lang w:eastAsia="zh-CN"/>
              </w:rPr>
              <w:t>变</w:t>
            </w:r>
            <w:r>
              <w:rPr>
                <w:rFonts w:ascii="宋体" w:hAnsi="宋体" w:eastAsia="宋体" w:cs="宋体"/>
                <w:sz w:val="18"/>
                <w:szCs w:val="18"/>
                <w:lang w:eastAsia="zh-CN"/>
              </w:rPr>
              <w:t>形</w:t>
            </w:r>
            <w:r>
              <w:rPr>
                <w:rFonts w:ascii="宋体" w:hAnsi="宋体" w:eastAsia="宋体" w:cs="宋体"/>
                <w:spacing w:val="-2"/>
                <w:sz w:val="18"/>
                <w:szCs w:val="18"/>
                <w:lang w:eastAsia="zh-CN"/>
              </w:rPr>
              <w:t>、</w:t>
            </w:r>
            <w:r>
              <w:rPr>
                <w:rFonts w:ascii="宋体" w:hAnsi="宋体" w:eastAsia="宋体" w:cs="宋体"/>
                <w:sz w:val="18"/>
                <w:szCs w:val="18"/>
                <w:lang w:eastAsia="zh-CN"/>
              </w:rPr>
              <w:t>差</w:t>
            </w:r>
            <w:r>
              <w:rPr>
                <w:rFonts w:ascii="宋体" w:hAnsi="宋体" w:eastAsia="宋体" w:cs="宋体"/>
                <w:spacing w:val="-3"/>
                <w:sz w:val="18"/>
                <w:szCs w:val="18"/>
                <w:lang w:eastAsia="zh-CN"/>
              </w:rPr>
              <w:t>异</w:t>
            </w:r>
            <w:r>
              <w:rPr>
                <w:rFonts w:ascii="宋体" w:hAnsi="宋体" w:eastAsia="宋体" w:cs="宋体"/>
                <w:sz w:val="18"/>
                <w:szCs w:val="18"/>
                <w:lang w:eastAsia="zh-CN"/>
              </w:rPr>
              <w:t>沉</w:t>
            </w:r>
            <w:r>
              <w:rPr>
                <w:rFonts w:ascii="宋体" w:hAnsi="宋体" w:eastAsia="宋体" w:cs="宋体"/>
                <w:spacing w:val="-3"/>
                <w:sz w:val="18"/>
                <w:szCs w:val="18"/>
                <w:lang w:eastAsia="zh-CN"/>
              </w:rPr>
              <w:t>降</w:t>
            </w:r>
            <w:r>
              <w:rPr>
                <w:rFonts w:ascii="宋体" w:hAnsi="宋体" w:eastAsia="宋体" w:cs="宋体"/>
                <w:sz w:val="18"/>
                <w:szCs w:val="18"/>
                <w:lang w:eastAsia="zh-CN"/>
              </w:rPr>
              <w:t>变形</w:t>
            </w:r>
            <w:r>
              <w:rPr>
                <w:rFonts w:ascii="宋体" w:hAnsi="宋体" w:eastAsia="宋体" w:cs="宋体"/>
                <w:spacing w:val="-3"/>
                <w:sz w:val="18"/>
                <w:szCs w:val="18"/>
                <w:lang w:eastAsia="zh-CN"/>
              </w:rPr>
              <w:t>、</w:t>
            </w:r>
            <w:r>
              <w:rPr>
                <w:rFonts w:ascii="宋体" w:hAnsi="宋体" w:eastAsia="宋体" w:cs="宋体"/>
                <w:sz w:val="18"/>
                <w:szCs w:val="18"/>
                <w:lang w:eastAsia="zh-CN"/>
              </w:rPr>
              <w:t>变</w:t>
            </w:r>
            <w:r>
              <w:rPr>
                <w:rFonts w:ascii="宋体" w:hAnsi="宋体" w:eastAsia="宋体" w:cs="宋体"/>
                <w:spacing w:val="-3"/>
                <w:sz w:val="18"/>
                <w:szCs w:val="18"/>
                <w:lang w:eastAsia="zh-CN"/>
              </w:rPr>
              <w:t>形</w:t>
            </w:r>
            <w:r>
              <w:rPr>
                <w:rFonts w:ascii="宋体" w:hAnsi="宋体" w:eastAsia="宋体" w:cs="宋体"/>
                <w:sz w:val="18"/>
                <w:szCs w:val="18"/>
                <w:lang w:eastAsia="zh-CN"/>
              </w:rPr>
              <w:t>缝</w:t>
            </w:r>
            <w:r>
              <w:rPr>
                <w:rFonts w:ascii="宋体" w:hAnsi="宋体" w:eastAsia="宋体" w:cs="宋体"/>
                <w:spacing w:val="-3"/>
                <w:sz w:val="18"/>
                <w:szCs w:val="18"/>
                <w:lang w:eastAsia="zh-CN"/>
              </w:rPr>
              <w:t>伸</w:t>
            </w:r>
            <w:r>
              <w:rPr>
                <w:rFonts w:ascii="宋体" w:hAnsi="宋体" w:eastAsia="宋体" w:cs="宋体"/>
                <w:sz w:val="18"/>
                <w:szCs w:val="18"/>
                <w:lang w:eastAsia="zh-CN"/>
              </w:rPr>
              <w:t>缩</w:t>
            </w:r>
            <w:r>
              <w:rPr>
                <w:rFonts w:ascii="宋体" w:hAnsi="宋体" w:eastAsia="宋体" w:cs="宋体"/>
                <w:spacing w:val="-3"/>
                <w:sz w:val="18"/>
                <w:szCs w:val="18"/>
                <w:lang w:eastAsia="zh-CN"/>
              </w:rPr>
              <w:t>、</w:t>
            </w:r>
            <w:r>
              <w:rPr>
                <w:rFonts w:ascii="宋体" w:hAnsi="宋体" w:eastAsia="宋体" w:cs="宋体"/>
                <w:sz w:val="18"/>
                <w:szCs w:val="18"/>
                <w:lang w:eastAsia="zh-CN"/>
              </w:rPr>
              <w:t>变</w:t>
            </w:r>
            <w:r>
              <w:rPr>
                <w:rFonts w:ascii="宋体" w:hAnsi="宋体" w:eastAsia="宋体" w:cs="宋体"/>
                <w:spacing w:val="-3"/>
                <w:sz w:val="18"/>
                <w:szCs w:val="18"/>
                <w:lang w:eastAsia="zh-CN"/>
              </w:rPr>
              <w:t>形</w:t>
            </w:r>
            <w:r>
              <w:rPr>
                <w:rFonts w:ascii="宋体" w:hAnsi="宋体" w:eastAsia="宋体" w:cs="宋体"/>
                <w:spacing w:val="-1"/>
                <w:sz w:val="18"/>
                <w:szCs w:val="18"/>
                <w:lang w:eastAsia="zh-CN"/>
              </w:rPr>
              <w:t>缝</w:t>
            </w:r>
            <w:r>
              <w:rPr>
                <w:rFonts w:ascii="宋体" w:hAnsi="宋体" w:eastAsia="宋体" w:cs="宋体"/>
                <w:sz w:val="18"/>
                <w:szCs w:val="18"/>
                <w:lang w:eastAsia="zh-CN"/>
              </w:rPr>
              <w:t>错</w:t>
            </w:r>
            <w:r>
              <w:rPr>
                <w:rFonts w:ascii="宋体" w:hAnsi="宋体" w:eastAsia="宋体" w:cs="宋体"/>
                <w:spacing w:val="-3"/>
                <w:sz w:val="18"/>
                <w:szCs w:val="18"/>
                <w:lang w:eastAsia="zh-CN"/>
              </w:rPr>
              <w:t>台</w:t>
            </w:r>
            <w:r>
              <w:rPr>
                <w:rFonts w:ascii="宋体" w:hAnsi="宋体" w:eastAsia="宋体" w:cs="宋体"/>
                <w:sz w:val="18"/>
                <w:szCs w:val="18"/>
                <w:lang w:eastAsia="zh-CN"/>
              </w:rPr>
              <w:t>、</w:t>
            </w:r>
            <w:r>
              <w:rPr>
                <w:rFonts w:ascii="宋体" w:hAnsi="宋体" w:eastAsia="宋体" w:cs="宋体"/>
                <w:spacing w:val="-3"/>
                <w:sz w:val="18"/>
                <w:szCs w:val="18"/>
                <w:lang w:eastAsia="zh-CN"/>
              </w:rPr>
              <w:t>混</w:t>
            </w:r>
            <w:r>
              <w:rPr>
                <w:rFonts w:ascii="宋体" w:hAnsi="宋体" w:eastAsia="宋体" w:cs="宋体"/>
                <w:sz w:val="18"/>
                <w:szCs w:val="18"/>
                <w:lang w:eastAsia="zh-CN"/>
              </w:rPr>
              <w:t>凝</w:t>
            </w:r>
            <w:r>
              <w:rPr>
                <w:rFonts w:ascii="宋体" w:hAnsi="宋体" w:eastAsia="宋体" w:cs="宋体"/>
                <w:spacing w:val="-3"/>
                <w:sz w:val="18"/>
                <w:szCs w:val="18"/>
                <w:lang w:eastAsia="zh-CN"/>
              </w:rPr>
              <w:t>土</w:t>
            </w:r>
            <w:r>
              <w:rPr>
                <w:rFonts w:ascii="宋体" w:hAnsi="宋体" w:eastAsia="宋体" w:cs="宋体"/>
                <w:sz w:val="18"/>
                <w:szCs w:val="18"/>
                <w:lang w:eastAsia="zh-CN"/>
              </w:rPr>
              <w:t>裂缝、</w:t>
            </w:r>
            <w:r>
              <w:rPr>
                <w:rFonts w:ascii="宋体" w:hAnsi="宋体" w:eastAsia="宋体" w:cs="宋体"/>
                <w:spacing w:val="-3"/>
                <w:sz w:val="18"/>
                <w:szCs w:val="18"/>
                <w:lang w:eastAsia="zh-CN"/>
              </w:rPr>
              <w:t>构</w:t>
            </w:r>
            <w:r>
              <w:rPr>
                <w:rFonts w:ascii="宋体" w:hAnsi="宋体" w:eastAsia="宋体" w:cs="宋体"/>
                <w:sz w:val="18"/>
                <w:szCs w:val="18"/>
                <w:lang w:eastAsia="zh-CN"/>
              </w:rPr>
              <w:t>件</w:t>
            </w:r>
            <w:r>
              <w:rPr>
                <w:rFonts w:ascii="宋体" w:hAnsi="宋体" w:eastAsia="宋体" w:cs="宋体"/>
                <w:spacing w:val="-3"/>
                <w:sz w:val="18"/>
                <w:szCs w:val="18"/>
                <w:lang w:eastAsia="zh-CN"/>
              </w:rPr>
              <w:t>挠</w:t>
            </w:r>
            <w:r>
              <w:rPr>
                <w:rFonts w:ascii="宋体" w:hAnsi="宋体" w:eastAsia="宋体" w:cs="宋体"/>
                <w:sz w:val="18"/>
                <w:szCs w:val="18"/>
                <w:lang w:eastAsia="zh-CN"/>
              </w:rPr>
              <w:t>度</w:t>
            </w:r>
            <w:r>
              <w:rPr>
                <w:rFonts w:ascii="宋体" w:hAnsi="宋体" w:eastAsia="宋体" w:cs="宋体"/>
                <w:spacing w:val="-3"/>
                <w:sz w:val="18"/>
                <w:szCs w:val="18"/>
                <w:lang w:eastAsia="zh-CN"/>
              </w:rPr>
              <w:t>、断</w:t>
            </w:r>
            <w:r>
              <w:rPr>
                <w:rFonts w:ascii="宋体" w:hAnsi="宋体" w:eastAsia="宋体" w:cs="宋体"/>
                <w:sz w:val="18"/>
                <w:szCs w:val="18"/>
                <w:lang w:eastAsia="zh-CN"/>
              </w:rPr>
              <w:t>面</w:t>
            </w:r>
            <w:r>
              <w:rPr>
                <w:rFonts w:ascii="宋体" w:hAnsi="宋体" w:eastAsia="宋体" w:cs="宋体"/>
                <w:spacing w:val="-3"/>
                <w:sz w:val="18"/>
                <w:szCs w:val="18"/>
                <w:lang w:eastAsia="zh-CN"/>
              </w:rPr>
              <w:t>扭</w:t>
            </w:r>
            <w:r>
              <w:rPr>
                <w:rFonts w:ascii="宋体" w:hAnsi="宋体" w:eastAsia="宋体" w:cs="宋体"/>
                <w:sz w:val="18"/>
                <w:szCs w:val="18"/>
                <w:lang w:eastAsia="zh-CN"/>
              </w:rPr>
              <w:t>转、</w:t>
            </w:r>
            <w:r>
              <w:rPr>
                <w:rFonts w:ascii="宋体" w:hAnsi="宋体" w:eastAsia="宋体" w:cs="宋体"/>
                <w:spacing w:val="-3"/>
                <w:sz w:val="18"/>
                <w:szCs w:val="18"/>
                <w:lang w:eastAsia="zh-CN"/>
              </w:rPr>
              <w:t>断</w:t>
            </w:r>
            <w:r>
              <w:rPr>
                <w:rFonts w:ascii="宋体" w:hAnsi="宋体" w:eastAsia="宋体" w:cs="宋体"/>
                <w:sz w:val="18"/>
                <w:szCs w:val="18"/>
                <w:lang w:eastAsia="zh-CN"/>
              </w:rPr>
              <w:t>面</w:t>
            </w:r>
            <w:r>
              <w:rPr>
                <w:rFonts w:ascii="宋体" w:hAnsi="宋体" w:eastAsia="宋体" w:cs="宋体"/>
                <w:spacing w:val="-3"/>
                <w:sz w:val="18"/>
                <w:szCs w:val="18"/>
                <w:lang w:eastAsia="zh-CN"/>
              </w:rPr>
              <w:t>倾</w:t>
            </w:r>
            <w:r>
              <w:rPr>
                <w:rFonts w:ascii="宋体" w:hAnsi="宋体" w:eastAsia="宋体" w:cs="宋体"/>
                <w:sz w:val="18"/>
                <w:szCs w:val="18"/>
                <w:lang w:eastAsia="zh-CN"/>
              </w:rPr>
              <w:t>斜等</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0" w:type="dxa"/>
            <w:bottom w:w="0" w:type="dxa"/>
            <w:right w:w="0" w:type="dxa"/>
          </w:tblCellMar>
        </w:tblPrEx>
        <w:trPr>
          <w:trHeight w:val="312" w:hRule="atLeast"/>
          <w:tblHeader/>
          <w:jc w:val="center"/>
        </w:trPr>
        <w:tc>
          <w:tcPr>
            <w:tcW w:w="684" w:type="pct"/>
            <w:shd w:val="clear" w:color="auto" w:fill="auto"/>
            <w:vAlign w:val="center"/>
          </w:tcPr>
          <w:p>
            <w:pPr>
              <w:pStyle w:val="236"/>
              <w:jc w:val="center"/>
              <w:rPr>
                <w:rFonts w:ascii="宋体" w:hAnsi="宋体" w:eastAsia="宋体" w:cs="宋体"/>
                <w:sz w:val="18"/>
                <w:szCs w:val="18"/>
              </w:rPr>
            </w:pPr>
            <w:r>
              <w:rPr>
                <w:rFonts w:ascii="宋体" w:hAnsi="宋体" w:eastAsia="宋体" w:cs="宋体"/>
                <w:sz w:val="18"/>
                <w:szCs w:val="18"/>
              </w:rPr>
              <w:t>结构</w:t>
            </w:r>
            <w:r>
              <w:rPr>
                <w:rFonts w:ascii="宋体" w:hAnsi="宋体" w:eastAsia="宋体" w:cs="宋体"/>
                <w:spacing w:val="-3"/>
                <w:sz w:val="18"/>
                <w:szCs w:val="18"/>
              </w:rPr>
              <w:t>材</w:t>
            </w:r>
            <w:r>
              <w:rPr>
                <w:rFonts w:ascii="宋体" w:hAnsi="宋体" w:eastAsia="宋体" w:cs="宋体"/>
                <w:sz w:val="18"/>
                <w:szCs w:val="18"/>
              </w:rPr>
              <w:t>料</w:t>
            </w:r>
            <w:r>
              <w:rPr>
                <w:rFonts w:ascii="宋体" w:hAnsi="宋体" w:eastAsia="宋体" w:cs="宋体"/>
                <w:spacing w:val="-3"/>
                <w:sz w:val="18"/>
                <w:szCs w:val="18"/>
              </w:rPr>
              <w:t>监</w:t>
            </w:r>
            <w:r>
              <w:rPr>
                <w:rFonts w:ascii="宋体" w:hAnsi="宋体" w:eastAsia="宋体" w:cs="宋体"/>
                <w:sz w:val="18"/>
                <w:szCs w:val="18"/>
              </w:rPr>
              <w:t>测</w:t>
            </w:r>
          </w:p>
        </w:tc>
        <w:tc>
          <w:tcPr>
            <w:tcW w:w="1438" w:type="pct"/>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混凝</w:t>
            </w:r>
            <w:r>
              <w:rPr>
                <w:rFonts w:ascii="宋体" w:hAnsi="宋体" w:eastAsia="宋体" w:cs="宋体"/>
                <w:spacing w:val="-3"/>
                <w:sz w:val="18"/>
                <w:szCs w:val="18"/>
                <w:lang w:eastAsia="zh-CN"/>
              </w:rPr>
              <w:t>土</w:t>
            </w:r>
            <w:r>
              <w:rPr>
                <w:rFonts w:ascii="宋体" w:hAnsi="宋体" w:eastAsia="宋体" w:cs="宋体"/>
                <w:sz w:val="18"/>
                <w:szCs w:val="18"/>
                <w:lang w:eastAsia="zh-CN"/>
              </w:rPr>
              <w:t>碳</w:t>
            </w:r>
            <w:r>
              <w:rPr>
                <w:rFonts w:ascii="宋体" w:hAnsi="宋体" w:eastAsia="宋体" w:cs="宋体"/>
                <w:spacing w:val="-3"/>
                <w:sz w:val="18"/>
                <w:szCs w:val="18"/>
                <w:lang w:eastAsia="zh-CN"/>
              </w:rPr>
              <w:t>化</w:t>
            </w:r>
            <w:r>
              <w:rPr>
                <w:rFonts w:ascii="宋体" w:hAnsi="宋体" w:eastAsia="宋体" w:cs="宋体"/>
                <w:sz w:val="18"/>
                <w:szCs w:val="18"/>
                <w:lang w:eastAsia="zh-CN"/>
              </w:rPr>
              <w:t>深</w:t>
            </w:r>
            <w:r>
              <w:rPr>
                <w:rFonts w:ascii="宋体" w:hAnsi="宋体" w:eastAsia="宋体" w:cs="宋体"/>
                <w:spacing w:val="-3"/>
                <w:sz w:val="18"/>
                <w:szCs w:val="18"/>
                <w:lang w:eastAsia="zh-CN"/>
              </w:rPr>
              <w:t>度</w:t>
            </w:r>
          </w:p>
        </w:tc>
        <w:tc>
          <w:tcPr>
            <w:tcW w:w="2878" w:type="pct"/>
            <w:shd w:val="clear" w:color="auto" w:fill="auto"/>
            <w:vAlign w:val="center"/>
          </w:tcPr>
          <w:p>
            <w:pPr>
              <w:pStyle w:val="236"/>
              <w:jc w:val="center"/>
              <w:rPr>
                <w:rFonts w:ascii="宋体" w:hAnsi="宋体" w:eastAsia="宋体" w:cs="宋体"/>
                <w:sz w:val="18"/>
                <w:szCs w:val="18"/>
                <w:lang w:eastAsia="zh-CN"/>
              </w:rPr>
            </w:pPr>
            <w:r>
              <w:rPr>
                <w:rFonts w:ascii="宋体" w:hAnsi="宋体" w:eastAsia="宋体" w:cs="宋体"/>
                <w:sz w:val="18"/>
                <w:szCs w:val="18"/>
                <w:lang w:eastAsia="zh-CN"/>
              </w:rPr>
              <w:t>钢</w:t>
            </w:r>
            <w:r>
              <w:rPr>
                <w:rFonts w:ascii="宋体" w:hAnsi="宋体" w:eastAsia="宋体" w:cs="宋体"/>
                <w:spacing w:val="-3"/>
                <w:sz w:val="18"/>
                <w:szCs w:val="18"/>
                <w:lang w:eastAsia="zh-CN"/>
              </w:rPr>
              <w:t>筋</w:t>
            </w:r>
            <w:r>
              <w:rPr>
                <w:rFonts w:ascii="宋体" w:hAnsi="宋体" w:eastAsia="宋体" w:cs="宋体"/>
                <w:sz w:val="18"/>
                <w:szCs w:val="18"/>
                <w:lang w:eastAsia="zh-CN"/>
              </w:rPr>
              <w:t>腐</w:t>
            </w:r>
            <w:r>
              <w:rPr>
                <w:rFonts w:ascii="宋体" w:hAnsi="宋体" w:eastAsia="宋体" w:cs="宋体"/>
                <w:spacing w:val="-3"/>
                <w:sz w:val="18"/>
                <w:szCs w:val="18"/>
                <w:lang w:eastAsia="zh-CN"/>
              </w:rPr>
              <w:t>蚀</w:t>
            </w:r>
            <w:r>
              <w:rPr>
                <w:rFonts w:ascii="宋体" w:hAnsi="宋体" w:eastAsia="宋体" w:cs="宋体"/>
                <w:sz w:val="18"/>
                <w:szCs w:val="18"/>
                <w:lang w:eastAsia="zh-CN"/>
              </w:rPr>
              <w:t>程</w:t>
            </w:r>
            <w:r>
              <w:rPr>
                <w:rFonts w:ascii="宋体" w:hAnsi="宋体" w:eastAsia="宋体" w:cs="宋体"/>
                <w:spacing w:val="-3"/>
                <w:sz w:val="18"/>
                <w:szCs w:val="18"/>
                <w:lang w:eastAsia="zh-CN"/>
              </w:rPr>
              <w:t>度</w:t>
            </w:r>
            <w:r>
              <w:rPr>
                <w:rFonts w:ascii="宋体" w:hAnsi="宋体" w:eastAsia="宋体" w:cs="宋体"/>
                <w:sz w:val="18"/>
                <w:szCs w:val="18"/>
                <w:lang w:eastAsia="zh-CN"/>
              </w:rPr>
              <w:t>等</w:t>
            </w:r>
          </w:p>
        </w:tc>
      </w:tr>
    </w:tbl>
    <w:p>
      <w:pPr>
        <w:pStyle w:val="165"/>
        <w:ind w:left="0"/>
        <w:rPr>
          <w:rFonts w:ascii="Times New Roman"/>
        </w:rPr>
      </w:pPr>
      <w:r>
        <w:rPr>
          <w:rFonts w:hint="eastAsia" w:ascii="Times New Roman"/>
        </w:rPr>
        <w:t>结构监测区域与断面设置应符合下列规定：</w:t>
      </w:r>
    </w:p>
    <w:p>
      <w:pPr>
        <w:pStyle w:val="174"/>
        <w:numPr>
          <w:ilvl w:val="0"/>
          <w:numId w:val="77"/>
        </w:numPr>
      </w:pPr>
      <w:r>
        <w:rPr>
          <w:rFonts w:hint="eastAsia"/>
        </w:rPr>
        <w:t>应在水下隧道结构受力敏感地段和地质环境复杂地段设置监测区域，及时掌握该区域内隧道结构与地质环境的状态，区域的选取应考虑以下因素：</w:t>
      </w:r>
    </w:p>
    <w:p>
      <w:pPr>
        <w:pStyle w:val="109"/>
      </w:pPr>
      <w:r>
        <w:rPr>
          <w:rFonts w:hint="eastAsia"/>
        </w:rPr>
        <w:t>隧道所处地质与环境特点；</w:t>
      </w:r>
    </w:p>
    <w:p>
      <w:pPr>
        <w:pStyle w:val="109"/>
      </w:pPr>
      <w:r>
        <w:rPr>
          <w:rFonts w:hint="eastAsia"/>
        </w:rPr>
        <w:t>隧道自身结构特点；</w:t>
      </w:r>
    </w:p>
    <w:p>
      <w:pPr>
        <w:pStyle w:val="109"/>
      </w:pPr>
      <w:r>
        <w:rPr>
          <w:rFonts w:hint="eastAsia"/>
        </w:rPr>
        <w:t>突发风险的影响；</w:t>
      </w:r>
    </w:p>
    <w:p>
      <w:pPr>
        <w:pStyle w:val="109"/>
      </w:pPr>
      <w:r>
        <w:rPr>
          <w:rFonts w:hint="eastAsia"/>
        </w:rPr>
        <w:t>邻近敏感建构筑物区域；</w:t>
      </w:r>
    </w:p>
    <w:p>
      <w:pPr>
        <w:pStyle w:val="109"/>
      </w:pPr>
      <w:r>
        <w:rPr>
          <w:rFonts w:hint="eastAsia"/>
        </w:rPr>
        <w:t>外部荷载较大或结构内力较大或水流冲磨作用较大的区域；</w:t>
      </w:r>
    </w:p>
    <w:p>
      <w:pPr>
        <w:pStyle w:val="109"/>
      </w:pPr>
      <w:r>
        <w:rPr>
          <w:rFonts w:hint="eastAsia"/>
        </w:rPr>
        <w:t>f）施工期间出现危及隧道结构安全事故的区域。</w:t>
      </w:r>
    </w:p>
    <w:p>
      <w:pPr>
        <w:pStyle w:val="174"/>
        <w:rPr>
          <w:lang w:bidi="ar"/>
        </w:rPr>
      </w:pPr>
      <w:r>
        <w:rPr>
          <w:rFonts w:hint="eastAsia"/>
        </w:rPr>
        <w:t>监测断面应从监测区域中进行选取，主要考虑以下内容：</w:t>
      </w:r>
    </w:p>
    <w:p>
      <w:pPr>
        <w:pStyle w:val="109"/>
      </w:pPr>
      <w:r>
        <w:rPr>
          <w:rFonts w:hint="eastAsia"/>
        </w:rPr>
        <w:t>应为区域内风险较大的位置；</w:t>
      </w:r>
    </w:p>
    <w:p>
      <w:pPr>
        <w:pStyle w:val="109"/>
      </w:pPr>
      <w:r>
        <w:rPr>
          <w:rFonts w:hint="eastAsia"/>
        </w:rPr>
        <w:t>应具有一定的典型性与代表性；</w:t>
      </w:r>
    </w:p>
    <w:p>
      <w:pPr>
        <w:pStyle w:val="109"/>
      </w:pPr>
      <w:r>
        <w:rPr>
          <w:rFonts w:hint="eastAsia"/>
        </w:rPr>
        <w:t>差异沉降测点应覆盖整个监测区域。</w:t>
      </w:r>
    </w:p>
    <w:p>
      <w:pPr>
        <w:pStyle w:val="165"/>
        <w:ind w:left="0"/>
        <w:rPr>
          <w:lang w:bidi="ar"/>
        </w:rPr>
      </w:pPr>
      <w:r>
        <w:rPr>
          <w:rFonts w:hint="eastAsia" w:ascii="Times New Roman"/>
        </w:rPr>
        <w:t>二次衬砌结构健康监测测点布置应符合下列规定：</w:t>
      </w:r>
    </w:p>
    <w:p>
      <w:pPr>
        <w:pStyle w:val="174"/>
        <w:numPr>
          <w:ilvl w:val="0"/>
          <w:numId w:val="78"/>
        </w:numPr>
      </w:pPr>
      <w:r>
        <w:t>应反映监测对象的实际状态及变化趋势，且宜布置在最不利位置；</w:t>
      </w:r>
    </w:p>
    <w:p>
      <w:pPr>
        <w:pStyle w:val="174"/>
      </w:pPr>
      <w:r>
        <w:t>测点的位置、数量宜根据结构类型、外部环境与荷载作用、设计要求、施工过程、监测项目及结构分析结果确定；</w:t>
      </w:r>
    </w:p>
    <w:p>
      <w:pPr>
        <w:pStyle w:val="174"/>
      </w:pPr>
      <w:r>
        <w:t>测点的数量和布置范围应有冗余度，宜根据实际需求增加测点；</w:t>
      </w:r>
    </w:p>
    <w:p>
      <w:pPr>
        <w:pStyle w:val="174"/>
      </w:pPr>
      <w:r>
        <w:t>可利用结构的对称性，减少测点布置数量，混凝土和钢筋应力监测点应在衬砌内侧和外侧对称布置；</w:t>
      </w:r>
    </w:p>
    <w:p>
      <w:pPr>
        <w:pStyle w:val="174"/>
      </w:pPr>
      <w:r>
        <w:t>宜便于监测设备的安装、测读、维护和更换；</w:t>
      </w:r>
    </w:p>
    <w:p>
      <w:pPr>
        <w:pStyle w:val="174"/>
      </w:pPr>
      <w:r>
        <w:t>不应妨碍降低监测对象的安全性能与正常使用功能；</w:t>
      </w:r>
    </w:p>
    <w:p>
      <w:pPr>
        <w:pStyle w:val="174"/>
      </w:pPr>
      <w:r>
        <w:t>在符合上述要求的基础上，宜缩短信号的传输距离。</w:t>
      </w:r>
    </w:p>
    <w:p>
      <w:pPr>
        <w:pStyle w:val="165"/>
        <w:ind w:left="0"/>
        <w:rPr>
          <w:rFonts w:ascii="Times New Roman"/>
        </w:rPr>
      </w:pPr>
      <w:r>
        <w:rPr>
          <w:rFonts w:hint="eastAsia" w:ascii="Times New Roman"/>
        </w:rPr>
        <w:t>采用自动化实时监测方法不能充分掌握结构安全情况时，应补充其他如机器人巡检、人工巡检等方法。</w:t>
      </w:r>
    </w:p>
    <w:p>
      <w:pPr>
        <w:pStyle w:val="105"/>
        <w:spacing w:before="156" w:after="156"/>
        <w:ind w:left="0"/>
      </w:pPr>
      <w:bookmarkStart w:id="187" w:name="_Toc129276137"/>
      <w:bookmarkStart w:id="188" w:name="_Toc130215185"/>
      <w:bookmarkStart w:id="189" w:name="_Toc130218772"/>
      <w:r>
        <w:rPr>
          <w:rFonts w:hint="eastAsia"/>
        </w:rPr>
        <w:t>结构健康监测施工及验收</w:t>
      </w:r>
      <w:bookmarkEnd w:id="187"/>
      <w:bookmarkEnd w:id="188"/>
      <w:bookmarkEnd w:id="189"/>
    </w:p>
    <w:p>
      <w:pPr>
        <w:pStyle w:val="165"/>
        <w:ind w:left="0"/>
        <w:rPr>
          <w:rFonts w:ascii="Times New Roman"/>
        </w:rPr>
      </w:pPr>
      <w:r>
        <w:rPr>
          <w:rFonts w:hint="eastAsia" w:ascii="Times New Roman"/>
        </w:rPr>
        <w:t>二次衬砌结构健康监测系统施工质量管理应包括硬件与软件进场检查、隐蔽工程过程检查和验收、工程安装质量检查、系统自检和试运行等。</w:t>
      </w:r>
    </w:p>
    <w:p>
      <w:pPr>
        <w:pStyle w:val="165"/>
        <w:ind w:left="0"/>
        <w:rPr>
          <w:rFonts w:ascii="Times New Roman"/>
        </w:rPr>
      </w:pPr>
      <w:r>
        <w:rPr>
          <w:rFonts w:hint="eastAsia" w:ascii="Times New Roman"/>
        </w:rPr>
        <w:t>二次衬砌结构健康监测系统施工应不影响隧道结构承载能力，并采取相应措施减小对隧道结构耐久性产生的不良影响。</w:t>
      </w:r>
    </w:p>
    <w:p>
      <w:pPr>
        <w:pStyle w:val="165"/>
        <w:ind w:left="0"/>
        <w:rPr>
          <w:rFonts w:ascii="Times New Roman"/>
        </w:rPr>
      </w:pPr>
      <w:r>
        <w:rPr>
          <w:rFonts w:hint="eastAsia" w:ascii="Times New Roman"/>
        </w:rPr>
        <w:t>传感器安装应符合以下规定：</w:t>
      </w:r>
    </w:p>
    <w:p>
      <w:pPr>
        <w:pStyle w:val="174"/>
        <w:numPr>
          <w:ilvl w:val="0"/>
          <w:numId w:val="79"/>
        </w:numPr>
      </w:pPr>
      <w:r>
        <w:rPr>
          <w:rFonts w:hint="eastAsia"/>
        </w:rPr>
        <w:t>传感器的安装环境应符合设计文件和传感器产品说明书的要求，当安装环境超出规定时，应采取有效的保护措施；</w:t>
      </w:r>
    </w:p>
    <w:p>
      <w:pPr>
        <w:pStyle w:val="174"/>
      </w:pPr>
      <w:r>
        <w:rPr>
          <w:rFonts w:hint="eastAsia"/>
        </w:rPr>
        <w:t>在混凝土浇筑过程中，禁止振捣器触碰传感器；</w:t>
      </w:r>
    </w:p>
    <w:p>
      <w:pPr>
        <w:pStyle w:val="174"/>
      </w:pPr>
      <w:r>
        <w:rPr>
          <w:rFonts w:hint="eastAsia"/>
        </w:rPr>
        <w:t>安装过程中不得猛烈敲打、强拉或抛扔传感器；</w:t>
      </w:r>
    </w:p>
    <w:p>
      <w:pPr>
        <w:pStyle w:val="174"/>
      </w:pPr>
      <w:r>
        <w:rPr>
          <w:rFonts w:hint="eastAsia"/>
        </w:rPr>
        <w:t>传感器接线排列应整齐、美观，导线应绝缘良好、无损伤，标识应清晰；</w:t>
      </w:r>
    </w:p>
    <w:p>
      <w:pPr>
        <w:pStyle w:val="174"/>
      </w:pPr>
      <w:r>
        <w:rPr>
          <w:rFonts w:hint="eastAsia"/>
        </w:rPr>
        <w:t>传感器接线张紧程度应适中，不得使硬件内部受到额外应力。</w:t>
      </w:r>
    </w:p>
    <w:p>
      <w:pPr>
        <w:pStyle w:val="165"/>
        <w:ind w:left="0"/>
        <w:rPr>
          <w:rFonts w:ascii="Times New Roman"/>
        </w:rPr>
      </w:pPr>
      <w:r>
        <w:rPr>
          <w:rFonts w:hint="eastAsia" w:ascii="Times New Roman"/>
        </w:rPr>
        <w:t>二次衬砌结构健康监测系统安装完成后应进行系统调试，系统调试划分为单项调试和联合调试。</w:t>
      </w:r>
    </w:p>
    <w:p>
      <w:pPr>
        <w:pStyle w:val="165"/>
        <w:ind w:left="0"/>
        <w:rPr>
          <w:rFonts w:ascii="Times New Roman"/>
        </w:rPr>
      </w:pPr>
      <w:r>
        <w:rPr>
          <w:rFonts w:hint="eastAsia" w:ascii="Times New Roman"/>
        </w:rPr>
        <w:t>二次衬砌结构健康监测系统应在系统单项调试和联合调试合格后进行系统试运行。</w:t>
      </w:r>
    </w:p>
    <w:p>
      <w:pPr>
        <w:pStyle w:val="165"/>
        <w:ind w:left="0"/>
        <w:rPr>
          <w:rFonts w:ascii="Times New Roman"/>
        </w:rPr>
      </w:pPr>
      <w:r>
        <w:rPr>
          <w:rFonts w:hint="eastAsia" w:ascii="Times New Roman"/>
        </w:rPr>
        <w:t>二次衬砌结构健康监测系统验收应符合设计要求。</w:t>
      </w:r>
    </w:p>
    <w:p>
      <w:pPr>
        <w:pStyle w:val="104"/>
        <w:spacing w:before="312" w:after="312"/>
      </w:pPr>
      <w:bookmarkStart w:id="190" w:name="_Toc129276138"/>
      <w:bookmarkStart w:id="191" w:name="_Toc130215186"/>
      <w:bookmarkStart w:id="192" w:name="_Toc69230961"/>
      <w:bookmarkStart w:id="193" w:name="_Toc130218773"/>
      <w:r>
        <w:rPr>
          <w:rFonts w:hint="eastAsia"/>
        </w:rPr>
        <w:t>验收</w:t>
      </w:r>
      <w:bookmarkEnd w:id="190"/>
      <w:bookmarkEnd w:id="191"/>
      <w:bookmarkEnd w:id="192"/>
      <w:bookmarkEnd w:id="193"/>
    </w:p>
    <w:p>
      <w:pPr>
        <w:pStyle w:val="105"/>
        <w:spacing w:before="156" w:after="156"/>
        <w:ind w:left="0"/>
      </w:pPr>
      <w:bookmarkStart w:id="194" w:name="_Toc130218774"/>
      <w:bookmarkStart w:id="195" w:name="_Toc130215187"/>
      <w:bookmarkStart w:id="196" w:name="_Toc129276139"/>
      <w:bookmarkStart w:id="197" w:name="_Toc69230962"/>
      <w:r>
        <w:t>一般规定</w:t>
      </w:r>
      <w:bookmarkEnd w:id="194"/>
      <w:bookmarkEnd w:id="195"/>
      <w:bookmarkEnd w:id="196"/>
      <w:bookmarkEnd w:id="197"/>
    </w:p>
    <w:p>
      <w:pPr>
        <w:pStyle w:val="165"/>
        <w:ind w:left="0"/>
      </w:pPr>
      <w:r>
        <w:rPr>
          <w:rFonts w:hint="eastAsia"/>
        </w:rPr>
        <w:t>盾构法输水隧道现浇钢筋混凝土二次衬砌施工</w:t>
      </w:r>
      <w:r>
        <w:t>应进行钢筋工程、模板工程、防水</w:t>
      </w:r>
      <w:r>
        <w:rPr>
          <w:rFonts w:hint="eastAsia"/>
        </w:rPr>
        <w:t>工程、混凝土工程验收，并</w:t>
      </w:r>
      <w:r>
        <w:t>应</w:t>
      </w:r>
      <w:r>
        <w:rPr>
          <w:rFonts w:hint="eastAsia"/>
        </w:rPr>
        <w:t>结合</w:t>
      </w:r>
      <w:r>
        <w:t>设计功能进行</w:t>
      </w:r>
      <w:r>
        <w:rPr>
          <w:rFonts w:hint="eastAsia"/>
        </w:rPr>
        <w:t>功能性试验</w:t>
      </w:r>
      <w:r>
        <w:t>；</w:t>
      </w:r>
    </w:p>
    <w:p>
      <w:pPr>
        <w:pStyle w:val="165"/>
        <w:ind w:left="0"/>
      </w:pPr>
      <w:r>
        <w:rPr>
          <w:rFonts w:hint="eastAsia"/>
        </w:rPr>
        <w:t>二次衬砌</w:t>
      </w:r>
      <w:r>
        <w:t>钢筋工程、模板工程、防水</w:t>
      </w:r>
      <w:r>
        <w:rPr>
          <w:rFonts w:hint="eastAsia"/>
        </w:rPr>
        <w:t>工程、混凝土工程验收应以每一仓作为一个检验批，单仓长度宜与变形缝设置间距保持一致；</w:t>
      </w:r>
    </w:p>
    <w:p>
      <w:pPr>
        <w:pStyle w:val="165"/>
        <w:ind w:left="0"/>
        <w:rPr>
          <w:rFonts w:ascii="Times New Roman"/>
          <w:szCs w:val="22"/>
        </w:rPr>
      </w:pPr>
      <w:r>
        <w:rPr>
          <w:rFonts w:hint="eastAsia"/>
        </w:rPr>
        <w:t>盾构法输水隧道现浇钢筋混凝土二次衬砌施工应在验收通过后，方可进入下一工序或者投入使用。</w:t>
      </w:r>
    </w:p>
    <w:p>
      <w:pPr>
        <w:pStyle w:val="105"/>
        <w:spacing w:before="156" w:after="156"/>
        <w:ind w:left="0"/>
      </w:pPr>
      <w:bookmarkStart w:id="198" w:name="_Toc130218775"/>
      <w:bookmarkStart w:id="199" w:name="_Toc130215188"/>
      <w:bookmarkStart w:id="200" w:name="_Toc129276140"/>
      <w:bookmarkStart w:id="201" w:name="_Toc69230963"/>
      <w:r>
        <w:rPr>
          <w:rFonts w:hint="eastAsia"/>
        </w:rPr>
        <w:t>钢筋</w:t>
      </w:r>
      <w:r>
        <w:t>工程</w:t>
      </w:r>
      <w:bookmarkEnd w:id="198"/>
      <w:bookmarkEnd w:id="199"/>
      <w:bookmarkEnd w:id="200"/>
      <w:bookmarkEnd w:id="201"/>
    </w:p>
    <w:p>
      <w:pPr>
        <w:pStyle w:val="165"/>
        <w:ind w:left="0"/>
      </w:pPr>
      <w:r>
        <w:rPr>
          <w:rFonts w:hint="eastAsia"/>
          <w:bCs/>
        </w:rPr>
        <w:t>二次衬砌钢筋加工及安装工程的质量验收</w:t>
      </w:r>
      <w:r>
        <w:t>应符合现行国家标准《混凝土结构工程施工质量验收规范》</w:t>
      </w:r>
      <w:r>
        <w:rPr>
          <w:lang w:bidi="ar"/>
        </w:rPr>
        <w:t>(GB 50204)</w:t>
      </w:r>
      <w:r>
        <w:rPr>
          <w:rFonts w:hint="eastAsia"/>
          <w:lang w:bidi="ar"/>
        </w:rPr>
        <w:t>的规定。</w:t>
      </w:r>
    </w:p>
    <w:p>
      <w:pPr>
        <w:pStyle w:val="165"/>
        <w:ind w:left="0"/>
      </w:pPr>
      <w:r>
        <w:rPr>
          <w:rFonts w:hint="eastAsia"/>
        </w:rPr>
        <w:t>二次衬砌钢筋与衬衬管片连接钢筋数量、方式、长度等应符合设计要求；</w:t>
      </w:r>
    </w:p>
    <w:p>
      <w:pPr>
        <w:pStyle w:val="56"/>
        <w:ind w:firstLine="420"/>
      </w:pPr>
      <w:r>
        <w:t>检查数量：全数检查。</w:t>
      </w:r>
    </w:p>
    <w:p>
      <w:pPr>
        <w:pStyle w:val="56"/>
        <w:ind w:firstLine="420"/>
      </w:pPr>
      <w:r>
        <w:rPr>
          <w:rFonts w:hint="eastAsia"/>
        </w:rPr>
        <w:t>检查方法：观察检查，钢尺量测。</w:t>
      </w:r>
    </w:p>
    <w:p>
      <w:pPr>
        <w:pStyle w:val="165"/>
        <w:ind w:left="0"/>
      </w:pPr>
      <w:r>
        <w:rPr>
          <w:rFonts w:hint="eastAsia"/>
        </w:rPr>
        <w:t>完成后的二次衬砌结构应进行钢筋间距和保护层的无损检测，其钢筋保护层允许偏差为</w:t>
      </w:r>
      <w:r>
        <w:t>±</w:t>
      </w:r>
      <w:r>
        <w:rPr>
          <w:rFonts w:hint="eastAsia"/>
        </w:rPr>
        <w:t>5mm；</w:t>
      </w:r>
    </w:p>
    <w:p>
      <w:pPr>
        <w:pStyle w:val="56"/>
        <w:ind w:firstLine="420"/>
      </w:pPr>
      <w:r>
        <w:t>检查数量：</w:t>
      </w:r>
      <w:r>
        <w:rPr>
          <w:rFonts w:hint="eastAsia"/>
        </w:rPr>
        <w:t>每100m结构检测一个断面</w:t>
      </w:r>
      <w:r>
        <w:t>。</w:t>
      </w:r>
    </w:p>
    <w:p>
      <w:pPr>
        <w:pStyle w:val="56"/>
        <w:ind w:firstLine="420"/>
      </w:pPr>
      <w:r>
        <w:rPr>
          <w:rFonts w:hint="eastAsia"/>
        </w:rPr>
        <w:t>检查方法：钢筋无损检测仪检测。</w:t>
      </w:r>
    </w:p>
    <w:p>
      <w:pPr>
        <w:pStyle w:val="105"/>
        <w:spacing w:before="156" w:after="156"/>
        <w:ind w:left="0"/>
      </w:pPr>
      <w:bookmarkStart w:id="202" w:name="_Toc130218776"/>
      <w:bookmarkStart w:id="203" w:name="_Toc130215189"/>
      <w:bookmarkStart w:id="204" w:name="_Toc129276141"/>
      <w:bookmarkStart w:id="205" w:name="_Toc69230964"/>
      <w:r>
        <w:rPr>
          <w:rFonts w:hint="eastAsia"/>
        </w:rPr>
        <w:t>模板</w:t>
      </w:r>
      <w:r>
        <w:t>工程</w:t>
      </w:r>
      <w:bookmarkEnd w:id="202"/>
      <w:bookmarkEnd w:id="203"/>
      <w:bookmarkEnd w:id="204"/>
      <w:bookmarkEnd w:id="205"/>
    </w:p>
    <w:p>
      <w:pPr>
        <w:pStyle w:val="165"/>
        <w:ind w:left="0"/>
      </w:pPr>
      <w:r>
        <w:rPr>
          <w:rFonts w:hint="eastAsia"/>
        </w:rPr>
        <w:t>二次衬砌模板及支架工程的质量验收</w:t>
      </w:r>
      <w:r>
        <w:t>应符合现行国家标准《混凝土结构工程施工质量验收规范》(GB 50204)</w:t>
      </w:r>
      <w:r>
        <w:rPr>
          <w:rFonts w:hint="eastAsia"/>
        </w:rPr>
        <w:t>的规定。</w:t>
      </w:r>
    </w:p>
    <w:p>
      <w:pPr>
        <w:pStyle w:val="165"/>
        <w:ind w:left="0"/>
      </w:pPr>
      <w:r>
        <w:rPr>
          <w:rFonts w:hint="eastAsia"/>
        </w:rPr>
        <w:t>二次衬砌混凝土浇筑前应对模板及支架工程模板对中精度进行检查，模板顶点与管片顶点水平允许偏差3mm；</w:t>
      </w:r>
    </w:p>
    <w:p>
      <w:pPr>
        <w:pStyle w:val="56"/>
        <w:ind w:firstLine="420"/>
      </w:pPr>
      <w:r>
        <w:t>检查数量：全数检查。</w:t>
      </w:r>
    </w:p>
    <w:p>
      <w:pPr>
        <w:pStyle w:val="56"/>
        <w:ind w:firstLine="420"/>
      </w:pPr>
      <w:r>
        <w:rPr>
          <w:rFonts w:hint="eastAsia"/>
        </w:rPr>
        <w:t>检查方法：吊线、钢尺量测。</w:t>
      </w:r>
    </w:p>
    <w:p>
      <w:pPr>
        <w:pStyle w:val="165"/>
        <w:ind w:left="0"/>
      </w:pPr>
      <w:r>
        <w:rPr>
          <w:rFonts w:hint="eastAsia"/>
        </w:rPr>
        <w:t>模板支立前应清理干净并涂刷隔离剂，铺设应牢固、平整、接缝严密、不漏浆；</w:t>
      </w:r>
    </w:p>
    <w:p>
      <w:pPr>
        <w:pStyle w:val="56"/>
        <w:ind w:firstLine="420"/>
      </w:pPr>
      <w:r>
        <w:t>检查数量：全数检查。</w:t>
      </w:r>
    </w:p>
    <w:p>
      <w:pPr>
        <w:pStyle w:val="56"/>
        <w:ind w:firstLine="420"/>
      </w:pPr>
      <w:r>
        <w:rPr>
          <w:rFonts w:hint="eastAsia"/>
        </w:rPr>
        <w:t>检查方法：观察检查。</w:t>
      </w:r>
    </w:p>
    <w:p>
      <w:pPr>
        <w:pStyle w:val="165"/>
        <w:ind w:left="0"/>
      </w:pPr>
      <w:r>
        <w:rPr>
          <w:rFonts w:hint="eastAsia"/>
        </w:rPr>
        <w:t>模板安装应符合下列规定；</w:t>
      </w:r>
    </w:p>
    <w:p>
      <w:pPr>
        <w:pStyle w:val="174"/>
        <w:numPr>
          <w:ilvl w:val="0"/>
          <w:numId w:val="80"/>
        </w:numPr>
      </w:pPr>
      <w:r>
        <w:rPr>
          <w:rFonts w:hint="eastAsia"/>
        </w:rPr>
        <w:t>模板接缝不应漏浆；</w:t>
      </w:r>
    </w:p>
    <w:p>
      <w:pPr>
        <w:pStyle w:val="174"/>
      </w:pPr>
      <w:r>
        <w:rPr>
          <w:rFonts w:hint="eastAsia"/>
        </w:rPr>
        <w:t>相邻两块模板接缝高低差不应大于2mm。</w:t>
      </w:r>
    </w:p>
    <w:p>
      <w:pPr>
        <w:pStyle w:val="235"/>
        <w:autoSpaceDE w:val="0"/>
        <w:autoSpaceDN w:val="0"/>
        <w:ind w:left="420" w:leftChars="200"/>
        <w:rPr>
          <w:kern w:val="0"/>
        </w:rPr>
      </w:pPr>
      <w:r>
        <w:rPr>
          <w:kern w:val="0"/>
        </w:rPr>
        <w:t>检查数量：全数检查。</w:t>
      </w:r>
    </w:p>
    <w:p>
      <w:pPr>
        <w:pStyle w:val="235"/>
        <w:autoSpaceDE w:val="0"/>
        <w:autoSpaceDN w:val="0"/>
        <w:ind w:left="420" w:leftChars="200"/>
        <w:rPr>
          <w:kern w:val="0"/>
        </w:rPr>
      </w:pPr>
      <w:r>
        <w:rPr>
          <w:rFonts w:hint="eastAsia"/>
          <w:kern w:val="0"/>
        </w:rPr>
        <w:t>检查方法：观察检查，钢尺量测。</w:t>
      </w:r>
    </w:p>
    <w:p>
      <w:pPr>
        <w:pStyle w:val="105"/>
        <w:spacing w:before="156" w:after="156"/>
        <w:ind w:left="0"/>
      </w:pPr>
      <w:bookmarkStart w:id="206" w:name="_Toc130218777"/>
      <w:bookmarkStart w:id="207" w:name="_Toc130215190"/>
      <w:bookmarkStart w:id="208" w:name="_Toc129276142"/>
      <w:bookmarkStart w:id="209" w:name="_Toc69230965"/>
      <w:r>
        <w:rPr>
          <w:rFonts w:hint="eastAsia"/>
        </w:rPr>
        <w:t>防水</w:t>
      </w:r>
      <w:r>
        <w:t>工程</w:t>
      </w:r>
      <w:bookmarkEnd w:id="206"/>
      <w:bookmarkEnd w:id="207"/>
      <w:bookmarkEnd w:id="208"/>
      <w:bookmarkEnd w:id="209"/>
    </w:p>
    <w:p>
      <w:pPr>
        <w:pStyle w:val="165"/>
        <w:ind w:left="0"/>
      </w:pPr>
      <w:r>
        <w:rPr>
          <w:rFonts w:hint="eastAsia"/>
        </w:rPr>
        <w:t>二次衬砌防水工程的质量验收</w:t>
      </w:r>
      <w:r>
        <w:t>应符合现行国家标准《</w:t>
      </w:r>
      <w:r>
        <w:rPr>
          <w:rFonts w:hint="eastAsia"/>
        </w:rPr>
        <w:t>地</w:t>
      </w:r>
      <w:r>
        <w:t>下防水工程质量验收规范》(GB 50208)</w:t>
      </w:r>
      <w:r>
        <w:rPr>
          <w:rFonts w:hint="eastAsia"/>
        </w:rPr>
        <w:t>的规定。</w:t>
      </w:r>
    </w:p>
    <w:p>
      <w:pPr>
        <w:pStyle w:val="165"/>
        <w:ind w:left="0"/>
      </w:pPr>
      <w:r>
        <w:rPr>
          <w:rFonts w:hint="eastAsia"/>
        </w:rPr>
        <w:t>二次衬砌混凝土结构不得有线流和漏泥砂现象，渗漏水满足隧道设计防水标准；</w:t>
      </w:r>
    </w:p>
    <w:p>
      <w:pPr>
        <w:pStyle w:val="56"/>
        <w:ind w:firstLine="420"/>
      </w:pPr>
      <w:r>
        <w:t>检查数量：全数检查。</w:t>
      </w:r>
    </w:p>
    <w:p>
      <w:pPr>
        <w:pStyle w:val="56"/>
        <w:ind w:firstLine="420"/>
      </w:pPr>
      <w:r>
        <w:rPr>
          <w:rFonts w:hint="eastAsia"/>
        </w:rPr>
        <w:t>检查方法：观察检查和尺量。</w:t>
      </w:r>
    </w:p>
    <w:p>
      <w:pPr>
        <w:pStyle w:val="56"/>
        <w:ind w:firstLine="420"/>
      </w:pPr>
      <w:r>
        <w:rPr>
          <w:rFonts w:hint="eastAsia"/>
        </w:rPr>
        <w:t>检查方法：观察检查和检查隐蔽工程验收记录。</w:t>
      </w:r>
    </w:p>
    <w:p>
      <w:pPr>
        <w:pStyle w:val="165"/>
        <w:ind w:left="0"/>
      </w:pPr>
      <w:r>
        <w:rPr>
          <w:rFonts w:hint="eastAsia"/>
        </w:rPr>
        <w:t>二次衬砌混凝土结构的施工缝、变形缝、埋设件等设置和构造必须符合设计要求；</w:t>
      </w:r>
    </w:p>
    <w:p>
      <w:pPr>
        <w:pStyle w:val="56"/>
        <w:ind w:firstLine="420"/>
      </w:pPr>
      <w:r>
        <w:t>检查数量：全数检查。</w:t>
      </w:r>
    </w:p>
    <w:p>
      <w:pPr>
        <w:pStyle w:val="56"/>
        <w:ind w:firstLine="420"/>
      </w:pPr>
      <w:r>
        <w:rPr>
          <w:rFonts w:hint="eastAsia"/>
        </w:rPr>
        <w:t>检查方法：观察检查和检查隐蔽工程验收记录。</w:t>
      </w:r>
    </w:p>
    <w:p>
      <w:pPr>
        <w:pStyle w:val="165"/>
        <w:ind w:left="0"/>
      </w:pPr>
      <w:r>
        <w:rPr>
          <w:rFonts w:hint="eastAsia"/>
        </w:rPr>
        <w:t>二次衬砌混凝土结构变形缝止水带埋设位置应准确，其中间空心圆环与变形缝的中心线应重合；</w:t>
      </w:r>
    </w:p>
    <w:p>
      <w:pPr>
        <w:pStyle w:val="56"/>
        <w:ind w:firstLine="420"/>
      </w:pPr>
      <w:r>
        <w:t>检查数量：全数检查。</w:t>
      </w:r>
    </w:p>
    <w:p>
      <w:pPr>
        <w:pStyle w:val="56"/>
        <w:ind w:firstLine="420"/>
      </w:pPr>
      <w:r>
        <w:rPr>
          <w:rFonts w:hint="eastAsia"/>
        </w:rPr>
        <w:t>检查方法：观察检查和检查隐蔽工程验收记录。</w:t>
      </w:r>
    </w:p>
    <w:p>
      <w:pPr>
        <w:pStyle w:val="165"/>
        <w:ind w:left="0"/>
      </w:pPr>
      <w:r>
        <w:rPr>
          <w:rFonts w:hint="eastAsia"/>
        </w:rPr>
        <w:t>止水带不应穿孔或用铁钉固定。端头模板支立平面位置的允许偏差应为±10mm；</w:t>
      </w:r>
    </w:p>
    <w:p>
      <w:pPr>
        <w:pStyle w:val="56"/>
        <w:ind w:firstLine="420"/>
      </w:pPr>
      <w:r>
        <w:t>检查数量：全数检查。</w:t>
      </w:r>
    </w:p>
    <w:p>
      <w:pPr>
        <w:pStyle w:val="56"/>
        <w:ind w:firstLine="420"/>
      </w:pPr>
      <w:r>
        <w:rPr>
          <w:rFonts w:hint="eastAsia"/>
        </w:rPr>
        <w:t>检查方法：观察检查，钢尺量测。</w:t>
      </w:r>
    </w:p>
    <w:p>
      <w:pPr>
        <w:pStyle w:val="165"/>
        <w:ind w:left="0"/>
      </w:pPr>
      <w:r>
        <w:rPr>
          <w:rFonts w:hint="eastAsia"/>
        </w:rPr>
        <w:t>涂料防</w:t>
      </w:r>
      <w:r>
        <w:t>水层的平均厚度应符合设计要求，最小厚度不得小于设计厚度的</w:t>
      </w:r>
      <w:r>
        <w:rPr>
          <w:rFonts w:hint="eastAsia"/>
        </w:rPr>
        <w:t>90%；</w:t>
      </w:r>
    </w:p>
    <w:p>
      <w:pPr>
        <w:pStyle w:val="56"/>
        <w:ind w:firstLine="420"/>
      </w:pPr>
      <w:r>
        <w:t>检查数量：</w:t>
      </w:r>
      <w:r>
        <w:rPr>
          <w:rFonts w:hint="eastAsia"/>
        </w:rPr>
        <w:t>按</w:t>
      </w:r>
      <w:r>
        <w:t>涂层面积每</w:t>
      </w:r>
      <w:r>
        <w:rPr>
          <w:rFonts w:hint="eastAsia"/>
        </w:rPr>
        <w:t>100</w:t>
      </w:r>
      <w:r>
        <w:t>m</w:t>
      </w:r>
      <w:r>
        <w:rPr>
          <w:vertAlign w:val="superscript"/>
        </w:rPr>
        <w:t>2</w:t>
      </w:r>
      <w:r>
        <w:rPr>
          <w:rFonts w:hint="eastAsia"/>
        </w:rPr>
        <w:t>抽查1处</w:t>
      </w:r>
      <w:r>
        <w:t>，每处</w:t>
      </w:r>
      <w:r>
        <w:rPr>
          <w:rFonts w:hint="eastAsia"/>
        </w:rPr>
        <w:t>10</w:t>
      </w:r>
      <w:r>
        <w:t>m</w:t>
      </w:r>
      <w:r>
        <w:rPr>
          <w:vertAlign w:val="superscript"/>
        </w:rPr>
        <w:t>2</w:t>
      </w:r>
      <w:r>
        <w:rPr>
          <w:rFonts w:hint="eastAsia"/>
        </w:rPr>
        <w:t>，</w:t>
      </w:r>
      <w:r>
        <w:t>且</w:t>
      </w:r>
      <w:r>
        <w:rPr>
          <w:rFonts w:hint="eastAsia"/>
        </w:rPr>
        <w:t>不</w:t>
      </w:r>
      <w:r>
        <w:t>得</w:t>
      </w:r>
      <w:r>
        <w:rPr>
          <w:rFonts w:hint="eastAsia"/>
        </w:rPr>
        <w:t>少</w:t>
      </w:r>
      <w:r>
        <w:t>于</w:t>
      </w:r>
      <w:r>
        <w:rPr>
          <w:rFonts w:hint="eastAsia"/>
        </w:rPr>
        <w:t>3处</w:t>
      </w:r>
      <w:r>
        <w:t>。</w:t>
      </w:r>
    </w:p>
    <w:p>
      <w:pPr>
        <w:pStyle w:val="56"/>
        <w:ind w:firstLine="420"/>
      </w:pPr>
      <w:r>
        <w:rPr>
          <w:rFonts w:hint="eastAsia"/>
        </w:rPr>
        <w:t>检查方法：用针</w:t>
      </w:r>
      <w:r>
        <w:t>测法检查</w:t>
      </w:r>
      <w:r>
        <w:rPr>
          <w:rFonts w:hint="eastAsia"/>
        </w:rPr>
        <w:t>。</w:t>
      </w:r>
    </w:p>
    <w:p>
      <w:pPr>
        <w:pStyle w:val="105"/>
        <w:spacing w:before="156" w:after="156"/>
        <w:ind w:left="0"/>
      </w:pPr>
      <w:bookmarkStart w:id="210" w:name="_Toc129276143"/>
      <w:bookmarkStart w:id="211" w:name="_Toc69230966"/>
      <w:bookmarkStart w:id="212" w:name="_Toc130215191"/>
      <w:bookmarkStart w:id="213" w:name="_Toc130218778"/>
      <w:r>
        <w:rPr>
          <w:rFonts w:hint="eastAsia"/>
        </w:rPr>
        <w:t>预应力</w:t>
      </w:r>
      <w:r>
        <w:t>工程</w:t>
      </w:r>
      <w:bookmarkEnd w:id="210"/>
      <w:bookmarkEnd w:id="211"/>
      <w:bookmarkEnd w:id="212"/>
      <w:bookmarkEnd w:id="213"/>
    </w:p>
    <w:p>
      <w:pPr>
        <w:pStyle w:val="165"/>
        <w:ind w:left="0"/>
      </w:pPr>
      <w:r>
        <w:rPr>
          <w:rFonts w:hint="eastAsia"/>
        </w:rPr>
        <w:t>二次衬砌预应力工程的质量验收</w:t>
      </w:r>
      <w:r>
        <w:t>应符合现行国家标准《混凝土结构工程施工质量验收规范》(GB 50204)</w:t>
      </w:r>
      <w:r>
        <w:rPr>
          <w:rFonts w:hint="eastAsia"/>
        </w:rPr>
        <w:t>的规定。</w:t>
      </w:r>
    </w:p>
    <w:p>
      <w:pPr>
        <w:pStyle w:val="165"/>
        <w:ind w:left="0"/>
      </w:pPr>
      <w:r>
        <w:rPr>
          <w:rFonts w:hint="eastAsia"/>
        </w:rPr>
        <w:t>预应力张拉前，应对二次衬砌结构混凝土强度进行检验。同条件养护的混凝土立方体试件抗压强度应符合设计要求，当设计无具体要求时应达到配套锚固产品技术要求的混凝土最低强度且不应低于设计混凝土强度等级值的</w:t>
      </w:r>
      <w:r>
        <w:t>80</w:t>
      </w:r>
      <w:r>
        <w:rPr>
          <w:rFonts w:hint="eastAsia"/>
        </w:rPr>
        <w:t>%。</w:t>
      </w:r>
    </w:p>
    <w:p>
      <w:pPr>
        <w:pStyle w:val="56"/>
        <w:ind w:firstLine="420"/>
      </w:pPr>
      <w:r>
        <w:t>检查数量：</w:t>
      </w:r>
      <w:r>
        <w:rPr>
          <w:rFonts w:hint="eastAsia"/>
        </w:rPr>
        <w:t>全数检查</w:t>
      </w:r>
      <w:r>
        <w:t>。</w:t>
      </w:r>
    </w:p>
    <w:p>
      <w:pPr>
        <w:pStyle w:val="56"/>
        <w:ind w:firstLine="420"/>
      </w:pPr>
      <w:r>
        <w:rPr>
          <w:rFonts w:hint="eastAsia"/>
        </w:rPr>
        <w:t>检查方法：检查同条件养护试件抗压强度试验报告。</w:t>
      </w:r>
    </w:p>
    <w:p>
      <w:pPr>
        <w:pStyle w:val="165"/>
        <w:ind w:left="0"/>
      </w:pPr>
      <w:r>
        <w:rPr>
          <w:rFonts w:hint="eastAsia"/>
        </w:rPr>
        <w:t>对后张法预应力结构，钢铰线出现断裂或滑脱的数量不应超过同一截面钢绞线总根数的3%，且每根断裂的钢绞线断丝不得超过一丝；</w:t>
      </w:r>
    </w:p>
    <w:p>
      <w:pPr>
        <w:pStyle w:val="56"/>
        <w:ind w:firstLine="420"/>
      </w:pPr>
      <w:r>
        <w:t>检查数量：</w:t>
      </w:r>
      <w:r>
        <w:rPr>
          <w:rFonts w:hint="eastAsia"/>
        </w:rPr>
        <w:t>全数检查</w:t>
      </w:r>
      <w:r>
        <w:t>。</w:t>
      </w:r>
    </w:p>
    <w:p>
      <w:pPr>
        <w:pStyle w:val="56"/>
        <w:ind w:firstLine="420"/>
      </w:pPr>
      <w:r>
        <w:rPr>
          <w:rFonts w:hint="eastAsia"/>
        </w:rPr>
        <w:t>检查方法：观察，检查张拉记录。</w:t>
      </w:r>
    </w:p>
    <w:p>
      <w:pPr>
        <w:pStyle w:val="165"/>
        <w:ind w:left="0"/>
      </w:pPr>
      <w:r>
        <w:rPr>
          <w:rFonts w:hint="eastAsia"/>
        </w:rPr>
        <w:t>预留孔道灌浆后，孔道内水泥浆应饱满、密实。</w:t>
      </w:r>
    </w:p>
    <w:p>
      <w:pPr>
        <w:pStyle w:val="56"/>
        <w:ind w:firstLine="420"/>
      </w:pPr>
      <w:r>
        <w:t>检查数量：全数检查。</w:t>
      </w:r>
    </w:p>
    <w:p>
      <w:pPr>
        <w:pStyle w:val="56"/>
        <w:ind w:firstLine="420"/>
      </w:pPr>
      <w:r>
        <w:rPr>
          <w:rFonts w:hint="eastAsia"/>
        </w:rPr>
        <w:t>检查方法：观察检查，检查灌浆记录。</w:t>
      </w:r>
    </w:p>
    <w:p>
      <w:pPr>
        <w:pStyle w:val="165"/>
        <w:ind w:left="0"/>
      </w:pPr>
      <w:r>
        <w:rPr>
          <w:rFonts w:hint="eastAsia"/>
        </w:rPr>
        <w:t>预应力钢筋进场时，应进行外观检查，其外观质量应符合下列规定：</w:t>
      </w:r>
    </w:p>
    <w:p>
      <w:pPr>
        <w:pStyle w:val="174"/>
        <w:numPr>
          <w:ilvl w:val="0"/>
          <w:numId w:val="81"/>
        </w:numPr>
      </w:pPr>
      <w:r>
        <w:rPr>
          <w:rFonts w:hint="eastAsia"/>
        </w:rPr>
        <w:t>有粘结预应力筋的表面不应有裂纹、小刺、机械损伤、氧化铁皮和油污等，展开后应平顺、不应有弯折；</w:t>
      </w:r>
    </w:p>
    <w:p>
      <w:pPr>
        <w:pStyle w:val="174"/>
      </w:pPr>
      <w:r>
        <w:t>无粘结预应力钢绞线护套应光滑、无裂缝，无明显褶皱，轻微破损处应外包防水塑料胶带修补，严重破损者不得使用。</w:t>
      </w:r>
    </w:p>
    <w:p>
      <w:pPr>
        <w:pStyle w:val="56"/>
        <w:ind w:firstLine="420"/>
      </w:pPr>
      <w:r>
        <w:t>检查数量：全数检查。</w:t>
      </w:r>
    </w:p>
    <w:p>
      <w:pPr>
        <w:pStyle w:val="56"/>
        <w:ind w:firstLine="420"/>
      </w:pPr>
      <w:r>
        <w:rPr>
          <w:rFonts w:hint="eastAsia"/>
        </w:rPr>
        <w:t>检查方法：观察检查。</w:t>
      </w:r>
    </w:p>
    <w:p>
      <w:pPr>
        <w:pStyle w:val="165"/>
        <w:ind w:left="0"/>
      </w:pPr>
      <w:r>
        <w:rPr>
          <w:rFonts w:hint="eastAsia"/>
        </w:rPr>
        <w:t>预应力筋张拉质量应符合下列规定：</w:t>
      </w:r>
    </w:p>
    <w:p>
      <w:pPr>
        <w:pStyle w:val="174"/>
        <w:numPr>
          <w:ilvl w:val="0"/>
          <w:numId w:val="82"/>
        </w:numPr>
      </w:pPr>
      <w:r>
        <w:rPr>
          <w:rFonts w:hint="eastAsia"/>
        </w:rPr>
        <w:t>采用应力控制方法张拉时，张拉力下预应力筋的实测伸长值与计算伸长值的相对允许偏差为±6%；</w:t>
      </w:r>
    </w:p>
    <w:p>
      <w:pPr>
        <w:pStyle w:val="174"/>
      </w:pPr>
      <w:r>
        <w:t>最大张拉力应符合现行国家标准《混凝土结构工程施工规范》</w:t>
      </w:r>
      <w:r>
        <w:rPr>
          <w:rFonts w:hint="eastAsia"/>
        </w:rPr>
        <w:t>GB50666的规定。</w:t>
      </w:r>
    </w:p>
    <w:p>
      <w:pPr>
        <w:pStyle w:val="56"/>
        <w:ind w:firstLine="420"/>
      </w:pPr>
      <w:r>
        <w:t>检查数量：</w:t>
      </w:r>
      <w:r>
        <w:rPr>
          <w:rFonts w:hint="eastAsia"/>
        </w:rPr>
        <w:t>全数检查</w:t>
      </w:r>
      <w:r>
        <w:t>。</w:t>
      </w:r>
    </w:p>
    <w:p>
      <w:pPr>
        <w:pStyle w:val="56"/>
        <w:ind w:firstLine="420"/>
      </w:pPr>
      <w:r>
        <w:rPr>
          <w:rFonts w:hint="eastAsia"/>
        </w:rPr>
        <w:t>检查方法：检查张拉记录。</w:t>
      </w:r>
    </w:p>
    <w:p>
      <w:pPr>
        <w:pStyle w:val="105"/>
        <w:spacing w:before="156" w:after="156"/>
        <w:ind w:left="0"/>
      </w:pPr>
      <w:bookmarkStart w:id="214" w:name="_Toc130218779"/>
      <w:bookmarkStart w:id="215" w:name="_Toc130215192"/>
      <w:bookmarkStart w:id="216" w:name="_Toc129276144"/>
      <w:bookmarkStart w:id="217" w:name="_Toc69230967"/>
      <w:r>
        <w:rPr>
          <w:rFonts w:hint="eastAsia"/>
        </w:rPr>
        <w:t>混凝土</w:t>
      </w:r>
      <w:r>
        <w:t>工程</w:t>
      </w:r>
      <w:bookmarkEnd w:id="214"/>
      <w:bookmarkEnd w:id="215"/>
      <w:bookmarkEnd w:id="216"/>
      <w:bookmarkEnd w:id="217"/>
    </w:p>
    <w:p>
      <w:pPr>
        <w:pStyle w:val="165"/>
        <w:ind w:left="0"/>
        <w:rPr>
          <w:rFonts w:ascii="Times New Roman"/>
        </w:rPr>
      </w:pPr>
      <w:r>
        <w:rPr>
          <w:rFonts w:hint="eastAsia"/>
        </w:rPr>
        <w:t>二次衬砌混凝土结</w:t>
      </w:r>
      <w:r>
        <w:rPr>
          <w:rFonts w:ascii="Times New Roman"/>
        </w:rPr>
        <w:t>构的质量验收应符合现行国家标准《混凝土结构工程施工质量验收规范》(GB 50204)的规定。</w:t>
      </w:r>
    </w:p>
    <w:p>
      <w:pPr>
        <w:pStyle w:val="165"/>
        <w:ind w:left="0"/>
        <w:rPr>
          <w:rFonts w:ascii="Times New Roman"/>
        </w:rPr>
      </w:pPr>
      <w:r>
        <w:rPr>
          <w:rFonts w:ascii="Times New Roman"/>
        </w:rPr>
        <w:t>二次衬砌混凝土结构应进行厚度检测，允许偏差</w:t>
      </w:r>
      <w:r>
        <w:rPr>
          <w:rFonts w:hint="eastAsia" w:ascii="Times New Roman"/>
        </w:rPr>
        <w:t>、</w:t>
      </w:r>
      <w:r>
        <w:rPr>
          <w:rFonts w:ascii="Times New Roman"/>
        </w:rPr>
        <w:t>检查数量</w:t>
      </w:r>
      <w:r>
        <w:rPr>
          <w:rFonts w:hint="eastAsia" w:ascii="Times New Roman"/>
        </w:rPr>
        <w:t>、</w:t>
      </w:r>
      <w:r>
        <w:rPr>
          <w:rFonts w:ascii="Times New Roman"/>
        </w:rPr>
        <w:t>检查方法</w:t>
      </w:r>
      <w:r>
        <w:rPr>
          <w:rFonts w:hint="eastAsia" w:ascii="Times New Roman"/>
        </w:rPr>
        <w:t>应符合下表6的规定</w:t>
      </w:r>
      <w:r>
        <w:rPr>
          <w:rFonts w:ascii="Times New Roman"/>
        </w:rPr>
        <w:t>。</w:t>
      </w:r>
    </w:p>
    <w:p>
      <w:pPr>
        <w:pStyle w:val="112"/>
        <w:spacing w:before="156" w:after="156"/>
      </w:pPr>
      <w:r>
        <w:rPr>
          <w:rFonts w:hint="eastAsia"/>
        </w:rPr>
        <w:t>二次衬砌施工质量的允许偏差表</w:t>
      </w:r>
    </w:p>
    <w:tbl>
      <w:tblPr>
        <w:tblStyle w:val="27"/>
        <w:tblW w:w="9094" w:type="dxa"/>
        <w:tblInd w:w="25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559"/>
        <w:gridCol w:w="992"/>
        <w:gridCol w:w="1418"/>
        <w:gridCol w:w="257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2552" w:type="dxa"/>
            <w:gridSpan w:val="2"/>
            <w:vMerge w:val="restart"/>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检查项目</w:t>
            </w:r>
          </w:p>
        </w:tc>
        <w:tc>
          <w:tcPr>
            <w:tcW w:w="1559" w:type="dxa"/>
            <w:vMerge w:val="restart"/>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允许偏差（mm）</w:t>
            </w:r>
          </w:p>
        </w:tc>
        <w:tc>
          <w:tcPr>
            <w:tcW w:w="2410" w:type="dxa"/>
            <w:gridSpan w:val="2"/>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检查数量</w:t>
            </w:r>
          </w:p>
        </w:tc>
        <w:tc>
          <w:tcPr>
            <w:tcW w:w="2573" w:type="dxa"/>
            <w:vMerge w:val="restart"/>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检查方法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2552" w:type="dxa"/>
            <w:gridSpan w:val="2"/>
            <w:vMerge w:val="continue"/>
            <w:shd w:val="clear" w:color="auto" w:fill="auto"/>
            <w:vAlign w:val="center"/>
          </w:tcPr>
          <w:p>
            <w:pPr>
              <w:autoSpaceDE w:val="0"/>
              <w:autoSpaceDN w:val="0"/>
              <w:spacing w:line="240" w:lineRule="auto"/>
              <w:jc w:val="center"/>
              <w:rPr>
                <w:rFonts w:ascii="宋体" w:hAnsi="宋体"/>
                <w:kern w:val="0"/>
                <w:sz w:val="18"/>
                <w:szCs w:val="18"/>
              </w:rPr>
            </w:pPr>
          </w:p>
        </w:tc>
        <w:tc>
          <w:tcPr>
            <w:tcW w:w="1559" w:type="dxa"/>
            <w:vMerge w:val="continue"/>
            <w:shd w:val="clear" w:color="auto" w:fill="auto"/>
            <w:vAlign w:val="center"/>
          </w:tcPr>
          <w:p>
            <w:pPr>
              <w:autoSpaceDE w:val="0"/>
              <w:autoSpaceDN w:val="0"/>
              <w:spacing w:line="240" w:lineRule="auto"/>
              <w:jc w:val="center"/>
              <w:rPr>
                <w:rFonts w:ascii="宋体" w:hAnsi="宋体"/>
                <w:kern w:val="0"/>
                <w:sz w:val="18"/>
                <w:szCs w:val="18"/>
              </w:rPr>
            </w:pPr>
          </w:p>
        </w:tc>
        <w:tc>
          <w:tcPr>
            <w:tcW w:w="992"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范围</w:t>
            </w:r>
          </w:p>
        </w:tc>
        <w:tc>
          <w:tcPr>
            <w:tcW w:w="1418"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点数</w:t>
            </w:r>
          </w:p>
        </w:tc>
        <w:tc>
          <w:tcPr>
            <w:tcW w:w="2573" w:type="dxa"/>
            <w:vMerge w:val="continue"/>
            <w:shd w:val="clear" w:color="auto" w:fill="auto"/>
            <w:vAlign w:val="center"/>
          </w:tcPr>
          <w:p>
            <w:pPr>
              <w:autoSpaceDE w:val="0"/>
              <w:autoSpaceDN w:val="0"/>
              <w:spacing w:line="240" w:lineRule="auto"/>
              <w:jc w:val="center"/>
              <w:rPr>
                <w:rFonts w:ascii="宋体" w:hAnsi="宋体"/>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851"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1</w:t>
            </w:r>
          </w:p>
        </w:tc>
        <w:tc>
          <w:tcPr>
            <w:tcW w:w="1701"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结构</w:t>
            </w:r>
            <w:r>
              <w:rPr>
                <w:rFonts w:ascii="宋体" w:hAnsi="宋体"/>
                <w:kern w:val="0"/>
                <w:sz w:val="18"/>
                <w:szCs w:val="18"/>
              </w:rPr>
              <w:t>厚度</w:t>
            </w:r>
          </w:p>
        </w:tc>
        <w:tc>
          <w:tcPr>
            <w:tcW w:w="1559"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w:t>
            </w:r>
            <w:r>
              <w:rPr>
                <w:rFonts w:hint="eastAsia" w:ascii="宋体" w:hAnsi="宋体"/>
                <w:kern w:val="0"/>
                <w:sz w:val="18"/>
                <w:szCs w:val="18"/>
              </w:rPr>
              <w:t>15</w:t>
            </w:r>
          </w:p>
        </w:tc>
        <w:tc>
          <w:tcPr>
            <w:tcW w:w="992"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每</w:t>
            </w:r>
            <w:r>
              <w:rPr>
                <w:rFonts w:hint="eastAsia" w:ascii="宋体" w:hAnsi="宋体"/>
                <w:kern w:val="0"/>
                <w:sz w:val="18"/>
                <w:szCs w:val="18"/>
              </w:rPr>
              <w:t>100m</w:t>
            </w:r>
          </w:p>
        </w:tc>
        <w:tc>
          <w:tcPr>
            <w:tcW w:w="1418"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不少于</w:t>
            </w:r>
            <w:r>
              <w:rPr>
                <w:rFonts w:hint="eastAsia" w:ascii="宋体" w:hAnsi="宋体"/>
                <w:kern w:val="0"/>
                <w:sz w:val="18"/>
                <w:szCs w:val="18"/>
              </w:rPr>
              <w:t>1点</w:t>
            </w:r>
          </w:p>
        </w:tc>
        <w:tc>
          <w:tcPr>
            <w:tcW w:w="2573" w:type="dxa"/>
            <w:vMerge w:val="restart"/>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雷达无损检测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851"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2</w:t>
            </w:r>
          </w:p>
        </w:tc>
        <w:tc>
          <w:tcPr>
            <w:tcW w:w="1701"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结构密实度</w:t>
            </w:r>
          </w:p>
        </w:tc>
        <w:tc>
          <w:tcPr>
            <w:tcW w:w="1559"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w:t>
            </w:r>
          </w:p>
        </w:tc>
        <w:tc>
          <w:tcPr>
            <w:tcW w:w="992"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每</w:t>
            </w:r>
            <w:r>
              <w:rPr>
                <w:rFonts w:hint="eastAsia" w:ascii="宋体" w:hAnsi="宋体"/>
                <w:kern w:val="0"/>
                <w:sz w:val="18"/>
                <w:szCs w:val="18"/>
              </w:rPr>
              <w:t>10m</w:t>
            </w:r>
          </w:p>
        </w:tc>
        <w:tc>
          <w:tcPr>
            <w:tcW w:w="1418"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不少于</w:t>
            </w:r>
            <w:r>
              <w:rPr>
                <w:rFonts w:hint="eastAsia" w:ascii="宋体" w:hAnsi="宋体"/>
                <w:kern w:val="0"/>
                <w:sz w:val="18"/>
                <w:szCs w:val="18"/>
              </w:rPr>
              <w:t>3点</w:t>
            </w:r>
          </w:p>
        </w:tc>
        <w:tc>
          <w:tcPr>
            <w:tcW w:w="2573" w:type="dxa"/>
            <w:vMerge w:val="continue"/>
            <w:shd w:val="clear" w:color="auto" w:fill="auto"/>
            <w:vAlign w:val="center"/>
          </w:tcPr>
          <w:p>
            <w:pPr>
              <w:autoSpaceDE w:val="0"/>
              <w:autoSpaceDN w:val="0"/>
              <w:spacing w:line="240" w:lineRule="auto"/>
              <w:jc w:val="center"/>
              <w:rPr>
                <w:rFonts w:ascii="宋体" w:hAnsi="宋体"/>
                <w:kern w:val="0"/>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851"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3</w:t>
            </w:r>
          </w:p>
        </w:tc>
        <w:tc>
          <w:tcPr>
            <w:tcW w:w="1701"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钢筋保护层厚度</w:t>
            </w:r>
          </w:p>
        </w:tc>
        <w:tc>
          <w:tcPr>
            <w:tcW w:w="1559"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w:t>
            </w:r>
            <w:r>
              <w:rPr>
                <w:rFonts w:hint="eastAsia" w:ascii="宋体" w:hAnsi="宋体"/>
                <w:kern w:val="0"/>
                <w:sz w:val="18"/>
                <w:szCs w:val="18"/>
              </w:rPr>
              <w:t>5</w:t>
            </w:r>
          </w:p>
        </w:tc>
        <w:tc>
          <w:tcPr>
            <w:tcW w:w="992"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每</w:t>
            </w:r>
            <w:r>
              <w:rPr>
                <w:rFonts w:hint="eastAsia" w:ascii="宋体" w:hAnsi="宋体"/>
                <w:kern w:val="0"/>
                <w:sz w:val="18"/>
                <w:szCs w:val="18"/>
              </w:rPr>
              <w:t>100m</w:t>
            </w:r>
          </w:p>
        </w:tc>
        <w:tc>
          <w:tcPr>
            <w:tcW w:w="1418"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不少于</w:t>
            </w:r>
            <w:r>
              <w:rPr>
                <w:rFonts w:hint="eastAsia" w:ascii="宋体" w:hAnsi="宋体"/>
                <w:kern w:val="0"/>
                <w:sz w:val="18"/>
                <w:szCs w:val="18"/>
              </w:rPr>
              <w:t>1点</w:t>
            </w:r>
          </w:p>
        </w:tc>
        <w:tc>
          <w:tcPr>
            <w:tcW w:w="2573"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钢筋无损检测仪检测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851"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4</w:t>
            </w:r>
          </w:p>
        </w:tc>
        <w:tc>
          <w:tcPr>
            <w:tcW w:w="1701"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表面平整度</w:t>
            </w:r>
          </w:p>
        </w:tc>
        <w:tc>
          <w:tcPr>
            <w:tcW w:w="1559"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10</w:t>
            </w:r>
          </w:p>
        </w:tc>
        <w:tc>
          <w:tcPr>
            <w:tcW w:w="992" w:type="dxa"/>
            <w:vMerge w:val="restart"/>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每施工段</w:t>
            </w:r>
          </w:p>
        </w:tc>
        <w:tc>
          <w:tcPr>
            <w:tcW w:w="1418"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不少于</w:t>
            </w:r>
            <w:r>
              <w:rPr>
                <w:rFonts w:hint="eastAsia" w:ascii="宋体" w:hAnsi="宋体"/>
                <w:kern w:val="0"/>
                <w:sz w:val="18"/>
                <w:szCs w:val="18"/>
              </w:rPr>
              <w:t>1点</w:t>
            </w:r>
          </w:p>
        </w:tc>
        <w:tc>
          <w:tcPr>
            <w:tcW w:w="2573"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沿</w:t>
            </w:r>
            <w:r>
              <w:rPr>
                <w:rFonts w:hint="eastAsia" w:ascii="宋体" w:hAnsi="宋体"/>
                <w:kern w:val="0"/>
                <w:sz w:val="18"/>
                <w:szCs w:val="18"/>
              </w:rPr>
              <w:t>隧</w:t>
            </w:r>
            <w:r>
              <w:rPr>
                <w:rFonts w:ascii="宋体" w:hAnsi="宋体"/>
                <w:kern w:val="0"/>
                <w:sz w:val="18"/>
                <w:szCs w:val="18"/>
              </w:rPr>
              <w:t>道轴向用</w:t>
            </w:r>
            <w:r>
              <w:rPr>
                <w:rFonts w:hint="eastAsia" w:ascii="宋体" w:hAnsi="宋体"/>
                <w:kern w:val="0"/>
                <w:sz w:val="18"/>
                <w:szCs w:val="18"/>
              </w:rPr>
              <w:t>2m直尺量测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12" w:hRule="atLeast"/>
        </w:trPr>
        <w:tc>
          <w:tcPr>
            <w:tcW w:w="851"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5</w:t>
            </w:r>
          </w:p>
        </w:tc>
        <w:tc>
          <w:tcPr>
            <w:tcW w:w="1701"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隧</w:t>
            </w:r>
            <w:r>
              <w:rPr>
                <w:rFonts w:ascii="宋体" w:hAnsi="宋体"/>
                <w:kern w:val="0"/>
                <w:sz w:val="18"/>
                <w:szCs w:val="18"/>
              </w:rPr>
              <w:t>道直顺度</w:t>
            </w:r>
          </w:p>
        </w:tc>
        <w:tc>
          <w:tcPr>
            <w:tcW w:w="1559" w:type="dxa"/>
            <w:shd w:val="clear" w:color="auto" w:fill="auto"/>
            <w:vAlign w:val="center"/>
          </w:tcPr>
          <w:p>
            <w:pPr>
              <w:autoSpaceDE w:val="0"/>
              <w:autoSpaceDN w:val="0"/>
              <w:spacing w:line="240" w:lineRule="auto"/>
              <w:jc w:val="center"/>
              <w:rPr>
                <w:rFonts w:ascii="宋体" w:hAnsi="宋体"/>
                <w:kern w:val="0"/>
                <w:sz w:val="18"/>
                <w:szCs w:val="18"/>
              </w:rPr>
            </w:pPr>
            <w:r>
              <w:rPr>
                <w:rFonts w:hint="eastAsia" w:ascii="宋体" w:hAnsi="宋体"/>
                <w:kern w:val="0"/>
                <w:sz w:val="18"/>
                <w:szCs w:val="18"/>
              </w:rPr>
              <w:t>15</w:t>
            </w:r>
          </w:p>
        </w:tc>
        <w:tc>
          <w:tcPr>
            <w:tcW w:w="992" w:type="dxa"/>
            <w:vMerge w:val="continue"/>
            <w:shd w:val="clear" w:color="auto" w:fill="auto"/>
            <w:vAlign w:val="center"/>
          </w:tcPr>
          <w:p>
            <w:pPr>
              <w:autoSpaceDE w:val="0"/>
              <w:autoSpaceDN w:val="0"/>
              <w:spacing w:line="240" w:lineRule="auto"/>
              <w:jc w:val="center"/>
              <w:rPr>
                <w:rFonts w:ascii="宋体" w:hAnsi="宋体"/>
                <w:kern w:val="0"/>
                <w:sz w:val="18"/>
                <w:szCs w:val="18"/>
              </w:rPr>
            </w:pPr>
          </w:p>
        </w:tc>
        <w:tc>
          <w:tcPr>
            <w:tcW w:w="1418"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不少于</w:t>
            </w:r>
            <w:r>
              <w:rPr>
                <w:rFonts w:hint="eastAsia" w:ascii="宋体" w:hAnsi="宋体"/>
                <w:kern w:val="0"/>
                <w:sz w:val="18"/>
                <w:szCs w:val="18"/>
              </w:rPr>
              <w:t>1点</w:t>
            </w:r>
          </w:p>
        </w:tc>
        <w:tc>
          <w:tcPr>
            <w:tcW w:w="2573" w:type="dxa"/>
            <w:shd w:val="clear" w:color="auto" w:fill="auto"/>
            <w:vAlign w:val="center"/>
          </w:tcPr>
          <w:p>
            <w:pPr>
              <w:autoSpaceDE w:val="0"/>
              <w:autoSpaceDN w:val="0"/>
              <w:spacing w:line="240" w:lineRule="auto"/>
              <w:jc w:val="center"/>
              <w:rPr>
                <w:rFonts w:ascii="宋体" w:hAnsi="宋体"/>
                <w:kern w:val="0"/>
                <w:sz w:val="18"/>
                <w:szCs w:val="18"/>
              </w:rPr>
            </w:pPr>
            <w:r>
              <w:rPr>
                <w:rFonts w:ascii="宋体" w:hAnsi="宋体"/>
                <w:kern w:val="0"/>
                <w:sz w:val="18"/>
                <w:szCs w:val="18"/>
              </w:rPr>
              <w:t>沿</w:t>
            </w:r>
            <w:r>
              <w:rPr>
                <w:rFonts w:hint="eastAsia" w:ascii="宋体" w:hAnsi="宋体"/>
                <w:kern w:val="0"/>
                <w:sz w:val="18"/>
                <w:szCs w:val="18"/>
              </w:rPr>
              <w:t>隧</w:t>
            </w:r>
            <w:r>
              <w:rPr>
                <w:rFonts w:ascii="宋体" w:hAnsi="宋体"/>
                <w:kern w:val="0"/>
                <w:sz w:val="18"/>
                <w:szCs w:val="18"/>
              </w:rPr>
              <w:t>道轴向用</w:t>
            </w:r>
            <w:r>
              <w:rPr>
                <w:rFonts w:hint="eastAsia" w:ascii="宋体" w:hAnsi="宋体"/>
                <w:kern w:val="0"/>
                <w:sz w:val="18"/>
                <w:szCs w:val="18"/>
              </w:rPr>
              <w:t>20m小线测</w:t>
            </w:r>
          </w:p>
        </w:tc>
      </w:tr>
    </w:tbl>
    <w:p>
      <w:pPr>
        <w:pStyle w:val="165"/>
        <w:ind w:left="0"/>
        <w:rPr>
          <w:rFonts w:ascii="Times New Roman"/>
        </w:rPr>
      </w:pPr>
      <w:r>
        <w:rPr>
          <w:rFonts w:ascii="Times New Roman"/>
        </w:rPr>
        <w:t>二次衬砌混凝土结构应进行密实度检测</w:t>
      </w:r>
      <w:r>
        <w:rPr>
          <w:rFonts w:hint="eastAsia" w:ascii="Times New Roman"/>
        </w:rPr>
        <w:t>，</w:t>
      </w:r>
      <w:r>
        <w:rPr>
          <w:rFonts w:ascii="Times New Roman"/>
        </w:rPr>
        <w:t>检查数量、检查方法</w:t>
      </w:r>
      <w:r>
        <w:rPr>
          <w:rFonts w:hint="eastAsia" w:ascii="Times New Roman"/>
        </w:rPr>
        <w:t>应符合下表6的规定。</w:t>
      </w:r>
    </w:p>
    <w:p>
      <w:pPr>
        <w:pStyle w:val="165"/>
        <w:ind w:left="0"/>
        <w:rPr>
          <w:rFonts w:ascii="Times New Roman"/>
        </w:rPr>
      </w:pPr>
      <w:r>
        <w:rPr>
          <w:rFonts w:ascii="Times New Roman"/>
        </w:rPr>
        <w:t>二次衬砌混凝土结构线形平顺，表面平整、光洁</w:t>
      </w:r>
      <w:r>
        <w:rPr>
          <w:rFonts w:hint="eastAsia" w:ascii="Times New Roman"/>
        </w:rPr>
        <w:t>，表面平整度、隧道直顺度的</w:t>
      </w:r>
      <w:r>
        <w:rPr>
          <w:rFonts w:ascii="Times New Roman"/>
        </w:rPr>
        <w:t>允许偏差、检查数量、检查方法</w:t>
      </w:r>
      <w:r>
        <w:rPr>
          <w:rFonts w:hint="eastAsia" w:ascii="Times New Roman"/>
        </w:rPr>
        <w:t>应符合下表6的规定。</w:t>
      </w:r>
    </w:p>
    <w:p>
      <w:pPr>
        <w:pStyle w:val="165"/>
        <w:ind w:left="0"/>
        <w:rPr>
          <w:rFonts w:ascii="Times New Roman"/>
        </w:rPr>
      </w:pPr>
      <w:r>
        <w:rPr>
          <w:rFonts w:ascii="Times New Roman"/>
        </w:rPr>
        <w:t>二次衬砌混凝土结构</w:t>
      </w:r>
      <w:r>
        <w:rPr>
          <w:rFonts w:hint="eastAsia" w:ascii="Times New Roman"/>
        </w:rPr>
        <w:t>钢筋保护层厚度应符合设计要求，</w:t>
      </w:r>
      <w:r>
        <w:rPr>
          <w:rFonts w:ascii="Times New Roman"/>
        </w:rPr>
        <w:t>允许偏差、检查数量、检查方法</w:t>
      </w:r>
      <w:r>
        <w:rPr>
          <w:rFonts w:hint="eastAsia" w:ascii="Times New Roman"/>
        </w:rPr>
        <w:t>应符合下表6的规定。</w:t>
      </w:r>
    </w:p>
    <w:p>
      <w:pPr>
        <w:pStyle w:val="165"/>
        <w:ind w:left="0"/>
        <w:rPr>
          <w:rFonts w:ascii="Times New Roman"/>
        </w:rPr>
      </w:pPr>
      <w:r>
        <w:rPr>
          <w:rFonts w:ascii="Times New Roman"/>
        </w:rPr>
        <w:t>二次衬砌混凝土结构外观质量不应有严重缺陷；对已经出现的严重缺陷，应由施工单位提出技术处理方案，并经监理单位认可后进行处理；对裂缝或连接部位的严重缺陷及其他影响结构安全的严重缺陷，技术处理方案尚应经设计单位认可。对经处理的部位应重新验收。</w:t>
      </w:r>
    </w:p>
    <w:p>
      <w:pPr>
        <w:pStyle w:val="56"/>
        <w:ind w:firstLine="420"/>
        <w:rPr>
          <w:rFonts w:ascii="Times New Roman"/>
        </w:rPr>
      </w:pPr>
      <w:r>
        <w:rPr>
          <w:rFonts w:ascii="Times New Roman"/>
        </w:rPr>
        <w:t>检查数量：全数检查。</w:t>
      </w:r>
    </w:p>
    <w:p>
      <w:pPr>
        <w:pStyle w:val="56"/>
        <w:ind w:firstLine="420"/>
        <w:rPr>
          <w:rFonts w:ascii="Times New Roman"/>
        </w:rPr>
      </w:pPr>
      <w:r>
        <w:rPr>
          <w:rFonts w:ascii="Times New Roman"/>
        </w:rPr>
        <w:t>检查方法：观察检查，检查处理记录。</w:t>
      </w:r>
    </w:p>
    <w:p>
      <w:pPr>
        <w:pStyle w:val="165"/>
        <w:ind w:left="0"/>
        <w:rPr>
          <w:rFonts w:ascii="Times New Roman"/>
        </w:rPr>
      </w:pPr>
      <w:r>
        <w:rPr>
          <w:rFonts w:ascii="Times New Roman"/>
        </w:rPr>
        <w:t>二次衬砌混凝土强度等级、抗渗等级和限制膨胀率符合设计要求。</w:t>
      </w:r>
    </w:p>
    <w:p>
      <w:pPr>
        <w:pStyle w:val="56"/>
        <w:ind w:firstLine="420"/>
        <w:rPr>
          <w:rFonts w:ascii="Times New Roman"/>
        </w:rPr>
      </w:pPr>
      <w:r>
        <w:rPr>
          <w:rFonts w:ascii="Times New Roman"/>
        </w:rPr>
        <w:t>检查数量：每连续浇筑一次混凝土为一验收批。</w:t>
      </w:r>
    </w:p>
    <w:p>
      <w:pPr>
        <w:pStyle w:val="56"/>
        <w:ind w:firstLine="420"/>
        <w:rPr>
          <w:rFonts w:ascii="Times New Roman"/>
        </w:rPr>
      </w:pPr>
      <w:r>
        <w:rPr>
          <w:rFonts w:ascii="Times New Roman"/>
        </w:rPr>
        <w:t>检查方法：检查混凝土抗压强度、抗渗试块报告和水中养护14d后的限制膨胀率检验报告。</w:t>
      </w:r>
    </w:p>
    <w:p>
      <w:pPr>
        <w:pStyle w:val="165"/>
        <w:ind w:left="0"/>
        <w:rPr>
          <w:rFonts w:ascii="Times New Roman"/>
        </w:rPr>
      </w:pPr>
      <w:r>
        <w:rPr>
          <w:rFonts w:ascii="Times New Roman"/>
        </w:rPr>
        <w:t>二次衬砌混凝土结构外观质量不应有一般缺陷；</w:t>
      </w:r>
    </w:p>
    <w:p>
      <w:pPr>
        <w:pStyle w:val="56"/>
        <w:ind w:firstLine="420"/>
        <w:rPr>
          <w:rFonts w:ascii="Times New Roman"/>
        </w:rPr>
      </w:pPr>
      <w:r>
        <w:rPr>
          <w:rFonts w:ascii="Times New Roman"/>
        </w:rPr>
        <w:t>检查数量：全数检查。</w:t>
      </w:r>
    </w:p>
    <w:p>
      <w:pPr>
        <w:pStyle w:val="56"/>
        <w:ind w:firstLine="420"/>
        <w:rPr>
          <w:rFonts w:ascii="Times New Roman"/>
        </w:rPr>
      </w:pPr>
      <w:r>
        <w:rPr>
          <w:rFonts w:ascii="Times New Roman"/>
        </w:rPr>
        <w:t>检查方法：观察检查，检查处理记录。</w:t>
      </w:r>
    </w:p>
    <w:p>
      <w:pPr>
        <w:pStyle w:val="105"/>
        <w:spacing w:before="156" w:after="156"/>
        <w:ind w:left="0"/>
      </w:pPr>
      <w:bookmarkStart w:id="218" w:name="_Toc69230968"/>
      <w:bookmarkStart w:id="219" w:name="_Toc130215193"/>
      <w:bookmarkStart w:id="220" w:name="_Toc130218780"/>
      <w:bookmarkStart w:id="221" w:name="_Toc129276145"/>
      <w:r>
        <w:rPr>
          <w:rFonts w:hint="eastAsia"/>
        </w:rPr>
        <w:t>功能性</w:t>
      </w:r>
      <w:bookmarkEnd w:id="218"/>
      <w:r>
        <w:rPr>
          <w:rFonts w:hint="eastAsia"/>
        </w:rPr>
        <w:t>试验</w:t>
      </w:r>
      <w:bookmarkEnd w:id="219"/>
      <w:bookmarkEnd w:id="220"/>
      <w:bookmarkEnd w:id="221"/>
    </w:p>
    <w:p>
      <w:pPr>
        <w:pStyle w:val="165"/>
        <w:ind w:left="0"/>
      </w:pPr>
      <w:r>
        <w:rPr>
          <w:rFonts w:hint="eastAsia"/>
        </w:rPr>
        <w:t>盾构法输水隧道二次衬砌功能性试验前应制定专项验收方案。</w:t>
      </w:r>
    </w:p>
    <w:p>
      <w:pPr>
        <w:pStyle w:val="165"/>
        <w:ind w:left="0"/>
      </w:pPr>
      <w:r>
        <w:rPr>
          <w:rFonts w:hint="eastAsia"/>
        </w:rPr>
        <w:t>盾构法有压</w:t>
      </w:r>
      <w:r>
        <w:t>输水隧道</w:t>
      </w:r>
      <w:r>
        <w:rPr>
          <w:rFonts w:hint="eastAsia"/>
        </w:rPr>
        <w:t>二次衬砌应进行水压试验，宜采用注水法进行实际渗水量测定，</w:t>
      </w:r>
      <w:r>
        <w:rPr>
          <w:rFonts w:hint="eastAsia" w:ascii="Times New Roman"/>
        </w:rPr>
        <w:t>注水法按照《给水排水管道工程施工及验收规范》（GB 50268）相关要求进行。</w:t>
      </w:r>
    </w:p>
    <w:p>
      <w:pPr>
        <w:pStyle w:val="165"/>
        <w:ind w:left="0"/>
      </w:pPr>
      <w:r>
        <w:rPr>
          <w:rFonts w:hint="eastAsia"/>
        </w:rPr>
        <w:t>设计无要求时，盾构法有压输水隧道二次衬砌水压试验宜全段整体试验，不宜采用分段试验。</w:t>
      </w:r>
    </w:p>
    <w:p>
      <w:pPr>
        <w:pStyle w:val="165"/>
        <w:ind w:left="0"/>
      </w:pPr>
      <w:r>
        <w:rPr>
          <w:rFonts w:hint="eastAsia"/>
        </w:rPr>
        <w:t>盾构法有压</w:t>
      </w:r>
      <w:r>
        <w:t>输水隧道</w:t>
      </w:r>
      <w:r>
        <w:rPr>
          <w:rFonts w:hint="eastAsia"/>
        </w:rPr>
        <w:t>水压试验时，注水完成水体顶标高不应超过工作井结构顶标高，超过时试验压力应结合工程实际情况及各方意见确定</w:t>
      </w:r>
      <w:r>
        <w:rPr>
          <w:rFonts w:hint="eastAsia" w:ascii="Times New Roman"/>
        </w:rPr>
        <w:t>。</w:t>
      </w:r>
    </w:p>
    <w:p>
      <w:pPr>
        <w:pStyle w:val="165"/>
        <w:ind w:left="0"/>
      </w:pPr>
      <w:r>
        <w:rPr>
          <w:rFonts w:hint="eastAsia"/>
        </w:rPr>
        <w:t>盾构法有压</w:t>
      </w:r>
      <w:r>
        <w:t>输水隧道</w:t>
      </w:r>
      <w:r>
        <w:rPr>
          <w:rFonts w:hint="eastAsia"/>
        </w:rPr>
        <w:t>水压试验实测渗水量应小于或等于按下式(1)计算的允许渗水量：</w:t>
      </w:r>
    </w:p>
    <w:p>
      <w:pPr>
        <w:pStyle w:val="113"/>
      </w:pPr>
      <w:r>
        <w:tab/>
      </w:r>
      <w:r>
        <w:rPr>
          <w:rFonts w:ascii="Times New Roman"/>
        </w:rPr>
        <w:t>q=0.014D</w:t>
      </w:r>
      <w:r>
        <w:rPr>
          <w:rFonts w:ascii="Times New Roman"/>
          <w:vertAlign w:val="subscript"/>
        </w:rPr>
        <w:t xml:space="preserve">i </w:t>
      </w:r>
      <w:r>
        <w:rPr>
          <w:rFonts w:ascii="微软雅黑" w:hAnsi="微软雅黑" w:eastAsia="微软雅黑"/>
        </w:rPr>
        <w:tab/>
      </w:r>
      <w:r>
        <w:t>(</w:t>
      </w:r>
      <w:r>
        <w:fldChar w:fldCharType="begin"/>
      </w:r>
      <w:r>
        <w:instrText xml:space="preserve"> AUTONUM </w:instrText>
      </w:r>
      <w:r>
        <w:fldChar w:fldCharType="end"/>
      </w:r>
      <w:r>
        <w:t>)</w:t>
      </w:r>
    </w:p>
    <w:p>
      <w:pPr>
        <w:pStyle w:val="55"/>
        <w:ind w:firstLine="420"/>
      </w:pPr>
      <w:r>
        <w:rPr>
          <w:rFonts w:hint="eastAsia"/>
        </w:rPr>
        <w:t>式中：</w:t>
      </w:r>
    </w:p>
    <w:p>
      <w:pPr>
        <w:pStyle w:val="165"/>
        <w:numPr>
          <w:ilvl w:val="0"/>
          <w:numId w:val="0"/>
        </w:numPr>
        <w:ind w:firstLine="420" w:firstLineChars="200"/>
        <w:jc w:val="left"/>
        <w:rPr>
          <w:rFonts w:ascii="Times New Roman"/>
        </w:rPr>
      </w:pPr>
      <w:r>
        <w:rPr>
          <w:rFonts w:ascii="Times New Roman"/>
        </w:rPr>
        <w:t>q——允许渗水量（L/min·km）；</w:t>
      </w:r>
    </w:p>
    <w:p>
      <w:pPr>
        <w:pStyle w:val="165"/>
        <w:numPr>
          <w:ilvl w:val="0"/>
          <w:numId w:val="0"/>
        </w:numPr>
        <w:ind w:firstLine="420" w:firstLineChars="200"/>
        <w:jc w:val="left"/>
        <w:rPr>
          <w:rFonts w:ascii="Times New Roman"/>
        </w:rPr>
      </w:pPr>
      <w:r>
        <w:rPr>
          <w:rFonts w:ascii="Times New Roman"/>
        </w:rPr>
        <w:t>D</w:t>
      </w:r>
      <w:r>
        <w:rPr>
          <w:rFonts w:ascii="Times New Roman"/>
          <w:vertAlign w:val="subscript"/>
        </w:rPr>
        <w:t>i</w:t>
      </w:r>
      <w:r>
        <w:rPr>
          <w:rFonts w:ascii="Times New Roman"/>
        </w:rPr>
        <w:t>——管道内径（mm）。</w:t>
      </w:r>
    </w:p>
    <w:p>
      <w:pPr>
        <w:pStyle w:val="165"/>
        <w:ind w:left="0"/>
      </w:pPr>
      <w:r>
        <w:rPr>
          <w:rFonts w:hint="eastAsia"/>
        </w:rPr>
        <w:t>盾构法无压输水隧道应进行严密性试验，严密性试验应采用闭水试验，闭水法按照《给水排水管道工程施工及验收规范》（GB 50268）相关要求进行。</w:t>
      </w:r>
    </w:p>
    <w:p>
      <w:pPr>
        <w:pStyle w:val="165"/>
        <w:ind w:left="0"/>
      </w:pPr>
      <w:r>
        <w:rPr>
          <w:rFonts w:hint="eastAsia"/>
        </w:rPr>
        <w:t>无压输水隧道处于地下水位以下时，除设计有要求外，管片外衬及现浇钢筋混凝土二次衬砌的强度、抗渗性能检验合格，符合下列规定时，可采用内渗法进行评定，可不进行闭水试验。</w:t>
      </w:r>
    </w:p>
    <w:p>
      <w:pPr>
        <w:pStyle w:val="174"/>
        <w:numPr>
          <w:ilvl w:val="0"/>
          <w:numId w:val="83"/>
        </w:numPr>
      </w:pPr>
      <w:r>
        <w:rPr>
          <w:rFonts w:hint="eastAsia"/>
        </w:rPr>
        <w:t>二次衬砌内壁不得有线流、滴漏现象；</w:t>
      </w:r>
    </w:p>
    <w:p>
      <w:pPr>
        <w:pStyle w:val="174"/>
      </w:pPr>
      <w:r>
        <w:rPr>
          <w:rFonts w:hint="eastAsia"/>
        </w:rPr>
        <w:t>对有水珠、渗水部位应进行抗渗处理；</w:t>
      </w:r>
    </w:p>
    <w:p>
      <w:pPr>
        <w:pStyle w:val="174"/>
      </w:pPr>
      <w:r>
        <w:rPr>
          <w:rFonts w:hint="eastAsia"/>
        </w:rPr>
        <w:t>管道内渗水量允许值q≤2</w:t>
      </w:r>
      <w:r>
        <w:t>[L/(</w:t>
      </w:r>
      <w:r>
        <w:rPr>
          <w:rFonts w:hint="eastAsia"/>
        </w:rPr>
        <w:t>m</w:t>
      </w:r>
      <w:r>
        <w:rPr>
          <w:rFonts w:hint="eastAsia"/>
          <w:vertAlign w:val="superscript"/>
        </w:rPr>
        <w:t>2</w:t>
      </w:r>
      <w:r>
        <w:rPr>
          <w:rFonts w:hint="eastAsia"/>
        </w:rPr>
        <w:t>·d</w:t>
      </w:r>
      <w:r>
        <w:t>)]</w:t>
      </w:r>
      <w:r>
        <w:rPr>
          <w:rFonts w:hint="eastAsia"/>
        </w:rPr>
        <w:t>。</w:t>
      </w:r>
    </w:p>
    <w:p>
      <w:pPr>
        <w:pStyle w:val="165"/>
        <w:ind w:left="0"/>
      </w:pPr>
      <w:r>
        <w:rPr>
          <w:rFonts w:hint="eastAsia"/>
        </w:rPr>
        <w:t>水压试验或闭水试验前，应做好水源的引接、排水的疏导等方案。</w:t>
      </w: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spacing w:before="312" w:beforeLines="100" w:after="312" w:afterLines="100"/>
        <w:ind w:firstLine="880"/>
        <w:jc w:val="center"/>
        <w:outlineLvl w:val="0"/>
        <w:rPr>
          <w:rFonts w:ascii="黑体" w:hAnsi="黑体" w:eastAsia="黑体"/>
          <w:sz w:val="44"/>
          <w:szCs w:val="44"/>
        </w:rPr>
      </w:pPr>
      <w:r>
        <w:rPr>
          <w:rFonts w:hint="eastAsia" w:ascii="黑体" w:hAnsi="黑体" w:eastAsia="黑体"/>
          <w:sz w:val="44"/>
          <w:szCs w:val="44"/>
        </w:rPr>
        <w:t>条文说明</w:t>
      </w: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420"/>
      </w:pPr>
    </w:p>
    <w:p>
      <w:pPr>
        <w:pStyle w:val="56"/>
        <w:ind w:firstLine="0" w:firstLineChars="0"/>
        <w:rPr>
          <w:rFonts w:ascii="Times New Roman"/>
        </w:rPr>
      </w:pPr>
      <w:r>
        <w:rPr>
          <w:rFonts w:hint="eastAsia" w:ascii="黑体" w:hAnsi="黑体" w:eastAsia="黑体"/>
        </w:rPr>
        <w:t xml:space="preserve">5.2.2 </w:t>
      </w:r>
      <w:r>
        <w:rPr>
          <w:rFonts w:hint="eastAsia" w:ascii="Times New Roman"/>
        </w:rPr>
        <w:t xml:space="preserve"> </w:t>
      </w:r>
      <w:r>
        <w:rPr>
          <w:rFonts w:ascii="Times New Roman"/>
        </w:rPr>
        <w:t>盾构法隧道内部现浇钢筋混凝土二次衬砌通常厚度较</w:t>
      </w:r>
      <w:r>
        <w:rPr>
          <w:rFonts w:hint="eastAsia" w:ascii="Times New Roman"/>
        </w:rPr>
        <w:t>薄</w:t>
      </w:r>
      <w:r>
        <w:rPr>
          <w:rFonts w:ascii="Times New Roman"/>
        </w:rPr>
        <w:t>，采用自密实混凝土可有效保障衬砌混凝土的密实度。</w:t>
      </w:r>
    </w:p>
    <w:p>
      <w:pPr>
        <w:pStyle w:val="56"/>
        <w:ind w:firstLine="0" w:firstLineChars="0"/>
        <w:rPr>
          <w:lang w:bidi="ar"/>
        </w:rPr>
      </w:pPr>
      <w:r>
        <w:rPr>
          <w:rFonts w:hint="eastAsia" w:ascii="黑体" w:hAnsi="黑体" w:eastAsia="黑体"/>
        </w:rPr>
        <w:t>6.3.12</w:t>
      </w:r>
      <w:r>
        <w:rPr>
          <w:rFonts w:hint="eastAsia"/>
          <w:lang w:bidi="ar"/>
        </w:rPr>
        <w:t xml:space="preserve">  </w:t>
      </w:r>
      <w:r>
        <w:rPr>
          <w:lang w:bidi="ar"/>
        </w:rPr>
        <w:t>d）</w:t>
      </w:r>
      <w:r>
        <w:rPr>
          <w:rFonts w:hint="eastAsia"/>
          <w:lang w:bidi="ar"/>
        </w:rPr>
        <w:t>管片外衬螺栓手孔、接驳器、螺栓孔等处设置加强钢筋可以改善管片外衬与二次衬砌间的受力传递。</w:t>
      </w:r>
    </w:p>
    <w:p>
      <w:pPr>
        <w:pStyle w:val="56"/>
        <w:ind w:firstLine="0" w:firstLineChars="0"/>
        <w:rPr>
          <w:rFonts w:ascii="Times New Roman"/>
        </w:rPr>
      </w:pPr>
      <w:r>
        <w:rPr>
          <w:rFonts w:ascii="黑体" w:hAnsi="黑体" w:eastAsia="黑体"/>
        </w:rPr>
        <w:t>6.4.5</w:t>
      </w:r>
      <w:r>
        <w:rPr>
          <w:rFonts w:ascii="Times New Roman"/>
        </w:rPr>
        <w:t xml:space="preserve"> </w:t>
      </w:r>
      <w:r>
        <w:rPr>
          <w:lang w:bidi="ar"/>
        </w:rPr>
        <w:t xml:space="preserve"> d）</w:t>
      </w:r>
      <w:r>
        <w:rPr>
          <w:rFonts w:hint="eastAsia" w:ascii="Times New Roman"/>
        </w:rPr>
        <w:t>当二次衬砌厚度较小时，中埋式止水带对接缝处混凝土起到一定的分隔作用，混凝土难以振捣到位，易造成施工缝及变形缝处混凝土不密实，形成渗漏隐患。内装可卸式止水带指止水带安装于衬砌的内表面，采用可拆卸螺栓固定。</w:t>
      </w:r>
    </w:p>
    <w:p>
      <w:pPr>
        <w:pStyle w:val="56"/>
        <w:ind w:firstLine="0" w:firstLineChars="0"/>
        <w:rPr>
          <w:rFonts w:ascii="Times New Roman"/>
        </w:rPr>
      </w:pPr>
      <w:r>
        <w:rPr>
          <w:rFonts w:ascii="黑体" w:hAnsi="黑体" w:eastAsia="黑体"/>
        </w:rPr>
        <w:t xml:space="preserve">6.5.5  </w:t>
      </w:r>
      <w:r>
        <w:rPr>
          <w:rFonts w:hint="eastAsia" w:ascii="Times New Roman"/>
        </w:rPr>
        <w:t>表3　二次衬砌防腐蚀技术措施：</w:t>
      </w:r>
    </w:p>
    <w:p>
      <w:pPr>
        <w:pStyle w:val="174"/>
        <w:numPr>
          <w:ilvl w:val="0"/>
          <w:numId w:val="84"/>
        </w:numPr>
      </w:pPr>
      <w:r>
        <w:t>混凝土本体防腐蚀措施主要有混凝土质量和构造措施，通过提高混凝土强度、密实性和抗渗性，控制裂缝和保护层厚度，提高施工质量，降低氯离子深入对钢筋的腐蚀，减小环境中化学腐蚀离子和微生物代谢产生的腐蚀性介质对混凝土的损伤，达到混凝土耐久性要求</w:t>
      </w:r>
      <w:r>
        <w:rPr>
          <w:rFonts w:hint="eastAsia"/>
        </w:rPr>
        <w:t>；</w:t>
      </w:r>
    </w:p>
    <w:p>
      <w:pPr>
        <w:pStyle w:val="174"/>
      </w:pPr>
      <w:r>
        <w:t>混凝土附加防腐蚀措施是在本体措施基础上，对腐蚀风险较高的重要构件或关键部位，采取的附加抗氯离子、化学腐蚀离子、微生物代谢腐蚀介质防腐蚀措施</w:t>
      </w:r>
      <w:r>
        <w:rPr>
          <w:rFonts w:hint="eastAsia"/>
        </w:rPr>
        <w:t>；</w:t>
      </w:r>
    </w:p>
    <w:p>
      <w:pPr>
        <w:pStyle w:val="174"/>
      </w:pPr>
      <w:r>
        <w:rPr>
          <w:rFonts w:hint="eastAsia"/>
        </w:rPr>
        <w:t>在隧道服役环境以污水为主时，二次衬砌结构应做好附加防腐蚀措施，以清水为主时，宜增加附加防腐蚀措施，混凝土基体应有良好的抗渗、抗裂性能。</w:t>
      </w:r>
    </w:p>
    <w:p>
      <w:pPr>
        <w:pStyle w:val="56"/>
        <w:ind w:firstLine="0" w:firstLineChars="0"/>
      </w:pPr>
      <w:r>
        <w:rPr>
          <w:rFonts w:ascii="黑体" w:hAnsi="黑体" w:eastAsia="黑体"/>
        </w:rPr>
        <w:t xml:space="preserve">7.1.1  </w:t>
      </w:r>
      <w:r>
        <w:rPr>
          <w:rFonts w:hint="eastAsia"/>
        </w:rPr>
        <w:t>表4管片外衬结构变形稳定指标参照《城市轨道交通工程监测技术规范》（G</w:t>
      </w:r>
      <w:r>
        <w:t>B50911-2013</w:t>
      </w:r>
      <w:r>
        <w:rPr>
          <w:rFonts w:hint="eastAsia"/>
        </w:rPr>
        <w:t>）选取,</w:t>
      </w:r>
      <w:r>
        <w:t>变化速率参照表</w:t>
      </w:r>
      <w:r>
        <w:rPr>
          <w:rFonts w:hint="eastAsia"/>
        </w:rPr>
        <w:t>9</w:t>
      </w:r>
      <w:r>
        <w:t>.3.5选取，</w:t>
      </w:r>
      <w:r>
        <w:rPr>
          <w:rFonts w:hint="eastAsia"/>
        </w:rPr>
        <w:t>累计值上限参照表9</w:t>
      </w:r>
      <w:r>
        <w:t>.2.2-1</w:t>
      </w:r>
      <w:r>
        <w:rPr>
          <w:rFonts w:hint="eastAsia"/>
        </w:rPr>
        <w:t>选取，以变化速率判定结构是否趋于稳定，以累计值上限判定结构的最终稳定状态是否满足要求。</w:t>
      </w:r>
    </w:p>
    <w:p>
      <w:pPr>
        <w:pStyle w:val="174"/>
        <w:numPr>
          <w:ilvl w:val="0"/>
          <w:numId w:val="0"/>
        </w:numPr>
      </w:pPr>
      <w:r>
        <w:rPr>
          <w:rFonts w:ascii="黑体" w:hAnsi="黑体" w:eastAsia="黑体"/>
        </w:rPr>
        <w:t>7.2.3</w:t>
      </w:r>
      <w:r>
        <w:t xml:space="preserve">  a）</w:t>
      </w:r>
      <w:r>
        <w:rPr>
          <w:rFonts w:hint="eastAsia"/>
        </w:rPr>
        <w:t>由于盾构法隧道通常为全圆隧道且隧道空间有限，二次衬砌钢筋在施工前全部加工完成，可利用盾构施工轨道及运输编组先行完成运输。</w:t>
      </w:r>
    </w:p>
    <w:p>
      <w:pPr>
        <w:pStyle w:val="56"/>
        <w:ind w:firstLine="0" w:firstLineChars="0"/>
        <w:rPr>
          <w:rFonts w:ascii="Times New Roman"/>
        </w:rPr>
      </w:pPr>
      <w:r>
        <w:rPr>
          <w:rFonts w:ascii="黑体" w:hAnsi="黑体" w:eastAsia="黑体"/>
        </w:rPr>
        <w:t>7.4.3</w:t>
      </w:r>
      <w:r>
        <w:rPr>
          <w:rFonts w:ascii="Times New Roman"/>
        </w:rPr>
        <w:t xml:space="preserve">  </w:t>
      </w:r>
      <w:r>
        <w:rPr>
          <w:rFonts w:hAnsi="宋体"/>
        </w:rPr>
        <w:t>b）</w:t>
      </w:r>
      <w:r>
        <w:rPr>
          <w:rFonts w:hint="eastAsia" w:ascii="Times New Roman"/>
        </w:rPr>
        <w:t>钢筋可利用盾构施工用电瓶车编组进行长距离水平运输，外衬洞通后拆轨外运过程中，可利用电瓶车编组将钢筋运输进洞，钢筋短距离转运可采用可在管片上行走的轮胎式吊运设备。</w:t>
      </w:r>
    </w:p>
    <w:p>
      <w:pPr>
        <w:pStyle w:val="56"/>
        <w:ind w:firstLine="0" w:firstLineChars="0"/>
        <w:rPr>
          <w:rFonts w:ascii="Times New Roman"/>
        </w:rPr>
      </w:pPr>
      <w:r>
        <w:rPr>
          <w:rFonts w:hint="eastAsia" w:ascii="黑体" w:hAnsi="黑体" w:eastAsia="黑体"/>
        </w:rPr>
        <w:t>7.4.4</w:t>
      </w:r>
      <w:r>
        <w:rPr>
          <w:rFonts w:hint="eastAsia" w:ascii="Times New Roman"/>
        </w:rPr>
        <w:t xml:space="preserve">  </w:t>
      </w:r>
      <w:r>
        <w:t>a）</w:t>
      </w:r>
      <w:r>
        <w:rPr>
          <w:rFonts w:hint="eastAsia" w:ascii="Times New Roman"/>
        </w:rPr>
        <w:t>隧道拱顶二次衬砌钢筋定位钢筋宜加密，避免引发拱顶钢筋向下变形，影响隧道椭圆度，进而影响后续作业。</w:t>
      </w:r>
    </w:p>
    <w:p>
      <w:pPr>
        <w:pStyle w:val="56"/>
        <w:ind w:firstLine="0" w:firstLineChars="0"/>
      </w:pPr>
      <w:r>
        <w:rPr>
          <w:rFonts w:hint="eastAsia" w:ascii="黑体" w:hAnsi="黑体" w:eastAsia="黑体"/>
        </w:rPr>
        <w:t>7.5.2</w:t>
      </w:r>
      <w:r>
        <w:rPr>
          <w:rFonts w:hint="eastAsia"/>
        </w:rPr>
        <w:t xml:space="preserve">  d）由于盾构法隧道通常为全圆隧道，采用轨行式设计可方便台车定位，降低水平运输安全风险。</w:t>
      </w:r>
    </w:p>
    <w:p>
      <w:pPr>
        <w:pStyle w:val="174"/>
        <w:numPr>
          <w:ilvl w:val="0"/>
          <w:numId w:val="0"/>
        </w:numPr>
      </w:pPr>
      <w:r>
        <w:rPr>
          <w:rFonts w:hint="eastAsia" w:ascii="黑体" w:hAnsi="黑体" w:eastAsia="黑体"/>
        </w:rPr>
        <w:t>7.6.2</w:t>
      </w:r>
      <w:r>
        <w:rPr>
          <w:rFonts w:hint="eastAsia"/>
        </w:rPr>
        <w:t xml:space="preserve">  c)试验表明，当水平一次泵送距离超过500m后，混凝土扩展度损失显著提升，堵管概率大幅增加。</w:t>
      </w:r>
    </w:p>
    <w:p>
      <w:pPr>
        <w:pStyle w:val="174"/>
        <w:numPr>
          <w:ilvl w:val="0"/>
          <w:numId w:val="0"/>
        </w:numPr>
      </w:pPr>
      <w:r>
        <w:rPr>
          <w:rFonts w:hint="eastAsia" w:ascii="黑体" w:hAnsi="黑体" w:eastAsia="黑体"/>
        </w:rPr>
        <w:t>7.6.2</w:t>
      </w:r>
      <w:r>
        <w:rPr>
          <w:rFonts w:hint="eastAsia"/>
        </w:rPr>
        <w:t xml:space="preserve">  </w:t>
      </w:r>
      <w:r>
        <w:t>f</w:t>
      </w:r>
      <w:r>
        <w:rPr>
          <w:rFonts w:hint="eastAsia"/>
        </w:rPr>
        <w:t>)</w:t>
      </w:r>
      <w:r>
        <w:rPr>
          <w:rFonts w:hint="eastAsia" w:ascii="Times New Roman"/>
        </w:rPr>
        <w:t>当工作井或隧道断面较小时，可设置旋转平台、平移平台、道岔等装置辅助倒车或错车，同时为保障隧道内空气质量，罐车应采用清洁能源。</w:t>
      </w:r>
    </w:p>
    <w:p>
      <w:r>
        <w:rPr>
          <w:rFonts w:hint="eastAsia" w:ascii="黑体" w:hAnsi="黑体" w:eastAsia="黑体"/>
        </w:rPr>
        <w:t xml:space="preserve">7.6.3 </w:t>
      </w:r>
      <w:r>
        <w:rPr>
          <w:rFonts w:hint="eastAsia"/>
        </w:rPr>
        <w:t xml:space="preserve"> b)采用跳仓法作业可以有效控制混凝土早期裂缝，当工期较紧时可采用多台车跳仓的方式提升工效，台车数量宜结合工期要求、台车形式、隧道断面大小进行选取。</w:t>
      </w:r>
    </w:p>
    <w:p>
      <w:pPr>
        <w:rPr>
          <w:rFonts w:ascii="宋体" w:hAnsi="宋体"/>
        </w:rPr>
      </w:pPr>
      <w:r>
        <w:rPr>
          <w:rFonts w:hint="eastAsia" w:ascii="黑体" w:hAnsi="黑体" w:eastAsia="黑体"/>
        </w:rPr>
        <w:t xml:space="preserve">7.6.3 </w:t>
      </w:r>
      <w:r>
        <w:rPr>
          <w:rFonts w:hint="eastAsia"/>
        </w:rPr>
        <w:t xml:space="preserve"> </w:t>
      </w:r>
      <w:r>
        <w:rPr>
          <w:rFonts w:ascii="宋体" w:hAnsi="宋体"/>
        </w:rPr>
        <w:t>f</w:t>
      </w:r>
      <w:r>
        <w:rPr>
          <w:rFonts w:hint="eastAsia" w:ascii="宋体" w:hAnsi="宋体"/>
        </w:rPr>
        <w:t>)盾构法隧道以全圆隧道为主，二次衬砌混凝土浇筑拱顶难密实，为质量风险控制的重点。</w:t>
      </w:r>
    </w:p>
    <w:p>
      <w:pPr>
        <w:pStyle w:val="56"/>
        <w:ind w:firstLine="0" w:firstLineChars="0"/>
        <w:rPr>
          <w:rFonts w:ascii="Times New Roman"/>
        </w:rPr>
      </w:pPr>
      <w:r>
        <w:rPr>
          <w:rFonts w:hint="eastAsia" w:ascii="黑体" w:hAnsi="黑体" w:eastAsia="黑体"/>
        </w:rPr>
        <w:t>7.7.2</w:t>
      </w:r>
      <w:r>
        <w:rPr>
          <w:rFonts w:ascii="黑体" w:hAnsi="黑体" w:eastAsia="黑体"/>
        </w:rPr>
        <w:t xml:space="preserve"> </w:t>
      </w:r>
      <w:r>
        <w:rPr>
          <w:rFonts w:ascii="Times New Roman"/>
        </w:rPr>
        <w:t xml:space="preserve"> </w:t>
      </w:r>
      <w:r>
        <w:rPr>
          <w:rFonts w:hint="eastAsia" w:ascii="Times New Roman"/>
        </w:rPr>
        <w:t>为减小预应力筋与孔道之间的摩阻损失，必要时可对预应力筋涂抹石墨粉，但涂抹石墨粉用量应通过生产性试验。</w:t>
      </w:r>
    </w:p>
    <w:p>
      <w:pPr>
        <w:pStyle w:val="56"/>
        <w:ind w:firstLine="0" w:firstLineChars="0"/>
        <w:rPr>
          <w:rFonts w:ascii="Times New Roman"/>
        </w:rPr>
      </w:pPr>
      <w:r>
        <w:rPr>
          <w:rFonts w:hint="eastAsia" w:ascii="黑体" w:hAnsi="黑体" w:eastAsia="黑体"/>
        </w:rPr>
        <w:t>7.7.4</w:t>
      </w:r>
      <w:r>
        <w:rPr>
          <w:rFonts w:ascii="Times New Roman"/>
        </w:rPr>
        <w:t xml:space="preserve">  e)</w:t>
      </w:r>
      <w:r>
        <w:rPr>
          <w:rFonts w:hint="eastAsia" w:ascii="Times New Roman"/>
        </w:rPr>
        <w:t>环锚</w:t>
      </w:r>
      <w:r>
        <w:rPr>
          <w:rFonts w:ascii="Times New Roman"/>
        </w:rPr>
        <w:t>预应力筋张拉过程在产生环向预压应力的同时，对衬砌还将产生纵向拉应力</w:t>
      </w:r>
      <w:r>
        <w:rPr>
          <w:rFonts w:hint="eastAsia" w:ascii="Times New Roman"/>
        </w:rPr>
        <w:t>，</w:t>
      </w:r>
      <w:r>
        <w:rPr>
          <w:rFonts w:ascii="Times New Roman"/>
        </w:rPr>
        <w:t>应予以防范</w:t>
      </w:r>
      <w:r>
        <w:rPr>
          <w:rFonts w:hint="eastAsia" w:ascii="Times New Roman"/>
        </w:rPr>
        <w:t>。</w:t>
      </w:r>
    </w:p>
    <w:p>
      <w:pPr>
        <w:pStyle w:val="56"/>
        <w:ind w:firstLine="0" w:firstLineChars="0"/>
        <w:rPr>
          <w:rFonts w:ascii="Times New Roman"/>
        </w:rPr>
      </w:pPr>
      <w:r>
        <w:rPr>
          <w:rFonts w:hint="eastAsia" w:ascii="黑体" w:hAnsi="黑体" w:eastAsia="黑体"/>
        </w:rPr>
        <w:t>8.2.5</w:t>
      </w:r>
      <w:r>
        <w:rPr>
          <w:rFonts w:hint="eastAsia" w:ascii="Times New Roman"/>
        </w:rPr>
        <w:t xml:space="preserve">  人工巡检通常适用于具备检修条件的隧道。采用人工巡检时，应制定针对性的人工巡检方案，采取周密的安全防护措施。</w:t>
      </w:r>
    </w:p>
    <w:p>
      <w:pPr>
        <w:pStyle w:val="56"/>
        <w:ind w:firstLine="0" w:firstLineChars="0"/>
        <w:rPr>
          <w:rFonts w:ascii="Times New Roman"/>
        </w:rPr>
      </w:pPr>
      <w:r>
        <w:rPr>
          <w:rFonts w:ascii="黑体" w:hAnsi="黑体" w:eastAsia="黑体"/>
        </w:rPr>
        <w:t>9.7.3</w:t>
      </w:r>
      <w:r>
        <w:rPr>
          <w:rFonts w:ascii="Times New Roman"/>
        </w:rPr>
        <w:t xml:space="preserve">  </w:t>
      </w:r>
      <w:r>
        <w:rPr>
          <w:rFonts w:hint="eastAsia" w:ascii="Times New Roman"/>
        </w:rPr>
        <w:t>盾构法有压输水隧道长度通常较长，断面较大，根据《给水排水管道工程施工及验收规范》（GB 50268），采用水压试验时，试验压力较大，若采用分段试验，需在隧道中间工作井内施工封堵墙，封堵墙设计与施工难度大，后续拆除易对隧道永久结构造成不利影响。</w:t>
      </w:r>
    </w:p>
    <w:p>
      <w:pPr>
        <w:pStyle w:val="165"/>
        <w:numPr>
          <w:ilvl w:val="0"/>
          <w:numId w:val="0"/>
        </w:numPr>
      </w:pPr>
      <w:r>
        <w:rPr>
          <w:rFonts w:hint="eastAsia" w:ascii="黑体" w:hAnsi="黑体" w:eastAsia="黑体"/>
        </w:rPr>
        <w:t>9</w:t>
      </w:r>
      <w:r>
        <w:rPr>
          <w:rFonts w:ascii="黑体" w:hAnsi="黑体" w:eastAsia="黑体"/>
        </w:rPr>
        <w:t>.7.4</w:t>
      </w:r>
      <w:r>
        <w:t xml:space="preserve">  </w:t>
      </w:r>
      <w:r>
        <w:rPr>
          <w:rFonts w:hint="eastAsia" w:ascii="Times New Roman"/>
        </w:rPr>
        <w:t>根据《给水排水管道工程施工及验收规范》（GB 50268），盾构法有压</w:t>
      </w:r>
      <w:r>
        <w:rPr>
          <w:rFonts w:ascii="Times New Roman"/>
        </w:rPr>
        <w:t>输水隧道</w:t>
      </w:r>
      <w:r>
        <w:rPr>
          <w:rFonts w:hint="eastAsia" w:ascii="Times New Roman"/>
        </w:rPr>
        <w:t>二次衬砌水压试验压力应取1</w:t>
      </w:r>
      <w:r>
        <w:rPr>
          <w:rFonts w:ascii="Times New Roman"/>
        </w:rPr>
        <w:t>.5P</w:t>
      </w:r>
      <w:r>
        <w:rPr>
          <w:rFonts w:hint="eastAsia" w:ascii="Times New Roman"/>
        </w:rPr>
        <w:t>（P</w:t>
      </w:r>
      <w:r>
        <w:rPr>
          <w:rFonts w:ascii="Times New Roman"/>
        </w:rPr>
        <w:t>——</w:t>
      </w:r>
      <w:r>
        <w:rPr>
          <w:rFonts w:hint="eastAsia" w:ascii="Times New Roman"/>
        </w:rPr>
        <w:t>输水隧道工作压力），当P值较大时，按1</w:t>
      </w:r>
      <w:r>
        <w:rPr>
          <w:rFonts w:ascii="Times New Roman"/>
        </w:rPr>
        <w:t>.5P</w:t>
      </w:r>
      <w:r>
        <w:rPr>
          <w:rFonts w:hint="eastAsia" w:ascii="Times New Roman"/>
        </w:rPr>
        <w:t>试验压力注水试验时，工作井内的水体顶标高可能超过结构顶标高，此情况需对结构高度进行接高或者调整试验压力。</w:t>
      </w:r>
    </w:p>
    <w:p>
      <w:pPr>
        <w:pStyle w:val="56"/>
        <w:ind w:firstLine="0" w:firstLineChars="0"/>
        <w:rPr>
          <w:rFonts w:ascii="Times New Roman"/>
        </w:rPr>
      </w:pPr>
      <w:r>
        <w:rPr>
          <w:rFonts w:hint="eastAsia" w:ascii="黑体" w:hAnsi="黑体" w:eastAsia="黑体"/>
        </w:rPr>
        <w:t>9.7.6</w:t>
      </w:r>
      <w:r>
        <w:rPr>
          <w:rFonts w:hint="eastAsia" w:ascii="Times New Roman"/>
        </w:rPr>
        <w:t xml:space="preserve">  盾构法无压输水隧道地下水位通常高于隧道底，且顶部存在覆土，闭气法试验不适用。</w:t>
      </w:r>
    </w:p>
    <w:p>
      <w:pPr>
        <w:pStyle w:val="56"/>
        <w:ind w:firstLine="0" w:firstLineChars="0"/>
        <w:rPr>
          <w:rFonts w:ascii="Times New Roman"/>
        </w:rPr>
      </w:pPr>
      <w:r>
        <w:rPr>
          <w:rFonts w:hint="eastAsia" w:ascii="黑体" w:hAnsi="黑体" w:eastAsia="黑体"/>
        </w:rPr>
        <w:t>9.7.7</w:t>
      </w:r>
      <w:r>
        <w:rPr>
          <w:rFonts w:hint="eastAsia" w:ascii="Times New Roman"/>
        </w:rPr>
        <w:t xml:space="preserve">  c)内渗法指在隧道施工工况（无内水压）观测是否存在外水内渗情况，对运营期间是否存在外水入渗或内水外渗的情况做出判断。</w:t>
      </w:r>
    </w:p>
    <w:p>
      <w:pPr>
        <w:pStyle w:val="56"/>
        <w:ind w:firstLine="420"/>
      </w:pPr>
    </w:p>
    <w:p>
      <w:pPr>
        <w:pStyle w:val="56"/>
        <w:ind w:firstLine="420"/>
      </w:pPr>
    </w:p>
    <w:bookmarkEnd w:id="32"/>
    <w:p>
      <w:pPr>
        <w:pStyle w:val="56"/>
        <w:ind w:firstLine="0" w:firstLineChars="0"/>
        <w:jc w:val="center"/>
      </w:pPr>
      <w:bookmarkStart w:id="222" w:name="BookMark8"/>
      <w:r>
        <w:rPr>
          <w:rFonts w:hint="eastAsia"/>
        </w:rPr>
        <w:drawing>
          <wp:inline distT="0" distB="0" distL="0" distR="0">
            <wp:extent cx="1485900" cy="317500"/>
            <wp:effectExtent l="0" t="0" r="0" b="635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6">
                      <a:extLst>
                        <a:ext uri="{28A0092B-C50C-407E-A947-70E740481C1C}">
                          <a14:useLocalDpi xmlns:a14="http://schemas.microsoft.com/office/drawing/2010/main" val="false"/>
                        </a:ext>
                      </a:extLst>
                    </a:blip>
                    <a:stretch>
                      <a:fillRect/>
                    </a:stretch>
                  </pic:blipFill>
                  <pic:spPr>
                    <a:xfrm>
                      <a:off x="0" y="0"/>
                      <a:ext cx="1485900" cy="317500"/>
                    </a:xfrm>
                    <a:prstGeom prst="rect">
                      <a:avLst/>
                    </a:prstGeom>
                  </pic:spPr>
                </pic:pic>
              </a:graphicData>
            </a:graphic>
          </wp:inline>
        </w:drawing>
      </w:r>
      <w:bookmarkEnd w:id="222"/>
    </w:p>
    <w:sectPr>
      <w:headerReference r:id="rId19" w:type="default"/>
      <w:footerReference r:id="rId21" w:type="default"/>
      <w:headerReference r:id="rId20" w:type="even"/>
      <w:footerReference r:id="rId22" w:type="even"/>
      <w:pgSz w:w="11906" w:h="16838"/>
      <w:pgMar w:top="2410"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Light">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III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III</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IV</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IV</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15</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24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DB42/T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DB42/T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DB42/T XXXX—XXXX</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DB42/T XXXX—XXXX</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DB42/T XXXX—XXXX</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DB42/T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2835"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1418" w:firstLine="0"/>
      </w:pPr>
      <w:rPr>
        <w:rFonts w:hint="eastAsia" w:ascii="黑体" w:hAnsi="黑体" w:eastAsia="黑体"/>
        <w:b w:val="0"/>
        <w:i w:val="0"/>
        <w:sz w:val="21"/>
      </w:rPr>
    </w:lvl>
    <w:lvl w:ilvl="4" w:tentative="0">
      <w:start w:val="1"/>
      <w:numFmt w:val="decimal"/>
      <w:pStyle w:val="94"/>
      <w:suff w:val="nothing"/>
      <w:lvlText w:val="%1%2.%3.%4.%5　"/>
      <w:lvlJc w:val="left"/>
      <w:pPr>
        <w:ind w:left="3119"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658"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attachedTemplate r:id="rId1"/>
  <w:documentProtection w:edit="forms" w:enforcement="1" w:cryptProviderType="rsaAES" w:cryptAlgorithmClass="hash" w:cryptAlgorithmType="typeAny" w:cryptAlgorithmSid="14" w:cryptSpinCount="100000" w:hash="HBrY9MutMJSooMPAPxZngkKky09arwv8RdRDNRrev89Ry4KVxq3/xsH7eRyL2L3TL1kg+SDleeyvpAgoLgkesA==" w:salt="lOv+v07MKgNxrTc80Pfi3A=="/>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iYmYwMDA3NjM0MmUxOWZmY2ZlNTY3NWQ0OTlkY2EifQ=="/>
  </w:docVars>
  <w:rsids>
    <w:rsidRoot w:val="00B801B1"/>
    <w:rsid w:val="0000040A"/>
    <w:rsid w:val="000009E4"/>
    <w:rsid w:val="00000A94"/>
    <w:rsid w:val="00001972"/>
    <w:rsid w:val="00001D9A"/>
    <w:rsid w:val="00002734"/>
    <w:rsid w:val="00007B3A"/>
    <w:rsid w:val="00010257"/>
    <w:rsid w:val="000107E0"/>
    <w:rsid w:val="00011FDE"/>
    <w:rsid w:val="00012FFD"/>
    <w:rsid w:val="00014162"/>
    <w:rsid w:val="00014340"/>
    <w:rsid w:val="00016A9C"/>
    <w:rsid w:val="00017E0C"/>
    <w:rsid w:val="00017FCB"/>
    <w:rsid w:val="00022184"/>
    <w:rsid w:val="00022762"/>
    <w:rsid w:val="000230A1"/>
    <w:rsid w:val="000238E0"/>
    <w:rsid w:val="000247E4"/>
    <w:rsid w:val="000249DB"/>
    <w:rsid w:val="0002595E"/>
    <w:rsid w:val="000303C3"/>
    <w:rsid w:val="0003259A"/>
    <w:rsid w:val="000331D3"/>
    <w:rsid w:val="000346A5"/>
    <w:rsid w:val="000359C3"/>
    <w:rsid w:val="00035A7D"/>
    <w:rsid w:val="000365ED"/>
    <w:rsid w:val="000375D3"/>
    <w:rsid w:val="0004249A"/>
    <w:rsid w:val="00043282"/>
    <w:rsid w:val="00043A36"/>
    <w:rsid w:val="00043D51"/>
    <w:rsid w:val="00044286"/>
    <w:rsid w:val="00047F28"/>
    <w:rsid w:val="000503AA"/>
    <w:rsid w:val="000506A1"/>
    <w:rsid w:val="000515DD"/>
    <w:rsid w:val="0005265A"/>
    <w:rsid w:val="000539DD"/>
    <w:rsid w:val="00053BD3"/>
    <w:rsid w:val="00054BFB"/>
    <w:rsid w:val="000556ED"/>
    <w:rsid w:val="00055854"/>
    <w:rsid w:val="00055FE2"/>
    <w:rsid w:val="0005616F"/>
    <w:rsid w:val="00060643"/>
    <w:rsid w:val="000607E7"/>
    <w:rsid w:val="00060C2E"/>
    <w:rsid w:val="00060C42"/>
    <w:rsid w:val="00061033"/>
    <w:rsid w:val="000619E9"/>
    <w:rsid w:val="000622D4"/>
    <w:rsid w:val="0006357D"/>
    <w:rsid w:val="00067F1E"/>
    <w:rsid w:val="00071CC0"/>
    <w:rsid w:val="00073C8C"/>
    <w:rsid w:val="00077B64"/>
    <w:rsid w:val="00080A1C"/>
    <w:rsid w:val="00082317"/>
    <w:rsid w:val="00082C35"/>
    <w:rsid w:val="00083D2C"/>
    <w:rsid w:val="00086AA1"/>
    <w:rsid w:val="00087A77"/>
    <w:rsid w:val="00090CA6"/>
    <w:rsid w:val="00092B8A"/>
    <w:rsid w:val="00092FB0"/>
    <w:rsid w:val="000934C5"/>
    <w:rsid w:val="00093D25"/>
    <w:rsid w:val="00093DAB"/>
    <w:rsid w:val="00094082"/>
    <w:rsid w:val="00094D73"/>
    <w:rsid w:val="00096D63"/>
    <w:rsid w:val="000A0B60"/>
    <w:rsid w:val="000A0EB8"/>
    <w:rsid w:val="000A19FC"/>
    <w:rsid w:val="000A296B"/>
    <w:rsid w:val="000A4C9F"/>
    <w:rsid w:val="000A7306"/>
    <w:rsid w:val="000A7311"/>
    <w:rsid w:val="000B060F"/>
    <w:rsid w:val="000B1592"/>
    <w:rsid w:val="000B1FF2"/>
    <w:rsid w:val="000B3CDA"/>
    <w:rsid w:val="000B497D"/>
    <w:rsid w:val="000B6A0B"/>
    <w:rsid w:val="000B6F89"/>
    <w:rsid w:val="000C0F6C"/>
    <w:rsid w:val="000C11DB"/>
    <w:rsid w:val="000C1492"/>
    <w:rsid w:val="000C2FBD"/>
    <w:rsid w:val="000C4B41"/>
    <w:rsid w:val="000C57D6"/>
    <w:rsid w:val="000C6362"/>
    <w:rsid w:val="000C7666"/>
    <w:rsid w:val="000D0A9C"/>
    <w:rsid w:val="000D1795"/>
    <w:rsid w:val="000D329A"/>
    <w:rsid w:val="000D364E"/>
    <w:rsid w:val="000D3D9A"/>
    <w:rsid w:val="000D4B9C"/>
    <w:rsid w:val="000D4EB6"/>
    <w:rsid w:val="000D6321"/>
    <w:rsid w:val="000D753B"/>
    <w:rsid w:val="000E1C0E"/>
    <w:rsid w:val="000E4C9E"/>
    <w:rsid w:val="000E6FD7"/>
    <w:rsid w:val="000F06E1"/>
    <w:rsid w:val="000F0E3C"/>
    <w:rsid w:val="000F19D5"/>
    <w:rsid w:val="000F4AEA"/>
    <w:rsid w:val="000F633F"/>
    <w:rsid w:val="000F67E9"/>
    <w:rsid w:val="00100A17"/>
    <w:rsid w:val="00101571"/>
    <w:rsid w:val="00103BA4"/>
    <w:rsid w:val="00104926"/>
    <w:rsid w:val="00106A87"/>
    <w:rsid w:val="001104AB"/>
    <w:rsid w:val="00113B1E"/>
    <w:rsid w:val="0011711C"/>
    <w:rsid w:val="00117A8C"/>
    <w:rsid w:val="0012059C"/>
    <w:rsid w:val="00124E4F"/>
    <w:rsid w:val="001260B7"/>
    <w:rsid w:val="001265CB"/>
    <w:rsid w:val="00127D3E"/>
    <w:rsid w:val="001321C6"/>
    <w:rsid w:val="001325C4"/>
    <w:rsid w:val="00133010"/>
    <w:rsid w:val="001338EE"/>
    <w:rsid w:val="00133AAE"/>
    <w:rsid w:val="00133C82"/>
    <w:rsid w:val="00135323"/>
    <w:rsid w:val="001356C4"/>
    <w:rsid w:val="001359F6"/>
    <w:rsid w:val="0014094D"/>
    <w:rsid w:val="00141114"/>
    <w:rsid w:val="00142969"/>
    <w:rsid w:val="001446C2"/>
    <w:rsid w:val="001457E7"/>
    <w:rsid w:val="00145BCD"/>
    <w:rsid w:val="00145D9D"/>
    <w:rsid w:val="00146388"/>
    <w:rsid w:val="001529E5"/>
    <w:rsid w:val="001535CF"/>
    <w:rsid w:val="00153C7E"/>
    <w:rsid w:val="001543E8"/>
    <w:rsid w:val="00156B25"/>
    <w:rsid w:val="00156E1A"/>
    <w:rsid w:val="00157894"/>
    <w:rsid w:val="00157B55"/>
    <w:rsid w:val="00161982"/>
    <w:rsid w:val="00161F73"/>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4793"/>
    <w:rsid w:val="0017697C"/>
    <w:rsid w:val="00176DFD"/>
    <w:rsid w:val="00180B6B"/>
    <w:rsid w:val="00181159"/>
    <w:rsid w:val="001852C9"/>
    <w:rsid w:val="00190087"/>
    <w:rsid w:val="00190583"/>
    <w:rsid w:val="001913C4"/>
    <w:rsid w:val="00191509"/>
    <w:rsid w:val="0019348F"/>
    <w:rsid w:val="001934CE"/>
    <w:rsid w:val="0019379D"/>
    <w:rsid w:val="00193A07"/>
    <w:rsid w:val="00194885"/>
    <w:rsid w:val="00194C95"/>
    <w:rsid w:val="00194D87"/>
    <w:rsid w:val="00195C34"/>
    <w:rsid w:val="00195CAE"/>
    <w:rsid w:val="00196EF5"/>
    <w:rsid w:val="00197DCE"/>
    <w:rsid w:val="001A1A53"/>
    <w:rsid w:val="001A234A"/>
    <w:rsid w:val="001A4CF3"/>
    <w:rsid w:val="001A7E04"/>
    <w:rsid w:val="001B06E8"/>
    <w:rsid w:val="001B4BCC"/>
    <w:rsid w:val="001B71D0"/>
    <w:rsid w:val="001B71EE"/>
    <w:rsid w:val="001C04A8"/>
    <w:rsid w:val="001C2C03"/>
    <w:rsid w:val="001C42F7"/>
    <w:rsid w:val="001C4300"/>
    <w:rsid w:val="001C49E5"/>
    <w:rsid w:val="001C4EB2"/>
    <w:rsid w:val="001C4F56"/>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2D3"/>
    <w:rsid w:val="001F2508"/>
    <w:rsid w:val="001F4816"/>
    <w:rsid w:val="001F4EE9"/>
    <w:rsid w:val="001F681F"/>
    <w:rsid w:val="001F69B4"/>
    <w:rsid w:val="001F77C7"/>
    <w:rsid w:val="00200183"/>
    <w:rsid w:val="00200333"/>
    <w:rsid w:val="0020107D"/>
    <w:rsid w:val="00201325"/>
    <w:rsid w:val="00201DD8"/>
    <w:rsid w:val="00202AA4"/>
    <w:rsid w:val="002031F7"/>
    <w:rsid w:val="002040E6"/>
    <w:rsid w:val="0020527B"/>
    <w:rsid w:val="00205F2C"/>
    <w:rsid w:val="00210B15"/>
    <w:rsid w:val="002142EA"/>
    <w:rsid w:val="002204BB"/>
    <w:rsid w:val="00221B79"/>
    <w:rsid w:val="00221C6B"/>
    <w:rsid w:val="00223BE6"/>
    <w:rsid w:val="002253A1"/>
    <w:rsid w:val="0022580C"/>
    <w:rsid w:val="00225CF8"/>
    <w:rsid w:val="0022794E"/>
    <w:rsid w:val="0023190A"/>
    <w:rsid w:val="00233D64"/>
    <w:rsid w:val="0023482A"/>
    <w:rsid w:val="002359CB"/>
    <w:rsid w:val="002402DB"/>
    <w:rsid w:val="00243007"/>
    <w:rsid w:val="00243540"/>
    <w:rsid w:val="00244289"/>
    <w:rsid w:val="0024497B"/>
    <w:rsid w:val="0024515B"/>
    <w:rsid w:val="00246021"/>
    <w:rsid w:val="0024666E"/>
    <w:rsid w:val="0024723B"/>
    <w:rsid w:val="00247F52"/>
    <w:rsid w:val="00250B25"/>
    <w:rsid w:val="00250BBE"/>
    <w:rsid w:val="002515C2"/>
    <w:rsid w:val="0025194F"/>
    <w:rsid w:val="0026148A"/>
    <w:rsid w:val="00262696"/>
    <w:rsid w:val="002634EB"/>
    <w:rsid w:val="00263D25"/>
    <w:rsid w:val="002643C3"/>
    <w:rsid w:val="00264A0C"/>
    <w:rsid w:val="00265E78"/>
    <w:rsid w:val="00266EEB"/>
    <w:rsid w:val="002670C3"/>
    <w:rsid w:val="00267A2C"/>
    <w:rsid w:val="00267EF4"/>
    <w:rsid w:val="00270CB8"/>
    <w:rsid w:val="00272B08"/>
    <w:rsid w:val="00281BB8"/>
    <w:rsid w:val="00281E9E"/>
    <w:rsid w:val="0028219E"/>
    <w:rsid w:val="00282405"/>
    <w:rsid w:val="0028293C"/>
    <w:rsid w:val="00282988"/>
    <w:rsid w:val="00285170"/>
    <w:rsid w:val="00285361"/>
    <w:rsid w:val="0028763E"/>
    <w:rsid w:val="00292D60"/>
    <w:rsid w:val="00293B30"/>
    <w:rsid w:val="00294D34"/>
    <w:rsid w:val="00294E3B"/>
    <w:rsid w:val="00296193"/>
    <w:rsid w:val="00296C66"/>
    <w:rsid w:val="00296C9A"/>
    <w:rsid w:val="00296EBE"/>
    <w:rsid w:val="002974E3"/>
    <w:rsid w:val="002A04B1"/>
    <w:rsid w:val="002A084B"/>
    <w:rsid w:val="002A0903"/>
    <w:rsid w:val="002A1260"/>
    <w:rsid w:val="002A1589"/>
    <w:rsid w:val="002A1608"/>
    <w:rsid w:val="002A25DC"/>
    <w:rsid w:val="002A2659"/>
    <w:rsid w:val="002A3AAB"/>
    <w:rsid w:val="002A4CEA"/>
    <w:rsid w:val="002A5977"/>
    <w:rsid w:val="002A5A13"/>
    <w:rsid w:val="002A6514"/>
    <w:rsid w:val="002A757F"/>
    <w:rsid w:val="002A7F44"/>
    <w:rsid w:val="002B0C40"/>
    <w:rsid w:val="002B1966"/>
    <w:rsid w:val="002B4508"/>
    <w:rsid w:val="002B5779"/>
    <w:rsid w:val="002B712B"/>
    <w:rsid w:val="002B7332"/>
    <w:rsid w:val="002B7F51"/>
    <w:rsid w:val="002C09E7"/>
    <w:rsid w:val="002C1E06"/>
    <w:rsid w:val="002C1E1C"/>
    <w:rsid w:val="002C3F07"/>
    <w:rsid w:val="002C445A"/>
    <w:rsid w:val="002C5278"/>
    <w:rsid w:val="002C7EBB"/>
    <w:rsid w:val="002D06C1"/>
    <w:rsid w:val="002D1033"/>
    <w:rsid w:val="002D285C"/>
    <w:rsid w:val="002D3E72"/>
    <w:rsid w:val="002D405A"/>
    <w:rsid w:val="002D42B5"/>
    <w:rsid w:val="002D4F1A"/>
    <w:rsid w:val="002D6EC6"/>
    <w:rsid w:val="002D79AC"/>
    <w:rsid w:val="002E039D"/>
    <w:rsid w:val="002E3C08"/>
    <w:rsid w:val="002E4D5A"/>
    <w:rsid w:val="002E6326"/>
    <w:rsid w:val="002E7DF9"/>
    <w:rsid w:val="002F30E0"/>
    <w:rsid w:val="002F35E4"/>
    <w:rsid w:val="002F3730"/>
    <w:rsid w:val="002F38E1"/>
    <w:rsid w:val="002F7AF6"/>
    <w:rsid w:val="002F7C0A"/>
    <w:rsid w:val="00300E63"/>
    <w:rsid w:val="00302F5F"/>
    <w:rsid w:val="0030441D"/>
    <w:rsid w:val="00304AB3"/>
    <w:rsid w:val="0030587B"/>
    <w:rsid w:val="00306063"/>
    <w:rsid w:val="00307227"/>
    <w:rsid w:val="00311447"/>
    <w:rsid w:val="00313B85"/>
    <w:rsid w:val="00317988"/>
    <w:rsid w:val="00320347"/>
    <w:rsid w:val="003221B4"/>
    <w:rsid w:val="0032258D"/>
    <w:rsid w:val="00322E62"/>
    <w:rsid w:val="00324D13"/>
    <w:rsid w:val="00324D2A"/>
    <w:rsid w:val="00324EDD"/>
    <w:rsid w:val="00331817"/>
    <w:rsid w:val="00331EAA"/>
    <w:rsid w:val="003331E4"/>
    <w:rsid w:val="003363A3"/>
    <w:rsid w:val="00336C64"/>
    <w:rsid w:val="00337162"/>
    <w:rsid w:val="0034194F"/>
    <w:rsid w:val="00343997"/>
    <w:rsid w:val="00344221"/>
    <w:rsid w:val="00344605"/>
    <w:rsid w:val="003474AA"/>
    <w:rsid w:val="003478BD"/>
    <w:rsid w:val="00350D1D"/>
    <w:rsid w:val="003519FD"/>
    <w:rsid w:val="00352C83"/>
    <w:rsid w:val="00356BC6"/>
    <w:rsid w:val="003609B9"/>
    <w:rsid w:val="0036121D"/>
    <w:rsid w:val="003615D2"/>
    <w:rsid w:val="0036429C"/>
    <w:rsid w:val="00364A53"/>
    <w:rsid w:val="003654CB"/>
    <w:rsid w:val="00365AA9"/>
    <w:rsid w:val="00365F86"/>
    <w:rsid w:val="00365F87"/>
    <w:rsid w:val="00366E89"/>
    <w:rsid w:val="003705F4"/>
    <w:rsid w:val="00370D58"/>
    <w:rsid w:val="00371316"/>
    <w:rsid w:val="00372F87"/>
    <w:rsid w:val="0037338D"/>
    <w:rsid w:val="00376713"/>
    <w:rsid w:val="00381815"/>
    <w:rsid w:val="003819AF"/>
    <w:rsid w:val="003820E9"/>
    <w:rsid w:val="00382DE7"/>
    <w:rsid w:val="00384343"/>
    <w:rsid w:val="00384FFC"/>
    <w:rsid w:val="003872FC"/>
    <w:rsid w:val="00387A65"/>
    <w:rsid w:val="00387ADC"/>
    <w:rsid w:val="00390020"/>
    <w:rsid w:val="003903D6"/>
    <w:rsid w:val="00390EE6"/>
    <w:rsid w:val="0039118F"/>
    <w:rsid w:val="00392AD7"/>
    <w:rsid w:val="003938D9"/>
    <w:rsid w:val="00394376"/>
    <w:rsid w:val="003943FF"/>
    <w:rsid w:val="00395700"/>
    <w:rsid w:val="00397138"/>
    <w:rsid w:val="0039745A"/>
    <w:rsid w:val="003974EB"/>
    <w:rsid w:val="00397CC5"/>
    <w:rsid w:val="003A1582"/>
    <w:rsid w:val="003A4077"/>
    <w:rsid w:val="003B086A"/>
    <w:rsid w:val="003B09AD"/>
    <w:rsid w:val="003B1F18"/>
    <w:rsid w:val="003B5B14"/>
    <w:rsid w:val="003B5BF0"/>
    <w:rsid w:val="003B60BF"/>
    <w:rsid w:val="003B6BE3"/>
    <w:rsid w:val="003C008E"/>
    <w:rsid w:val="003C010C"/>
    <w:rsid w:val="003C0A6C"/>
    <w:rsid w:val="003C0C4A"/>
    <w:rsid w:val="003C14F8"/>
    <w:rsid w:val="003C38BD"/>
    <w:rsid w:val="003C5041"/>
    <w:rsid w:val="003C5A43"/>
    <w:rsid w:val="003C602E"/>
    <w:rsid w:val="003C77BC"/>
    <w:rsid w:val="003D0519"/>
    <w:rsid w:val="003D0FF6"/>
    <w:rsid w:val="003D262C"/>
    <w:rsid w:val="003D6D61"/>
    <w:rsid w:val="003E091D"/>
    <w:rsid w:val="003E1C53"/>
    <w:rsid w:val="003E2A69"/>
    <w:rsid w:val="003E2D49"/>
    <w:rsid w:val="003E2FD4"/>
    <w:rsid w:val="003E3A15"/>
    <w:rsid w:val="003E49F6"/>
    <w:rsid w:val="003E660F"/>
    <w:rsid w:val="003E7C04"/>
    <w:rsid w:val="003E7D37"/>
    <w:rsid w:val="003F0841"/>
    <w:rsid w:val="003F0B68"/>
    <w:rsid w:val="003F23D3"/>
    <w:rsid w:val="003F38EB"/>
    <w:rsid w:val="003F3F08"/>
    <w:rsid w:val="003F49F1"/>
    <w:rsid w:val="003F6272"/>
    <w:rsid w:val="003F725B"/>
    <w:rsid w:val="00400116"/>
    <w:rsid w:val="00400E72"/>
    <w:rsid w:val="00401400"/>
    <w:rsid w:val="00401D65"/>
    <w:rsid w:val="00404869"/>
    <w:rsid w:val="00405884"/>
    <w:rsid w:val="00407D39"/>
    <w:rsid w:val="00412D13"/>
    <w:rsid w:val="0041477A"/>
    <w:rsid w:val="004155FB"/>
    <w:rsid w:val="004167A3"/>
    <w:rsid w:val="00424778"/>
    <w:rsid w:val="0043034E"/>
    <w:rsid w:val="0043075D"/>
    <w:rsid w:val="00432DAA"/>
    <w:rsid w:val="00434305"/>
    <w:rsid w:val="00434448"/>
    <w:rsid w:val="00435DF7"/>
    <w:rsid w:val="004364B6"/>
    <w:rsid w:val="0044083F"/>
    <w:rsid w:val="00441AE7"/>
    <w:rsid w:val="00443341"/>
    <w:rsid w:val="00445574"/>
    <w:rsid w:val="004467FB"/>
    <w:rsid w:val="0045174B"/>
    <w:rsid w:val="00451E5E"/>
    <w:rsid w:val="00452D6B"/>
    <w:rsid w:val="00454484"/>
    <w:rsid w:val="004547E3"/>
    <w:rsid w:val="0045517B"/>
    <w:rsid w:val="00463B77"/>
    <w:rsid w:val="00463C7B"/>
    <w:rsid w:val="004644A6"/>
    <w:rsid w:val="004659BD"/>
    <w:rsid w:val="00470775"/>
    <w:rsid w:val="004746B1"/>
    <w:rsid w:val="0047583F"/>
    <w:rsid w:val="00475DE8"/>
    <w:rsid w:val="00476FD9"/>
    <w:rsid w:val="00480BE3"/>
    <w:rsid w:val="00481C44"/>
    <w:rsid w:val="00484936"/>
    <w:rsid w:val="00485C89"/>
    <w:rsid w:val="00486BE3"/>
    <w:rsid w:val="00490141"/>
    <w:rsid w:val="004905E4"/>
    <w:rsid w:val="00490A89"/>
    <w:rsid w:val="00490AB4"/>
    <w:rsid w:val="00492F02"/>
    <w:rsid w:val="004939AE"/>
    <w:rsid w:val="00496F12"/>
    <w:rsid w:val="0049726F"/>
    <w:rsid w:val="00497B49"/>
    <w:rsid w:val="004A0E2B"/>
    <w:rsid w:val="004A12DF"/>
    <w:rsid w:val="004A17E6"/>
    <w:rsid w:val="004A1BA8"/>
    <w:rsid w:val="004A2E6E"/>
    <w:rsid w:val="004A44E5"/>
    <w:rsid w:val="004A4B57"/>
    <w:rsid w:val="004A63FA"/>
    <w:rsid w:val="004A781C"/>
    <w:rsid w:val="004A7D0D"/>
    <w:rsid w:val="004B0272"/>
    <w:rsid w:val="004B2701"/>
    <w:rsid w:val="004B2E1B"/>
    <w:rsid w:val="004B3AA8"/>
    <w:rsid w:val="004B3E93"/>
    <w:rsid w:val="004B597D"/>
    <w:rsid w:val="004C1FBC"/>
    <w:rsid w:val="004C2538"/>
    <w:rsid w:val="004C253E"/>
    <w:rsid w:val="004C3F1D"/>
    <w:rsid w:val="004C458D"/>
    <w:rsid w:val="004C50C7"/>
    <w:rsid w:val="004C7556"/>
    <w:rsid w:val="004C7E8B"/>
    <w:rsid w:val="004C7E9D"/>
    <w:rsid w:val="004C7F67"/>
    <w:rsid w:val="004D076D"/>
    <w:rsid w:val="004D0EF1"/>
    <w:rsid w:val="004D14B9"/>
    <w:rsid w:val="004D2253"/>
    <w:rsid w:val="004D4406"/>
    <w:rsid w:val="004D6B86"/>
    <w:rsid w:val="004D7C42"/>
    <w:rsid w:val="004E0465"/>
    <w:rsid w:val="004E0C4C"/>
    <w:rsid w:val="004E127B"/>
    <w:rsid w:val="004E1C0A"/>
    <w:rsid w:val="004E2B06"/>
    <w:rsid w:val="004E30C5"/>
    <w:rsid w:val="004E4774"/>
    <w:rsid w:val="004E4AA5"/>
    <w:rsid w:val="004E4AEE"/>
    <w:rsid w:val="004E5393"/>
    <w:rsid w:val="004E59E3"/>
    <w:rsid w:val="004E67C0"/>
    <w:rsid w:val="004E7668"/>
    <w:rsid w:val="004F0BA8"/>
    <w:rsid w:val="004F391A"/>
    <w:rsid w:val="004F3CFB"/>
    <w:rsid w:val="004F6456"/>
    <w:rsid w:val="004F696E"/>
    <w:rsid w:val="004F6C71"/>
    <w:rsid w:val="00501139"/>
    <w:rsid w:val="0050363E"/>
    <w:rsid w:val="005039BC"/>
    <w:rsid w:val="005043BB"/>
    <w:rsid w:val="005047DD"/>
    <w:rsid w:val="00504A3D"/>
    <w:rsid w:val="00505767"/>
    <w:rsid w:val="00505BE7"/>
    <w:rsid w:val="005073F0"/>
    <w:rsid w:val="005074D6"/>
    <w:rsid w:val="00510A7B"/>
    <w:rsid w:val="00512F6E"/>
    <w:rsid w:val="00513038"/>
    <w:rsid w:val="00514174"/>
    <w:rsid w:val="00515551"/>
    <w:rsid w:val="00516088"/>
    <w:rsid w:val="005169F1"/>
    <w:rsid w:val="00516B0B"/>
    <w:rsid w:val="005220EC"/>
    <w:rsid w:val="005237C0"/>
    <w:rsid w:val="00523F95"/>
    <w:rsid w:val="00523F98"/>
    <w:rsid w:val="0052459A"/>
    <w:rsid w:val="00524D65"/>
    <w:rsid w:val="00525B16"/>
    <w:rsid w:val="00526042"/>
    <w:rsid w:val="005265E8"/>
    <w:rsid w:val="00526DA4"/>
    <w:rsid w:val="00533D04"/>
    <w:rsid w:val="00534804"/>
    <w:rsid w:val="00534BDF"/>
    <w:rsid w:val="005354EA"/>
    <w:rsid w:val="0053585F"/>
    <w:rsid w:val="00535EC4"/>
    <w:rsid w:val="00535ED9"/>
    <w:rsid w:val="0053692B"/>
    <w:rsid w:val="00541853"/>
    <w:rsid w:val="00543449"/>
    <w:rsid w:val="00543BDA"/>
    <w:rsid w:val="005441CC"/>
    <w:rsid w:val="005479DA"/>
    <w:rsid w:val="00547BCC"/>
    <w:rsid w:val="0055013B"/>
    <w:rsid w:val="005501F3"/>
    <w:rsid w:val="00551F6F"/>
    <w:rsid w:val="00553DDE"/>
    <w:rsid w:val="00555044"/>
    <w:rsid w:val="00557483"/>
    <w:rsid w:val="00561475"/>
    <w:rsid w:val="0056487B"/>
    <w:rsid w:val="00564FB9"/>
    <w:rsid w:val="00573D9E"/>
    <w:rsid w:val="005801E3"/>
    <w:rsid w:val="00581051"/>
    <w:rsid w:val="005810E7"/>
    <w:rsid w:val="00581802"/>
    <w:rsid w:val="005836A8"/>
    <w:rsid w:val="0058409C"/>
    <w:rsid w:val="00584262"/>
    <w:rsid w:val="00586630"/>
    <w:rsid w:val="00587ADD"/>
    <w:rsid w:val="00591E27"/>
    <w:rsid w:val="00596160"/>
    <w:rsid w:val="005966E2"/>
    <w:rsid w:val="00597007"/>
    <w:rsid w:val="005A077A"/>
    <w:rsid w:val="005A0966"/>
    <w:rsid w:val="005A11B7"/>
    <w:rsid w:val="005A260B"/>
    <w:rsid w:val="005A3F5E"/>
    <w:rsid w:val="005A4A1B"/>
    <w:rsid w:val="005A7830"/>
    <w:rsid w:val="005A7FCE"/>
    <w:rsid w:val="005B0F3F"/>
    <w:rsid w:val="005B4903"/>
    <w:rsid w:val="005B51CE"/>
    <w:rsid w:val="005B5885"/>
    <w:rsid w:val="005B5CD7"/>
    <w:rsid w:val="005B6CF6"/>
    <w:rsid w:val="005B7422"/>
    <w:rsid w:val="005B7ECE"/>
    <w:rsid w:val="005C252D"/>
    <w:rsid w:val="005C29B8"/>
    <w:rsid w:val="005C4FEB"/>
    <w:rsid w:val="005C5F21"/>
    <w:rsid w:val="005C7156"/>
    <w:rsid w:val="005D0C5A"/>
    <w:rsid w:val="005D0C75"/>
    <w:rsid w:val="005D4171"/>
    <w:rsid w:val="005D6A95"/>
    <w:rsid w:val="005D6B2C"/>
    <w:rsid w:val="005D6D9C"/>
    <w:rsid w:val="005E1D50"/>
    <w:rsid w:val="005E2335"/>
    <w:rsid w:val="005E34CA"/>
    <w:rsid w:val="005E3C18"/>
    <w:rsid w:val="005E6812"/>
    <w:rsid w:val="005E7881"/>
    <w:rsid w:val="005E78E0"/>
    <w:rsid w:val="005F0D9C"/>
    <w:rsid w:val="005F284E"/>
    <w:rsid w:val="005F2EB9"/>
    <w:rsid w:val="005F4712"/>
    <w:rsid w:val="006015CE"/>
    <w:rsid w:val="00604333"/>
    <w:rsid w:val="00604784"/>
    <w:rsid w:val="00606419"/>
    <w:rsid w:val="00607D29"/>
    <w:rsid w:val="00611940"/>
    <w:rsid w:val="00612952"/>
    <w:rsid w:val="00613DFF"/>
    <w:rsid w:val="006147CB"/>
    <w:rsid w:val="00614CC1"/>
    <w:rsid w:val="00615A9D"/>
    <w:rsid w:val="00617387"/>
    <w:rsid w:val="00620055"/>
    <w:rsid w:val="006205D6"/>
    <w:rsid w:val="006252D8"/>
    <w:rsid w:val="006259BC"/>
    <w:rsid w:val="0062636B"/>
    <w:rsid w:val="00626657"/>
    <w:rsid w:val="0062761F"/>
    <w:rsid w:val="00630CA7"/>
    <w:rsid w:val="00632182"/>
    <w:rsid w:val="00632AE0"/>
    <w:rsid w:val="00633C17"/>
    <w:rsid w:val="00634D9E"/>
    <w:rsid w:val="006351F9"/>
    <w:rsid w:val="0063649B"/>
    <w:rsid w:val="00636E3E"/>
    <w:rsid w:val="006373A4"/>
    <w:rsid w:val="006379F7"/>
    <w:rsid w:val="00637E4D"/>
    <w:rsid w:val="00640620"/>
    <w:rsid w:val="00640DFE"/>
    <w:rsid w:val="0064160B"/>
    <w:rsid w:val="00641A1F"/>
    <w:rsid w:val="00641DD6"/>
    <w:rsid w:val="00644EEC"/>
    <w:rsid w:val="00645904"/>
    <w:rsid w:val="00646845"/>
    <w:rsid w:val="006517A8"/>
    <w:rsid w:val="00651AC5"/>
    <w:rsid w:val="00651ACB"/>
    <w:rsid w:val="00651C47"/>
    <w:rsid w:val="00652AB2"/>
    <w:rsid w:val="00653FED"/>
    <w:rsid w:val="00654EC0"/>
    <w:rsid w:val="0065525B"/>
    <w:rsid w:val="00655D4F"/>
    <w:rsid w:val="00656D29"/>
    <w:rsid w:val="00657BDC"/>
    <w:rsid w:val="00662E58"/>
    <w:rsid w:val="00663D3A"/>
    <w:rsid w:val="006640E5"/>
    <w:rsid w:val="00664502"/>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39FC"/>
    <w:rsid w:val="006940EE"/>
    <w:rsid w:val="00695D22"/>
    <w:rsid w:val="006A07AA"/>
    <w:rsid w:val="006A25E5"/>
    <w:rsid w:val="006A2B46"/>
    <w:rsid w:val="006A336D"/>
    <w:rsid w:val="006A37B9"/>
    <w:rsid w:val="006A6069"/>
    <w:rsid w:val="006B2286"/>
    <w:rsid w:val="006B2672"/>
    <w:rsid w:val="006B26E4"/>
    <w:rsid w:val="006B54BF"/>
    <w:rsid w:val="006B5F44"/>
    <w:rsid w:val="006B5F90"/>
    <w:rsid w:val="006B6079"/>
    <w:rsid w:val="006B62E4"/>
    <w:rsid w:val="006B6B8C"/>
    <w:rsid w:val="006C1BBA"/>
    <w:rsid w:val="006C2079"/>
    <w:rsid w:val="006C46E2"/>
    <w:rsid w:val="006C5A62"/>
    <w:rsid w:val="006C5D68"/>
    <w:rsid w:val="006C65AD"/>
    <w:rsid w:val="006C6976"/>
    <w:rsid w:val="006C6DD0"/>
    <w:rsid w:val="006D04EA"/>
    <w:rsid w:val="006D16C4"/>
    <w:rsid w:val="006D3E96"/>
    <w:rsid w:val="006D4515"/>
    <w:rsid w:val="006D4BB1"/>
    <w:rsid w:val="006D6593"/>
    <w:rsid w:val="006E23EA"/>
    <w:rsid w:val="006E5298"/>
    <w:rsid w:val="006F03A8"/>
    <w:rsid w:val="006F2ACA"/>
    <w:rsid w:val="006F2ADC"/>
    <w:rsid w:val="006F2BFE"/>
    <w:rsid w:val="006F31E9"/>
    <w:rsid w:val="006F3D6B"/>
    <w:rsid w:val="006F60BD"/>
    <w:rsid w:val="006F6284"/>
    <w:rsid w:val="007002C5"/>
    <w:rsid w:val="00704387"/>
    <w:rsid w:val="00707669"/>
    <w:rsid w:val="00711CBA"/>
    <w:rsid w:val="00711FB5"/>
    <w:rsid w:val="00712A01"/>
    <w:rsid w:val="00714F58"/>
    <w:rsid w:val="007163B4"/>
    <w:rsid w:val="00720BA9"/>
    <w:rsid w:val="00722FBF"/>
    <w:rsid w:val="00722FC2"/>
    <w:rsid w:val="00724879"/>
    <w:rsid w:val="00724DA5"/>
    <w:rsid w:val="00724E1B"/>
    <w:rsid w:val="007251AF"/>
    <w:rsid w:val="00725949"/>
    <w:rsid w:val="00725A79"/>
    <w:rsid w:val="00727FA2"/>
    <w:rsid w:val="00731416"/>
    <w:rsid w:val="007322D9"/>
    <w:rsid w:val="00732A7D"/>
    <w:rsid w:val="00732BC0"/>
    <w:rsid w:val="0073720F"/>
    <w:rsid w:val="00737796"/>
    <w:rsid w:val="0074165C"/>
    <w:rsid w:val="00742C35"/>
    <w:rsid w:val="00742D60"/>
    <w:rsid w:val="007432CA"/>
    <w:rsid w:val="007439EB"/>
    <w:rsid w:val="00743CB4"/>
    <w:rsid w:val="00743F0A"/>
    <w:rsid w:val="007444E8"/>
    <w:rsid w:val="0074548E"/>
    <w:rsid w:val="00745773"/>
    <w:rsid w:val="0074623B"/>
    <w:rsid w:val="0074630E"/>
    <w:rsid w:val="00746800"/>
    <w:rsid w:val="007501A8"/>
    <w:rsid w:val="00750D61"/>
    <w:rsid w:val="00750EE1"/>
    <w:rsid w:val="00751033"/>
    <w:rsid w:val="00752B4D"/>
    <w:rsid w:val="00754920"/>
    <w:rsid w:val="00755402"/>
    <w:rsid w:val="00756B26"/>
    <w:rsid w:val="00756EDF"/>
    <w:rsid w:val="007600E3"/>
    <w:rsid w:val="00764226"/>
    <w:rsid w:val="00765C43"/>
    <w:rsid w:val="00765EFB"/>
    <w:rsid w:val="007671CA"/>
    <w:rsid w:val="00767C61"/>
    <w:rsid w:val="0077008A"/>
    <w:rsid w:val="007707E1"/>
    <w:rsid w:val="00773C1F"/>
    <w:rsid w:val="00774DA4"/>
    <w:rsid w:val="00775A90"/>
    <w:rsid w:val="00775E3C"/>
    <w:rsid w:val="00776599"/>
    <w:rsid w:val="0078114B"/>
    <w:rsid w:val="00781DD2"/>
    <w:rsid w:val="00783ECF"/>
    <w:rsid w:val="0078413A"/>
    <w:rsid w:val="00795602"/>
    <w:rsid w:val="007959E8"/>
    <w:rsid w:val="00795E9C"/>
    <w:rsid w:val="007A0521"/>
    <w:rsid w:val="007A134F"/>
    <w:rsid w:val="007A2E12"/>
    <w:rsid w:val="007A3475"/>
    <w:rsid w:val="007A41C8"/>
    <w:rsid w:val="007A54CE"/>
    <w:rsid w:val="007A6FD9"/>
    <w:rsid w:val="007A7FFA"/>
    <w:rsid w:val="007B04EB"/>
    <w:rsid w:val="007B0D4F"/>
    <w:rsid w:val="007B5A3D"/>
    <w:rsid w:val="007B5B95"/>
    <w:rsid w:val="007B68EA"/>
    <w:rsid w:val="007B7453"/>
    <w:rsid w:val="007C0D38"/>
    <w:rsid w:val="007C183D"/>
    <w:rsid w:val="007C1E3F"/>
    <w:rsid w:val="007C1E8B"/>
    <w:rsid w:val="007C2D89"/>
    <w:rsid w:val="007C4593"/>
    <w:rsid w:val="007C5309"/>
    <w:rsid w:val="007C6069"/>
    <w:rsid w:val="007D06C4"/>
    <w:rsid w:val="007D1352"/>
    <w:rsid w:val="007D2508"/>
    <w:rsid w:val="007D346A"/>
    <w:rsid w:val="007D58A4"/>
    <w:rsid w:val="007D6518"/>
    <w:rsid w:val="007D76BD"/>
    <w:rsid w:val="007E0BF1"/>
    <w:rsid w:val="007E5960"/>
    <w:rsid w:val="007E5A3C"/>
    <w:rsid w:val="007F0ED8"/>
    <w:rsid w:val="007F0F63"/>
    <w:rsid w:val="007F1BBF"/>
    <w:rsid w:val="007F341D"/>
    <w:rsid w:val="007F75CE"/>
    <w:rsid w:val="00800564"/>
    <w:rsid w:val="00801169"/>
    <w:rsid w:val="008013A4"/>
    <w:rsid w:val="0080148F"/>
    <w:rsid w:val="0080164E"/>
    <w:rsid w:val="008027CE"/>
    <w:rsid w:val="00802F42"/>
    <w:rsid w:val="00804383"/>
    <w:rsid w:val="00804BB7"/>
    <w:rsid w:val="00804D41"/>
    <w:rsid w:val="00805080"/>
    <w:rsid w:val="00810257"/>
    <w:rsid w:val="008104F5"/>
    <w:rsid w:val="00811072"/>
    <w:rsid w:val="00811369"/>
    <w:rsid w:val="008132B3"/>
    <w:rsid w:val="00815419"/>
    <w:rsid w:val="00815EA1"/>
    <w:rsid w:val="008163C8"/>
    <w:rsid w:val="008164A1"/>
    <w:rsid w:val="00816705"/>
    <w:rsid w:val="00817325"/>
    <w:rsid w:val="00820721"/>
    <w:rsid w:val="008209E6"/>
    <w:rsid w:val="00822F7F"/>
    <w:rsid w:val="00823303"/>
    <w:rsid w:val="008233B2"/>
    <w:rsid w:val="00823A9F"/>
    <w:rsid w:val="00823C85"/>
    <w:rsid w:val="0082456C"/>
    <w:rsid w:val="00825138"/>
    <w:rsid w:val="008269DD"/>
    <w:rsid w:val="00826F1D"/>
    <w:rsid w:val="00830621"/>
    <w:rsid w:val="00830E35"/>
    <w:rsid w:val="0083348C"/>
    <w:rsid w:val="00833C2D"/>
    <w:rsid w:val="008373D3"/>
    <w:rsid w:val="00837441"/>
    <w:rsid w:val="00837D87"/>
    <w:rsid w:val="00840617"/>
    <w:rsid w:val="00840F84"/>
    <w:rsid w:val="00841BA4"/>
    <w:rsid w:val="00842A14"/>
    <w:rsid w:val="00842A47"/>
    <w:rsid w:val="00843C13"/>
    <w:rsid w:val="00844729"/>
    <w:rsid w:val="008454F8"/>
    <w:rsid w:val="00845BC2"/>
    <w:rsid w:val="00846E0F"/>
    <w:rsid w:val="008472A8"/>
    <w:rsid w:val="008479BA"/>
    <w:rsid w:val="0085010A"/>
    <w:rsid w:val="0085173A"/>
    <w:rsid w:val="0085260F"/>
    <w:rsid w:val="00855AED"/>
    <w:rsid w:val="00856316"/>
    <w:rsid w:val="00857BD0"/>
    <w:rsid w:val="008603CE"/>
    <w:rsid w:val="008620FC"/>
    <w:rsid w:val="008627A5"/>
    <w:rsid w:val="00863E05"/>
    <w:rsid w:val="00865ACA"/>
    <w:rsid w:val="00865D28"/>
    <w:rsid w:val="00865F85"/>
    <w:rsid w:val="00867C10"/>
    <w:rsid w:val="00870439"/>
    <w:rsid w:val="0087084D"/>
    <w:rsid w:val="00870DA1"/>
    <w:rsid w:val="00871FFD"/>
    <w:rsid w:val="008823B5"/>
    <w:rsid w:val="008824F9"/>
    <w:rsid w:val="0088392C"/>
    <w:rsid w:val="00883F93"/>
    <w:rsid w:val="00884DB3"/>
    <w:rsid w:val="008857CF"/>
    <w:rsid w:val="00885A9D"/>
    <w:rsid w:val="008864F6"/>
    <w:rsid w:val="008865B8"/>
    <w:rsid w:val="00886612"/>
    <w:rsid w:val="0089049D"/>
    <w:rsid w:val="008928C9"/>
    <w:rsid w:val="008930CB"/>
    <w:rsid w:val="008938DC"/>
    <w:rsid w:val="00893FD1"/>
    <w:rsid w:val="00894836"/>
    <w:rsid w:val="00895172"/>
    <w:rsid w:val="00895680"/>
    <w:rsid w:val="00896DFF"/>
    <w:rsid w:val="0089762C"/>
    <w:rsid w:val="008A1893"/>
    <w:rsid w:val="008A2C76"/>
    <w:rsid w:val="008A3215"/>
    <w:rsid w:val="008A441D"/>
    <w:rsid w:val="008A57E6"/>
    <w:rsid w:val="008A6F81"/>
    <w:rsid w:val="008A769A"/>
    <w:rsid w:val="008A76A7"/>
    <w:rsid w:val="008B0965"/>
    <w:rsid w:val="008B0C9C"/>
    <w:rsid w:val="008B166D"/>
    <w:rsid w:val="008B17F4"/>
    <w:rsid w:val="008B3615"/>
    <w:rsid w:val="008B4590"/>
    <w:rsid w:val="008B4AC4"/>
    <w:rsid w:val="008B50C8"/>
    <w:rsid w:val="008B5281"/>
    <w:rsid w:val="008B77CD"/>
    <w:rsid w:val="008B7E05"/>
    <w:rsid w:val="008C1797"/>
    <w:rsid w:val="008C219C"/>
    <w:rsid w:val="008C475E"/>
    <w:rsid w:val="008C585E"/>
    <w:rsid w:val="008C5FE7"/>
    <w:rsid w:val="008C619A"/>
    <w:rsid w:val="008C761A"/>
    <w:rsid w:val="008D0CE8"/>
    <w:rsid w:val="008D2022"/>
    <w:rsid w:val="008D2D1D"/>
    <w:rsid w:val="008D3FFC"/>
    <w:rsid w:val="008D453D"/>
    <w:rsid w:val="008D53AD"/>
    <w:rsid w:val="008D562B"/>
    <w:rsid w:val="008D5733"/>
    <w:rsid w:val="008D622B"/>
    <w:rsid w:val="008D666C"/>
    <w:rsid w:val="008D7B54"/>
    <w:rsid w:val="008E0C9D"/>
    <w:rsid w:val="008E12B9"/>
    <w:rsid w:val="008E1648"/>
    <w:rsid w:val="008E1B3E"/>
    <w:rsid w:val="008E2319"/>
    <w:rsid w:val="008E4BB6"/>
    <w:rsid w:val="008E5518"/>
    <w:rsid w:val="008E6022"/>
    <w:rsid w:val="008E6A84"/>
    <w:rsid w:val="008E76BD"/>
    <w:rsid w:val="008E7D41"/>
    <w:rsid w:val="008F0CDC"/>
    <w:rsid w:val="008F17A3"/>
    <w:rsid w:val="008F1ED3"/>
    <w:rsid w:val="008F23A5"/>
    <w:rsid w:val="008F28B7"/>
    <w:rsid w:val="008F3D21"/>
    <w:rsid w:val="008F4C29"/>
    <w:rsid w:val="008F5263"/>
    <w:rsid w:val="008F5347"/>
    <w:rsid w:val="008F70BD"/>
    <w:rsid w:val="008F788F"/>
    <w:rsid w:val="008F7EA2"/>
    <w:rsid w:val="0090056F"/>
    <w:rsid w:val="00902722"/>
    <w:rsid w:val="009027BC"/>
    <w:rsid w:val="009062E6"/>
    <w:rsid w:val="00906DA0"/>
    <w:rsid w:val="00911786"/>
    <w:rsid w:val="00911BE5"/>
    <w:rsid w:val="00913CA9"/>
    <w:rsid w:val="009145AE"/>
    <w:rsid w:val="009146CE"/>
    <w:rsid w:val="00914CA7"/>
    <w:rsid w:val="00915C3E"/>
    <w:rsid w:val="009161A8"/>
    <w:rsid w:val="00922248"/>
    <w:rsid w:val="009245F5"/>
    <w:rsid w:val="009249EC"/>
    <w:rsid w:val="009273B3"/>
    <w:rsid w:val="00927F59"/>
    <w:rsid w:val="009305B5"/>
    <w:rsid w:val="00941C03"/>
    <w:rsid w:val="009429D5"/>
    <w:rsid w:val="00942BF1"/>
    <w:rsid w:val="009443E1"/>
    <w:rsid w:val="00945180"/>
    <w:rsid w:val="00945428"/>
    <w:rsid w:val="0094607B"/>
    <w:rsid w:val="00947A0E"/>
    <w:rsid w:val="009518C4"/>
    <w:rsid w:val="00952CBA"/>
    <w:rsid w:val="00953604"/>
    <w:rsid w:val="00954750"/>
    <w:rsid w:val="0095496B"/>
    <w:rsid w:val="009608B0"/>
    <w:rsid w:val="009610DC"/>
    <w:rsid w:val="00961490"/>
    <w:rsid w:val="00961B77"/>
    <w:rsid w:val="0096381A"/>
    <w:rsid w:val="00963E75"/>
    <w:rsid w:val="00965E04"/>
    <w:rsid w:val="009674AD"/>
    <w:rsid w:val="00970CDC"/>
    <w:rsid w:val="009724CD"/>
    <w:rsid w:val="00977010"/>
    <w:rsid w:val="00977D02"/>
    <w:rsid w:val="009809BB"/>
    <w:rsid w:val="0098364B"/>
    <w:rsid w:val="0098395A"/>
    <w:rsid w:val="0098431C"/>
    <w:rsid w:val="009850E0"/>
    <w:rsid w:val="00985AEB"/>
    <w:rsid w:val="009868E4"/>
    <w:rsid w:val="00986C42"/>
    <w:rsid w:val="009911AF"/>
    <w:rsid w:val="00991875"/>
    <w:rsid w:val="00991F92"/>
    <w:rsid w:val="00992985"/>
    <w:rsid w:val="00993889"/>
    <w:rsid w:val="0099551B"/>
    <w:rsid w:val="00997BF1"/>
    <w:rsid w:val="009A089C"/>
    <w:rsid w:val="009A118E"/>
    <w:rsid w:val="009A21CD"/>
    <w:rsid w:val="009A278C"/>
    <w:rsid w:val="009A2BC2"/>
    <w:rsid w:val="009A42C1"/>
    <w:rsid w:val="009A4CA5"/>
    <w:rsid w:val="009A5429"/>
    <w:rsid w:val="009A72AD"/>
    <w:rsid w:val="009B09E0"/>
    <w:rsid w:val="009B0BC5"/>
    <w:rsid w:val="009B1247"/>
    <w:rsid w:val="009B6029"/>
    <w:rsid w:val="009B683D"/>
    <w:rsid w:val="009B6971"/>
    <w:rsid w:val="009B6DA7"/>
    <w:rsid w:val="009C1E4F"/>
    <w:rsid w:val="009C27F1"/>
    <w:rsid w:val="009C3152"/>
    <w:rsid w:val="009C423A"/>
    <w:rsid w:val="009C4B6C"/>
    <w:rsid w:val="009C4CFA"/>
    <w:rsid w:val="009C5070"/>
    <w:rsid w:val="009C7216"/>
    <w:rsid w:val="009D112C"/>
    <w:rsid w:val="009D47FA"/>
    <w:rsid w:val="009D4C5B"/>
    <w:rsid w:val="009D50D2"/>
    <w:rsid w:val="009D5F9E"/>
    <w:rsid w:val="009D6BCA"/>
    <w:rsid w:val="009E0CBE"/>
    <w:rsid w:val="009E0F62"/>
    <w:rsid w:val="009E4A58"/>
    <w:rsid w:val="009E5A2D"/>
    <w:rsid w:val="009E5AB2"/>
    <w:rsid w:val="009E5FE4"/>
    <w:rsid w:val="009E6219"/>
    <w:rsid w:val="009E65DD"/>
    <w:rsid w:val="009F03B3"/>
    <w:rsid w:val="009F0BD9"/>
    <w:rsid w:val="009F2EDA"/>
    <w:rsid w:val="009F5D72"/>
    <w:rsid w:val="009F75D2"/>
    <w:rsid w:val="009F79F9"/>
    <w:rsid w:val="00A008AA"/>
    <w:rsid w:val="00A0096C"/>
    <w:rsid w:val="00A01757"/>
    <w:rsid w:val="00A01994"/>
    <w:rsid w:val="00A01C85"/>
    <w:rsid w:val="00A028C0"/>
    <w:rsid w:val="00A02BAE"/>
    <w:rsid w:val="00A033EB"/>
    <w:rsid w:val="00A06A6B"/>
    <w:rsid w:val="00A07E47"/>
    <w:rsid w:val="00A10335"/>
    <w:rsid w:val="00A1273E"/>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715"/>
    <w:rsid w:val="00A41C79"/>
    <w:rsid w:val="00A41CB5"/>
    <w:rsid w:val="00A42CDF"/>
    <w:rsid w:val="00A4452E"/>
    <w:rsid w:val="00A4472C"/>
    <w:rsid w:val="00A44E69"/>
    <w:rsid w:val="00A4661E"/>
    <w:rsid w:val="00A50F88"/>
    <w:rsid w:val="00A54F79"/>
    <w:rsid w:val="00A55BD6"/>
    <w:rsid w:val="00A55D50"/>
    <w:rsid w:val="00A57142"/>
    <w:rsid w:val="00A648CD"/>
    <w:rsid w:val="00A6537A"/>
    <w:rsid w:val="00A67866"/>
    <w:rsid w:val="00A70B07"/>
    <w:rsid w:val="00A723F8"/>
    <w:rsid w:val="00A75673"/>
    <w:rsid w:val="00A77CCB"/>
    <w:rsid w:val="00A80DAD"/>
    <w:rsid w:val="00A81593"/>
    <w:rsid w:val="00A81E2B"/>
    <w:rsid w:val="00A83D8D"/>
    <w:rsid w:val="00A8446B"/>
    <w:rsid w:val="00A8473F"/>
    <w:rsid w:val="00A862D6"/>
    <w:rsid w:val="00A8715E"/>
    <w:rsid w:val="00A9186B"/>
    <w:rsid w:val="00A9295B"/>
    <w:rsid w:val="00A93067"/>
    <w:rsid w:val="00A93756"/>
    <w:rsid w:val="00A93B09"/>
    <w:rsid w:val="00A94247"/>
    <w:rsid w:val="00A94256"/>
    <w:rsid w:val="00A952D7"/>
    <w:rsid w:val="00A963F7"/>
    <w:rsid w:val="00A96AD8"/>
    <w:rsid w:val="00AA052C"/>
    <w:rsid w:val="00AA08AC"/>
    <w:rsid w:val="00AA1E45"/>
    <w:rsid w:val="00AA4286"/>
    <w:rsid w:val="00AA456B"/>
    <w:rsid w:val="00AA57F5"/>
    <w:rsid w:val="00AA672E"/>
    <w:rsid w:val="00AA6EC9"/>
    <w:rsid w:val="00AB1F9E"/>
    <w:rsid w:val="00AB41D5"/>
    <w:rsid w:val="00AB6309"/>
    <w:rsid w:val="00AB6C5F"/>
    <w:rsid w:val="00AB7129"/>
    <w:rsid w:val="00AC27A6"/>
    <w:rsid w:val="00AC30F7"/>
    <w:rsid w:val="00AC3A5A"/>
    <w:rsid w:val="00AC4D95"/>
    <w:rsid w:val="00AC4FB4"/>
    <w:rsid w:val="00AC5DF4"/>
    <w:rsid w:val="00AC6D7E"/>
    <w:rsid w:val="00AD0AEF"/>
    <w:rsid w:val="00AD11B7"/>
    <w:rsid w:val="00AD1A94"/>
    <w:rsid w:val="00AD1C05"/>
    <w:rsid w:val="00AD4126"/>
    <w:rsid w:val="00AD421C"/>
    <w:rsid w:val="00AD44FA"/>
    <w:rsid w:val="00AD57FF"/>
    <w:rsid w:val="00AD6C92"/>
    <w:rsid w:val="00AE0551"/>
    <w:rsid w:val="00AE070A"/>
    <w:rsid w:val="00AE101C"/>
    <w:rsid w:val="00AE37E5"/>
    <w:rsid w:val="00AE5EB4"/>
    <w:rsid w:val="00AE6BC8"/>
    <w:rsid w:val="00AF0C18"/>
    <w:rsid w:val="00AF47C5"/>
    <w:rsid w:val="00AF5398"/>
    <w:rsid w:val="00B049AF"/>
    <w:rsid w:val="00B07242"/>
    <w:rsid w:val="00B10534"/>
    <w:rsid w:val="00B113DB"/>
    <w:rsid w:val="00B11D8A"/>
    <w:rsid w:val="00B12981"/>
    <w:rsid w:val="00B147DD"/>
    <w:rsid w:val="00B156FD"/>
    <w:rsid w:val="00B15D86"/>
    <w:rsid w:val="00B1609C"/>
    <w:rsid w:val="00B21F61"/>
    <w:rsid w:val="00B25FE6"/>
    <w:rsid w:val="00B261F1"/>
    <w:rsid w:val="00B265BC"/>
    <w:rsid w:val="00B31FB1"/>
    <w:rsid w:val="00B3268B"/>
    <w:rsid w:val="00B33952"/>
    <w:rsid w:val="00B33C5E"/>
    <w:rsid w:val="00B342F4"/>
    <w:rsid w:val="00B34369"/>
    <w:rsid w:val="00B34DC2"/>
    <w:rsid w:val="00B36802"/>
    <w:rsid w:val="00B3756E"/>
    <w:rsid w:val="00B378E5"/>
    <w:rsid w:val="00B37D4C"/>
    <w:rsid w:val="00B41A71"/>
    <w:rsid w:val="00B421AC"/>
    <w:rsid w:val="00B4346D"/>
    <w:rsid w:val="00B440F4"/>
    <w:rsid w:val="00B447A5"/>
    <w:rsid w:val="00B4654C"/>
    <w:rsid w:val="00B47293"/>
    <w:rsid w:val="00B50E50"/>
    <w:rsid w:val="00B52120"/>
    <w:rsid w:val="00B5258B"/>
    <w:rsid w:val="00B53610"/>
    <w:rsid w:val="00B54ABC"/>
    <w:rsid w:val="00B54DDE"/>
    <w:rsid w:val="00B558E4"/>
    <w:rsid w:val="00B56116"/>
    <w:rsid w:val="00B56FBE"/>
    <w:rsid w:val="00B60ACF"/>
    <w:rsid w:val="00B61BFD"/>
    <w:rsid w:val="00B62B58"/>
    <w:rsid w:val="00B65149"/>
    <w:rsid w:val="00B66567"/>
    <w:rsid w:val="00B66F52"/>
    <w:rsid w:val="00B66FE5"/>
    <w:rsid w:val="00B67B39"/>
    <w:rsid w:val="00B721F2"/>
    <w:rsid w:val="00B72880"/>
    <w:rsid w:val="00B74FFB"/>
    <w:rsid w:val="00B758BF"/>
    <w:rsid w:val="00B77EC8"/>
    <w:rsid w:val="00B77FEF"/>
    <w:rsid w:val="00B801B1"/>
    <w:rsid w:val="00B804AE"/>
    <w:rsid w:val="00B827A6"/>
    <w:rsid w:val="00B831CE"/>
    <w:rsid w:val="00B85C75"/>
    <w:rsid w:val="00B86677"/>
    <w:rsid w:val="00B87131"/>
    <w:rsid w:val="00B871D0"/>
    <w:rsid w:val="00B92A34"/>
    <w:rsid w:val="00B939B1"/>
    <w:rsid w:val="00B952AB"/>
    <w:rsid w:val="00B9625B"/>
    <w:rsid w:val="00B968C5"/>
    <w:rsid w:val="00B96D40"/>
    <w:rsid w:val="00B97386"/>
    <w:rsid w:val="00BA129B"/>
    <w:rsid w:val="00BA263B"/>
    <w:rsid w:val="00BA2EAD"/>
    <w:rsid w:val="00BA42B2"/>
    <w:rsid w:val="00BA58D4"/>
    <w:rsid w:val="00BA5B9E"/>
    <w:rsid w:val="00BA7C9A"/>
    <w:rsid w:val="00BB2BB9"/>
    <w:rsid w:val="00BB506A"/>
    <w:rsid w:val="00BB5F8F"/>
    <w:rsid w:val="00BB64B8"/>
    <w:rsid w:val="00BB657A"/>
    <w:rsid w:val="00BC1A4E"/>
    <w:rsid w:val="00BC5DC7"/>
    <w:rsid w:val="00BC6B8B"/>
    <w:rsid w:val="00BC73D8"/>
    <w:rsid w:val="00BD1E7F"/>
    <w:rsid w:val="00BD46DE"/>
    <w:rsid w:val="00BD52D7"/>
    <w:rsid w:val="00BD5AD2"/>
    <w:rsid w:val="00BD75C9"/>
    <w:rsid w:val="00BE0702"/>
    <w:rsid w:val="00BE22F3"/>
    <w:rsid w:val="00BE5B52"/>
    <w:rsid w:val="00BE5CF2"/>
    <w:rsid w:val="00BE7B8D"/>
    <w:rsid w:val="00BF0993"/>
    <w:rsid w:val="00BF10A9"/>
    <w:rsid w:val="00BF1703"/>
    <w:rsid w:val="00BF231C"/>
    <w:rsid w:val="00BF51E5"/>
    <w:rsid w:val="00BF74A6"/>
    <w:rsid w:val="00C00ABE"/>
    <w:rsid w:val="00C013AD"/>
    <w:rsid w:val="00C04904"/>
    <w:rsid w:val="00C056B3"/>
    <w:rsid w:val="00C103E5"/>
    <w:rsid w:val="00C13319"/>
    <w:rsid w:val="00C13EE9"/>
    <w:rsid w:val="00C1415F"/>
    <w:rsid w:val="00C16E4D"/>
    <w:rsid w:val="00C21540"/>
    <w:rsid w:val="00C21906"/>
    <w:rsid w:val="00C21BFA"/>
    <w:rsid w:val="00C22148"/>
    <w:rsid w:val="00C24C8D"/>
    <w:rsid w:val="00C25FE2"/>
    <w:rsid w:val="00C26B53"/>
    <w:rsid w:val="00C279B2"/>
    <w:rsid w:val="00C33E50"/>
    <w:rsid w:val="00C34C20"/>
    <w:rsid w:val="00C35A3E"/>
    <w:rsid w:val="00C4049D"/>
    <w:rsid w:val="00C42130"/>
    <w:rsid w:val="00C423A4"/>
    <w:rsid w:val="00C44BF5"/>
    <w:rsid w:val="00C452A2"/>
    <w:rsid w:val="00C521D6"/>
    <w:rsid w:val="00C53CE2"/>
    <w:rsid w:val="00C55232"/>
    <w:rsid w:val="00C553A4"/>
    <w:rsid w:val="00C55A06"/>
    <w:rsid w:val="00C55D03"/>
    <w:rsid w:val="00C601BC"/>
    <w:rsid w:val="00C6329F"/>
    <w:rsid w:val="00C63340"/>
    <w:rsid w:val="00C642C0"/>
    <w:rsid w:val="00C643F9"/>
    <w:rsid w:val="00C64E95"/>
    <w:rsid w:val="00C660A3"/>
    <w:rsid w:val="00C71372"/>
    <w:rsid w:val="00C72410"/>
    <w:rsid w:val="00C7287F"/>
    <w:rsid w:val="00C80CB8"/>
    <w:rsid w:val="00C819F8"/>
    <w:rsid w:val="00C8248C"/>
    <w:rsid w:val="00C84E33"/>
    <w:rsid w:val="00C86D6F"/>
    <w:rsid w:val="00C905FC"/>
    <w:rsid w:val="00C92D03"/>
    <w:rsid w:val="00C9319C"/>
    <w:rsid w:val="00C9435D"/>
    <w:rsid w:val="00C9496C"/>
    <w:rsid w:val="00C94A4D"/>
    <w:rsid w:val="00C94DF2"/>
    <w:rsid w:val="00C96741"/>
    <w:rsid w:val="00C96B3E"/>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3EF"/>
    <w:rsid w:val="00CC5DE6"/>
    <w:rsid w:val="00CC6E4E"/>
    <w:rsid w:val="00CC6FE8"/>
    <w:rsid w:val="00CC7202"/>
    <w:rsid w:val="00CD2808"/>
    <w:rsid w:val="00CD28BF"/>
    <w:rsid w:val="00CD4092"/>
    <w:rsid w:val="00CD4A20"/>
    <w:rsid w:val="00CD50A1"/>
    <w:rsid w:val="00CD519E"/>
    <w:rsid w:val="00CD6F73"/>
    <w:rsid w:val="00CE0C1C"/>
    <w:rsid w:val="00CE0C4F"/>
    <w:rsid w:val="00CE30EA"/>
    <w:rsid w:val="00CF048A"/>
    <w:rsid w:val="00CF155A"/>
    <w:rsid w:val="00CF2947"/>
    <w:rsid w:val="00CF5308"/>
    <w:rsid w:val="00CF686F"/>
    <w:rsid w:val="00CF6E60"/>
    <w:rsid w:val="00CF6FEC"/>
    <w:rsid w:val="00CF7BCA"/>
    <w:rsid w:val="00D008FD"/>
    <w:rsid w:val="00D0191B"/>
    <w:rsid w:val="00D02E17"/>
    <w:rsid w:val="00D0321C"/>
    <w:rsid w:val="00D035EC"/>
    <w:rsid w:val="00D04AC5"/>
    <w:rsid w:val="00D06AB1"/>
    <w:rsid w:val="00D072ED"/>
    <w:rsid w:val="00D07A16"/>
    <w:rsid w:val="00D1067E"/>
    <w:rsid w:val="00D10F50"/>
    <w:rsid w:val="00D11272"/>
    <w:rsid w:val="00D12071"/>
    <w:rsid w:val="00D126F5"/>
    <w:rsid w:val="00D1273D"/>
    <w:rsid w:val="00D1489E"/>
    <w:rsid w:val="00D20737"/>
    <w:rsid w:val="00D21E81"/>
    <w:rsid w:val="00D223DE"/>
    <w:rsid w:val="00D23979"/>
    <w:rsid w:val="00D24EE2"/>
    <w:rsid w:val="00D25E37"/>
    <w:rsid w:val="00D2661A"/>
    <w:rsid w:val="00D27582"/>
    <w:rsid w:val="00D27EC4"/>
    <w:rsid w:val="00D32719"/>
    <w:rsid w:val="00D33333"/>
    <w:rsid w:val="00D33457"/>
    <w:rsid w:val="00D352A2"/>
    <w:rsid w:val="00D4162B"/>
    <w:rsid w:val="00D4514F"/>
    <w:rsid w:val="00D451E2"/>
    <w:rsid w:val="00D45E89"/>
    <w:rsid w:val="00D45E8D"/>
    <w:rsid w:val="00D466AE"/>
    <w:rsid w:val="00D4734F"/>
    <w:rsid w:val="00D5011D"/>
    <w:rsid w:val="00D51BF3"/>
    <w:rsid w:val="00D66846"/>
    <w:rsid w:val="00D675FB"/>
    <w:rsid w:val="00D71F25"/>
    <w:rsid w:val="00D72A9C"/>
    <w:rsid w:val="00D757C9"/>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6441"/>
    <w:rsid w:val="00DA64F8"/>
    <w:rsid w:val="00DA6C15"/>
    <w:rsid w:val="00DB0258"/>
    <w:rsid w:val="00DB07C0"/>
    <w:rsid w:val="00DB38EE"/>
    <w:rsid w:val="00DB3D78"/>
    <w:rsid w:val="00DB3F8E"/>
    <w:rsid w:val="00DB498B"/>
    <w:rsid w:val="00DB66CA"/>
    <w:rsid w:val="00DB6BCA"/>
    <w:rsid w:val="00DB73F7"/>
    <w:rsid w:val="00DB7D07"/>
    <w:rsid w:val="00DC0321"/>
    <w:rsid w:val="00DC3067"/>
    <w:rsid w:val="00DC370B"/>
    <w:rsid w:val="00DC5B90"/>
    <w:rsid w:val="00DC6650"/>
    <w:rsid w:val="00DD00FF"/>
    <w:rsid w:val="00DD0619"/>
    <w:rsid w:val="00DD07FB"/>
    <w:rsid w:val="00DD25C6"/>
    <w:rsid w:val="00DD4FE5"/>
    <w:rsid w:val="00DD54B0"/>
    <w:rsid w:val="00DD57EE"/>
    <w:rsid w:val="00DD669A"/>
    <w:rsid w:val="00DD6BCC"/>
    <w:rsid w:val="00DE0A4B"/>
    <w:rsid w:val="00DE2410"/>
    <w:rsid w:val="00DE2939"/>
    <w:rsid w:val="00DE3C47"/>
    <w:rsid w:val="00DE52FD"/>
    <w:rsid w:val="00DE6E81"/>
    <w:rsid w:val="00DE703F"/>
    <w:rsid w:val="00DE7595"/>
    <w:rsid w:val="00DF1961"/>
    <w:rsid w:val="00DF1BE9"/>
    <w:rsid w:val="00DF44DE"/>
    <w:rsid w:val="00DF5F11"/>
    <w:rsid w:val="00E01138"/>
    <w:rsid w:val="00E02A10"/>
    <w:rsid w:val="00E02DFB"/>
    <w:rsid w:val="00E03087"/>
    <w:rsid w:val="00E030F9"/>
    <w:rsid w:val="00E0311A"/>
    <w:rsid w:val="00E03138"/>
    <w:rsid w:val="00E06325"/>
    <w:rsid w:val="00E06404"/>
    <w:rsid w:val="00E116AD"/>
    <w:rsid w:val="00E11A85"/>
    <w:rsid w:val="00E12495"/>
    <w:rsid w:val="00E15CCD"/>
    <w:rsid w:val="00E1611C"/>
    <w:rsid w:val="00E202EF"/>
    <w:rsid w:val="00E210B5"/>
    <w:rsid w:val="00E2263E"/>
    <w:rsid w:val="00E23D99"/>
    <w:rsid w:val="00E2552F"/>
    <w:rsid w:val="00E3137A"/>
    <w:rsid w:val="00E32CCF"/>
    <w:rsid w:val="00E34A98"/>
    <w:rsid w:val="00E34CD2"/>
    <w:rsid w:val="00E35D1E"/>
    <w:rsid w:val="00E364F9"/>
    <w:rsid w:val="00E365FA"/>
    <w:rsid w:val="00E36789"/>
    <w:rsid w:val="00E438A1"/>
    <w:rsid w:val="00E44A83"/>
    <w:rsid w:val="00E47B36"/>
    <w:rsid w:val="00E502C1"/>
    <w:rsid w:val="00E502DD"/>
    <w:rsid w:val="00E50D3A"/>
    <w:rsid w:val="00E51387"/>
    <w:rsid w:val="00E51E68"/>
    <w:rsid w:val="00E5285B"/>
    <w:rsid w:val="00E52EFD"/>
    <w:rsid w:val="00E5408A"/>
    <w:rsid w:val="00E56800"/>
    <w:rsid w:val="00E608EE"/>
    <w:rsid w:val="00E60C63"/>
    <w:rsid w:val="00E61C5A"/>
    <w:rsid w:val="00E61F3B"/>
    <w:rsid w:val="00E61F86"/>
    <w:rsid w:val="00E62FF9"/>
    <w:rsid w:val="00E635D6"/>
    <w:rsid w:val="00E639BC"/>
    <w:rsid w:val="00E664CC"/>
    <w:rsid w:val="00E6711C"/>
    <w:rsid w:val="00E70388"/>
    <w:rsid w:val="00E70F92"/>
    <w:rsid w:val="00E71A4A"/>
    <w:rsid w:val="00E71DF5"/>
    <w:rsid w:val="00E72F60"/>
    <w:rsid w:val="00E74C54"/>
    <w:rsid w:val="00E77A03"/>
    <w:rsid w:val="00E822E8"/>
    <w:rsid w:val="00E82554"/>
    <w:rsid w:val="00E82606"/>
    <w:rsid w:val="00E846C8"/>
    <w:rsid w:val="00E84957"/>
    <w:rsid w:val="00E84A55"/>
    <w:rsid w:val="00E84B38"/>
    <w:rsid w:val="00E85BFF"/>
    <w:rsid w:val="00E90391"/>
    <w:rsid w:val="00E906C2"/>
    <w:rsid w:val="00E91194"/>
    <w:rsid w:val="00E9311F"/>
    <w:rsid w:val="00E934D1"/>
    <w:rsid w:val="00E94AF0"/>
    <w:rsid w:val="00E95D13"/>
    <w:rsid w:val="00E95DD3"/>
    <w:rsid w:val="00E961E1"/>
    <w:rsid w:val="00E969D5"/>
    <w:rsid w:val="00E96BCE"/>
    <w:rsid w:val="00EA0D3B"/>
    <w:rsid w:val="00EA58D1"/>
    <w:rsid w:val="00EA61BC"/>
    <w:rsid w:val="00EA681A"/>
    <w:rsid w:val="00EA6AFE"/>
    <w:rsid w:val="00EA6D82"/>
    <w:rsid w:val="00EA735B"/>
    <w:rsid w:val="00EA7B2D"/>
    <w:rsid w:val="00EB032B"/>
    <w:rsid w:val="00EB11E8"/>
    <w:rsid w:val="00EB17DE"/>
    <w:rsid w:val="00EB1E69"/>
    <w:rsid w:val="00EB2086"/>
    <w:rsid w:val="00EB360B"/>
    <w:rsid w:val="00EB5EDF"/>
    <w:rsid w:val="00EB60FE"/>
    <w:rsid w:val="00EB74DB"/>
    <w:rsid w:val="00EC228B"/>
    <w:rsid w:val="00EC3B2F"/>
    <w:rsid w:val="00EC3B9E"/>
    <w:rsid w:val="00EC5359"/>
    <w:rsid w:val="00EC5459"/>
    <w:rsid w:val="00EC562A"/>
    <w:rsid w:val="00ED067A"/>
    <w:rsid w:val="00ED21B7"/>
    <w:rsid w:val="00ED2766"/>
    <w:rsid w:val="00ED2B50"/>
    <w:rsid w:val="00EE0350"/>
    <w:rsid w:val="00EE0719"/>
    <w:rsid w:val="00EE0E80"/>
    <w:rsid w:val="00EE54A6"/>
    <w:rsid w:val="00EE613F"/>
    <w:rsid w:val="00EE7295"/>
    <w:rsid w:val="00EE731A"/>
    <w:rsid w:val="00EE7869"/>
    <w:rsid w:val="00EF054A"/>
    <w:rsid w:val="00EF0809"/>
    <w:rsid w:val="00EF3235"/>
    <w:rsid w:val="00EF70A2"/>
    <w:rsid w:val="00EF7E72"/>
    <w:rsid w:val="00F052C3"/>
    <w:rsid w:val="00F06D37"/>
    <w:rsid w:val="00F07B9D"/>
    <w:rsid w:val="00F11586"/>
    <w:rsid w:val="00F1183B"/>
    <w:rsid w:val="00F11C9F"/>
    <w:rsid w:val="00F12263"/>
    <w:rsid w:val="00F1409D"/>
    <w:rsid w:val="00F14214"/>
    <w:rsid w:val="00F157A9"/>
    <w:rsid w:val="00F15F9A"/>
    <w:rsid w:val="00F163CF"/>
    <w:rsid w:val="00F20D4A"/>
    <w:rsid w:val="00F23233"/>
    <w:rsid w:val="00F25BB6"/>
    <w:rsid w:val="00F26B7E"/>
    <w:rsid w:val="00F27A3B"/>
    <w:rsid w:val="00F33817"/>
    <w:rsid w:val="00F36DEE"/>
    <w:rsid w:val="00F40516"/>
    <w:rsid w:val="00F420D5"/>
    <w:rsid w:val="00F4505F"/>
    <w:rsid w:val="00F451EA"/>
    <w:rsid w:val="00F45447"/>
    <w:rsid w:val="00F456C6"/>
    <w:rsid w:val="00F4577B"/>
    <w:rsid w:val="00F46496"/>
    <w:rsid w:val="00F474D0"/>
    <w:rsid w:val="00F50179"/>
    <w:rsid w:val="00F515EE"/>
    <w:rsid w:val="00F56511"/>
    <w:rsid w:val="00F6194E"/>
    <w:rsid w:val="00F623AC"/>
    <w:rsid w:val="00F62BDD"/>
    <w:rsid w:val="00F6412A"/>
    <w:rsid w:val="00F65893"/>
    <w:rsid w:val="00F66A4A"/>
    <w:rsid w:val="00F71E22"/>
    <w:rsid w:val="00F72142"/>
    <w:rsid w:val="00F727E8"/>
    <w:rsid w:val="00F72AE7"/>
    <w:rsid w:val="00F7566D"/>
    <w:rsid w:val="00F75D36"/>
    <w:rsid w:val="00F76C70"/>
    <w:rsid w:val="00F80C4B"/>
    <w:rsid w:val="00F81141"/>
    <w:rsid w:val="00F833BA"/>
    <w:rsid w:val="00F84FD0"/>
    <w:rsid w:val="00F8588D"/>
    <w:rsid w:val="00F859A8"/>
    <w:rsid w:val="00F86D87"/>
    <w:rsid w:val="00F9108B"/>
    <w:rsid w:val="00F91349"/>
    <w:rsid w:val="00F93A8A"/>
    <w:rsid w:val="00F951E1"/>
    <w:rsid w:val="00F95248"/>
    <w:rsid w:val="00F956A9"/>
    <w:rsid w:val="00F9577D"/>
    <w:rsid w:val="00F963ED"/>
    <w:rsid w:val="00F966CC"/>
    <w:rsid w:val="00F966CF"/>
    <w:rsid w:val="00F96CAE"/>
    <w:rsid w:val="00F97C99"/>
    <w:rsid w:val="00FA2603"/>
    <w:rsid w:val="00FA3575"/>
    <w:rsid w:val="00FA4DAC"/>
    <w:rsid w:val="00FA662D"/>
    <w:rsid w:val="00FA66DF"/>
    <w:rsid w:val="00FA73B1"/>
    <w:rsid w:val="00FB0CB9"/>
    <w:rsid w:val="00FB231D"/>
    <w:rsid w:val="00FB45F1"/>
    <w:rsid w:val="00FB4A72"/>
    <w:rsid w:val="00FB54E8"/>
    <w:rsid w:val="00FB5760"/>
    <w:rsid w:val="00FB6A1F"/>
    <w:rsid w:val="00FB7054"/>
    <w:rsid w:val="00FC17B7"/>
    <w:rsid w:val="00FC2BF6"/>
    <w:rsid w:val="00FC2CB7"/>
    <w:rsid w:val="00FC4090"/>
    <w:rsid w:val="00FC55B4"/>
    <w:rsid w:val="00FC6767"/>
    <w:rsid w:val="00FD00E6"/>
    <w:rsid w:val="00FD09A1"/>
    <w:rsid w:val="00FD1DA0"/>
    <w:rsid w:val="00FD2A7C"/>
    <w:rsid w:val="00FD59EB"/>
    <w:rsid w:val="00FD7299"/>
    <w:rsid w:val="00FE1FBE"/>
    <w:rsid w:val="00FE3901"/>
    <w:rsid w:val="00FE39D3"/>
    <w:rsid w:val="00FE3D34"/>
    <w:rsid w:val="00FE479A"/>
    <w:rsid w:val="00FE4BCE"/>
    <w:rsid w:val="00FE54AE"/>
    <w:rsid w:val="00FE576A"/>
    <w:rsid w:val="00FE6A3A"/>
    <w:rsid w:val="00FE7E79"/>
    <w:rsid w:val="00FF0C02"/>
    <w:rsid w:val="00FF3E7D"/>
    <w:rsid w:val="00FF59F5"/>
    <w:rsid w:val="00FF5B99"/>
    <w:rsid w:val="00FF703C"/>
    <w:rsid w:val="00FF730C"/>
    <w:rsid w:val="00FF73F4"/>
    <w:rsid w:val="00FF7CE4"/>
    <w:rsid w:val="00FF7E39"/>
    <w:rsid w:val="01A54C21"/>
    <w:rsid w:val="04B42CE7"/>
    <w:rsid w:val="0554721F"/>
    <w:rsid w:val="0AA145AF"/>
    <w:rsid w:val="0FE149D6"/>
    <w:rsid w:val="120831F0"/>
    <w:rsid w:val="158B78FA"/>
    <w:rsid w:val="32A05269"/>
    <w:rsid w:val="356E23EC"/>
    <w:rsid w:val="38BF28BE"/>
    <w:rsid w:val="3DDD7624"/>
    <w:rsid w:val="40E20A12"/>
    <w:rsid w:val="428D7659"/>
    <w:rsid w:val="44B438F9"/>
    <w:rsid w:val="46274958"/>
    <w:rsid w:val="4C2B35F2"/>
    <w:rsid w:val="4CB0196C"/>
    <w:rsid w:val="54763BE1"/>
    <w:rsid w:val="557076F7"/>
    <w:rsid w:val="58537770"/>
    <w:rsid w:val="6C91060B"/>
    <w:rsid w:val="6FEE2D55"/>
    <w:rsid w:val="75FF3C29"/>
    <w:rsid w:val="77890669"/>
    <w:rsid w:val="77B90884"/>
    <w:rsid w:val="799B4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rFonts w:ascii="Times New Roman" w:hAnsi="Times New Roman" w:eastAsia="宋体" w:cs="Times New Roman"/>
      <w:b/>
      <w:bCs/>
      <w:kern w:val="44"/>
      <w:sz w:val="44"/>
      <w:szCs w:val="44"/>
    </w:rPr>
  </w:style>
  <w:style w:type="character" w:customStyle="1" w:styleId="35">
    <w:name w:val="标题 2 字符"/>
    <w:link w:val="3"/>
    <w:qFormat/>
    <w:uiPriority w:val="0"/>
    <w:rPr>
      <w:rFonts w:ascii="Arial" w:hAnsi="Arial" w:eastAsia="黑体" w:cs="Times New Roman"/>
      <w:b/>
      <w:bCs/>
      <w:sz w:val="32"/>
      <w:szCs w:val="32"/>
    </w:rPr>
  </w:style>
  <w:style w:type="character" w:customStyle="1" w:styleId="36">
    <w:name w:val="标题 3 字符"/>
    <w:link w:val="4"/>
    <w:qFormat/>
    <w:uiPriority w:val="0"/>
    <w:rPr>
      <w:rFonts w:ascii="Times New Roman" w:hAnsi="Times New Roman" w:eastAsia="宋体" w:cs="Times New Roman"/>
      <w:b/>
      <w:bCs/>
      <w:sz w:val="32"/>
      <w:szCs w:val="32"/>
    </w:rPr>
  </w:style>
  <w:style w:type="character" w:customStyle="1" w:styleId="37">
    <w:name w:val="标题 4 字符"/>
    <w:link w:val="5"/>
    <w:qFormat/>
    <w:uiPriority w:val="0"/>
    <w:rPr>
      <w:rFonts w:ascii="Arial" w:hAnsi="Arial" w:eastAsia="黑体" w:cs="Times New Roman"/>
      <w:b/>
      <w:bCs/>
      <w:sz w:val="28"/>
      <w:szCs w:val="28"/>
    </w:rPr>
  </w:style>
  <w:style w:type="character" w:customStyle="1" w:styleId="38">
    <w:name w:val="标题 5 字符"/>
    <w:link w:val="6"/>
    <w:qFormat/>
    <w:uiPriority w:val="0"/>
    <w:rPr>
      <w:rFonts w:ascii="Times New Roman" w:hAnsi="Times New Roman" w:eastAsia="宋体" w:cs="Times New Roman"/>
      <w:b/>
      <w:bCs/>
      <w:sz w:val="28"/>
      <w:szCs w:val="28"/>
    </w:rPr>
  </w:style>
  <w:style w:type="character" w:customStyle="1" w:styleId="39">
    <w:name w:val="标题 6 字符"/>
    <w:link w:val="7"/>
    <w:qFormat/>
    <w:uiPriority w:val="0"/>
    <w:rPr>
      <w:rFonts w:ascii="Arial" w:hAnsi="Arial" w:eastAsia="黑体" w:cs="Times New Roman"/>
      <w:b/>
      <w:bCs/>
      <w:sz w:val="24"/>
      <w:szCs w:val="24"/>
    </w:rPr>
  </w:style>
  <w:style w:type="character" w:customStyle="1" w:styleId="40">
    <w:name w:val="标题 7 字符"/>
    <w:link w:val="8"/>
    <w:qFormat/>
    <w:uiPriority w:val="0"/>
    <w:rPr>
      <w:rFonts w:ascii="Times New Roman" w:hAnsi="Times New Roman" w:eastAsia="宋体" w:cs="Times New Roman"/>
      <w:b/>
      <w:bCs/>
      <w:sz w:val="24"/>
      <w:szCs w:val="24"/>
    </w:rPr>
  </w:style>
  <w:style w:type="character" w:customStyle="1" w:styleId="41">
    <w:name w:val="标题 8 字符"/>
    <w:link w:val="9"/>
    <w:qFormat/>
    <w:uiPriority w:val="0"/>
    <w:rPr>
      <w:rFonts w:ascii="Arial" w:hAnsi="Arial" w:eastAsia="黑体" w:cs="Times New Roman"/>
      <w:sz w:val="24"/>
      <w:szCs w:val="24"/>
    </w:rPr>
  </w:style>
  <w:style w:type="character" w:customStyle="1" w:styleId="42">
    <w:name w:val="标题 9 字符"/>
    <w:link w:val="10"/>
    <w:qFormat/>
    <w:uiPriority w:val="0"/>
    <w:rPr>
      <w:rFonts w:ascii="Arial" w:hAnsi="Arial" w:eastAsia="黑体" w:cs="Times New Roman"/>
      <w:szCs w:val="21"/>
    </w:rPr>
  </w:style>
  <w:style w:type="character" w:customStyle="1" w:styleId="43">
    <w:name w:val="页眉 字符"/>
    <w:link w:val="18"/>
    <w:qFormat/>
    <w:uiPriority w:val="99"/>
    <w:rPr>
      <w:rFonts w:ascii="Times New Roman" w:hAnsi="Times New Roman" w:eastAsia="宋体" w:cs="Times New Roman"/>
      <w:sz w:val="18"/>
      <w:szCs w:val="18"/>
    </w:rPr>
  </w:style>
  <w:style w:type="character" w:customStyle="1" w:styleId="44">
    <w:name w:val="页脚 字符"/>
    <w:link w:val="17"/>
    <w:qFormat/>
    <w:uiPriority w:val="99"/>
    <w:rPr>
      <w:rFonts w:ascii="宋体" w:hAnsi="Times New Roman" w:eastAsia="宋体" w:cs="Times New Roman"/>
      <w:sz w:val="18"/>
      <w:szCs w:val="18"/>
    </w:rPr>
  </w:style>
  <w:style w:type="character" w:customStyle="1" w:styleId="45">
    <w:name w:val="批注框文本 字符"/>
    <w:link w:val="16"/>
    <w:semiHidden/>
    <w:qFormat/>
    <w:uiPriority w:val="99"/>
    <w:rPr>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rPr>
  </w:style>
  <w:style w:type="character" w:customStyle="1" w:styleId="48">
    <w:name w:val="标题 字符"/>
    <w:link w:val="25"/>
    <w:qFormat/>
    <w:uiPriority w:val="0"/>
    <w:rPr>
      <w:rFonts w:ascii="Arial" w:hAnsi="Arial" w:eastAsia="宋体" w:cs="Arial"/>
      <w:b/>
      <w:bCs/>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ind w:left="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rFonts w:ascii="Times New Roman" w:hAnsi="Times New Roman" w:eastAsia="宋体" w:cs="Times New Roman"/>
      <w:szCs w:val="20"/>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pPr>
  </w:style>
  <w:style w:type="paragraph" w:customStyle="1" w:styleId="91">
    <w:name w:val="标准文件_目录标题"/>
    <w:basedOn w:val="1"/>
    <w:qFormat/>
    <w:uiPriority w:val="0"/>
    <w:pPr>
      <w:spacing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ind w:left="0" w:firstLine="200"/>
    </w:pPr>
  </w:style>
  <w:style w:type="paragraph" w:customStyle="1" w:styleId="94">
    <w:name w:val="标准文件_三级条标题"/>
    <w:basedOn w:val="65"/>
    <w:next w:val="56"/>
    <w:qFormat/>
    <w:uiPriority w:val="0"/>
    <w:pPr>
      <w:widowControl/>
      <w:numPr>
        <w:ilvl w:val="4"/>
      </w:numPr>
      <w:ind w:left="0"/>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hAnsi="Times New Roman" w:eastAsia="宋体" w:cs="Times New Roman"/>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ind w:left="3119"/>
      <w:outlineLvl w:val="9"/>
    </w:pPr>
    <w:rPr>
      <w:rFonts w:ascii="宋体" w:eastAsia="宋体"/>
    </w:rPr>
  </w:style>
  <w:style w:type="paragraph" w:customStyle="1" w:styleId="165">
    <w:name w:val="标准文件_二级无标题"/>
    <w:basedOn w:val="65"/>
    <w:qFormat/>
    <w:uiPriority w:val="0"/>
    <w:pPr>
      <w:spacing w:before="0" w:beforeLines="0" w:after="0" w:afterLines="0"/>
      <w:ind w:left="1418"/>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ind w:left="783"/>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left="1271" w:hanging="420" w:firstLineChars="0"/>
    </w:pPr>
  </w:style>
  <w:style w:type="paragraph" w:customStyle="1" w:styleId="188">
    <w:name w:val="标准文件_三级项2"/>
    <w:basedOn w:val="56"/>
    <w:qFormat/>
    <w:uiPriority w:val="0"/>
    <w:pPr>
      <w:numPr>
        <w:ilvl w:val="0"/>
        <w:numId w:val="30"/>
      </w:numPr>
      <w:spacing w:line="300" w:lineRule="exact"/>
      <w:ind w:left="1276" w:hanging="425" w:firstLineChars="0"/>
    </w:pPr>
    <w:rPr>
      <w:rFonts w:ascii="Times New Roman"/>
    </w:rPr>
  </w:style>
  <w:style w:type="paragraph" w:customStyle="1" w:styleId="189">
    <w:name w:val="标准文件_一级项2"/>
    <w:basedOn w:val="56"/>
    <w:qFormat/>
    <w:uiPriority w:val="0"/>
    <w:pPr>
      <w:numPr>
        <w:ilvl w:val="0"/>
        <w:numId w:val="31"/>
      </w:numPr>
      <w:spacing w:line="300" w:lineRule="exact"/>
      <w:ind w:left="1271" w:hanging="420"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frame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next w:val="56"/>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 w:type="character" w:customStyle="1" w:styleId="230">
    <w:name w:val="段 Char"/>
    <w:link w:val="231"/>
    <w:qFormat/>
    <w:uiPriority w:val="0"/>
    <w:rPr>
      <w:rFonts w:ascii="宋体"/>
      <w:sz w:val="21"/>
    </w:rPr>
  </w:style>
  <w:style w:type="paragraph" w:customStyle="1" w:styleId="231">
    <w:name w:val="段"/>
    <w:link w:val="230"/>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paragraph" w:customStyle="1" w:styleId="232">
    <w:name w:val="章标题"/>
    <w:next w:val="231"/>
    <w:qFormat/>
    <w:uiPriority w:val="0"/>
    <w:pPr>
      <w:tabs>
        <w:tab w:val="left" w:pos="0"/>
      </w:tabs>
      <w:spacing w:before="100" w:beforeLines="100" w:after="100" w:afterLines="100"/>
      <w:jc w:val="both"/>
      <w:outlineLvl w:val="1"/>
    </w:pPr>
    <w:rPr>
      <w:rFonts w:ascii="黑体" w:hAnsi="黑体" w:eastAsia="黑体" w:cs="Times New Roman"/>
      <w:sz w:val="28"/>
      <w:szCs w:val="28"/>
      <w:lang w:val="en-US" w:eastAsia="zh-CN" w:bidi="ar-SA"/>
    </w:rPr>
  </w:style>
  <w:style w:type="paragraph" w:customStyle="1" w:styleId="233">
    <w:name w:val="二级条标题"/>
    <w:basedOn w:val="234"/>
    <w:next w:val="231"/>
    <w:qFormat/>
    <w:uiPriority w:val="0"/>
    <w:pPr>
      <w:tabs>
        <w:tab w:val="left" w:pos="0"/>
      </w:tabs>
      <w:outlineLvl w:val="3"/>
    </w:pPr>
  </w:style>
  <w:style w:type="paragraph" w:customStyle="1" w:styleId="234">
    <w:name w:val="一级条标题"/>
    <w:next w:val="231"/>
    <w:qFormat/>
    <w:uiPriority w:val="0"/>
    <w:pPr>
      <w:tabs>
        <w:tab w:val="left" w:pos="0"/>
      </w:tabs>
      <w:spacing w:before="50" w:beforeLines="50" w:after="50" w:afterLines="50"/>
      <w:outlineLvl w:val="2"/>
    </w:pPr>
    <w:rPr>
      <w:rFonts w:ascii="黑体" w:hAnsi="黑体" w:eastAsia="黑体" w:cs="Times New Roman"/>
      <w:sz w:val="21"/>
      <w:szCs w:val="21"/>
      <w:lang w:val="en-US" w:eastAsia="zh-CN" w:bidi="ar-SA"/>
    </w:rPr>
  </w:style>
  <w:style w:type="paragraph" w:styleId="235">
    <w:name w:val="List Paragraph"/>
    <w:basedOn w:val="1"/>
    <w:qFormat/>
    <w:uiPriority w:val="34"/>
    <w:pPr>
      <w:adjustRightInd/>
      <w:spacing w:line="240" w:lineRule="auto"/>
      <w:ind w:firstLine="420" w:firstLineChars="200"/>
    </w:pPr>
    <w:rPr>
      <w:rFonts w:ascii="Times New Roman" w:hAnsi="Times New Roman"/>
      <w:szCs w:val="22"/>
    </w:rPr>
  </w:style>
  <w:style w:type="paragraph" w:customStyle="1" w:styleId="236">
    <w:name w:val="Table Paragraph"/>
    <w:basedOn w:val="1"/>
    <w:qFormat/>
    <w:uiPriority w:val="1"/>
    <w:pPr>
      <w:adjustRightInd/>
      <w:spacing w:line="240" w:lineRule="auto"/>
      <w:jc w:val="left"/>
    </w:pPr>
    <w:rPr>
      <w:rFonts w:asciiTheme="minorHAnsi" w:hAnsiTheme="minorHAnsi" w:eastAsiaTheme="minorEastAsia" w:cstheme="minorBidi"/>
      <w:kern w:val="0"/>
      <w:sz w:val="22"/>
      <w:szCs w:val="22"/>
      <w:lang w:eastAsia="en-US"/>
    </w:rPr>
  </w:style>
  <w:style w:type="table" w:customStyle="1" w:styleId="237">
    <w:name w:val="Table Normal"/>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glossaryDocument" Target="glossary/document.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3.jpeg"/><Relationship Id="rId25" Type="http://schemas.openxmlformats.org/officeDocument/2006/relationships/image" Target="media/image2.emf"/><Relationship Id="rId24" Type="http://schemas.openxmlformats.org/officeDocument/2006/relationships/image" Target="media/image1.emf"/><Relationship Id="rId23" Type="http://schemas.openxmlformats.org/officeDocument/2006/relationships/theme" Target="theme/theme1.xml"/><Relationship Id="rId22" Type="http://schemas.openxmlformats.org/officeDocument/2006/relationships/footer" Target="footer9.xml"/><Relationship Id="rId21" Type="http://schemas.openxmlformats.org/officeDocument/2006/relationships/footer" Target="footer8.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6A206247E894402BD4C2B1E718813FB"/>
        <w:style w:val=""/>
        <w:category>
          <w:name w:val="常规"/>
          <w:gallery w:val="placeholder"/>
        </w:category>
        <w:types>
          <w:type w:val="bbPlcHdr"/>
        </w:types>
        <w:behaviors>
          <w:behavior w:val="content"/>
        </w:behaviors>
        <w:description w:val=""/>
        <w:guid w:val="{31FD428D-49F9-47A2-93AF-08F3A034D5C0}"/>
      </w:docPartPr>
      <w:docPartBody>
        <w:p>
          <w:pPr>
            <w:pStyle w:val="5"/>
          </w:pPr>
          <w:r>
            <w:rPr>
              <w:rStyle w:val="4"/>
              <w:rFonts w:hint="eastAsia"/>
            </w:rPr>
            <w:t>单击或点击此处输入文字。</w:t>
          </w:r>
        </w:p>
      </w:docPartBody>
    </w:docPart>
    <w:docPart>
      <w:docPartPr>
        <w:name w:val="063BC559366849A0947E9A156BBD042B"/>
        <w:style w:val=""/>
        <w:category>
          <w:name w:val="常规"/>
          <w:gallery w:val="placeholder"/>
        </w:category>
        <w:types>
          <w:type w:val="bbPlcHdr"/>
        </w:types>
        <w:behaviors>
          <w:behavior w:val="content"/>
        </w:behaviors>
        <w:description w:val=""/>
        <w:guid w:val="{A2640EC2-8B7D-427C-AB79-A33F2DBAC8BB}"/>
      </w:docPartPr>
      <w:docPartBody>
        <w:p>
          <w:pPr>
            <w:pStyle w:val="6"/>
          </w:pPr>
          <w:r>
            <w:rPr>
              <w:rStyle w:val="4"/>
              <w:rFonts w:hint="eastAsia"/>
            </w:rPr>
            <w:t>选择一项。</w:t>
          </w:r>
        </w:p>
      </w:docPartBody>
    </w:docPart>
    <w:docPart>
      <w:docPartPr>
        <w:name w:val="6629C77D12334434AB91D085B8976334"/>
        <w:style w:val=""/>
        <w:category>
          <w:name w:val="常规"/>
          <w:gallery w:val="placeholder"/>
        </w:category>
        <w:types>
          <w:type w:val="bbPlcHdr"/>
        </w:types>
        <w:behaviors>
          <w:behavior w:val="content"/>
        </w:behaviors>
        <w:description w:val=""/>
        <w:guid w:val="{33713BA4-CCC6-4498-BC66-DBEDBB3F41B4}"/>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true"/>
  <w:bordersDoNotSurroundFooter w:val="true"/>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8D1"/>
    <w:rsid w:val="0002038B"/>
    <w:rsid w:val="00055E07"/>
    <w:rsid w:val="0006009E"/>
    <w:rsid w:val="0007089A"/>
    <w:rsid w:val="0009390F"/>
    <w:rsid w:val="00261B69"/>
    <w:rsid w:val="003111B8"/>
    <w:rsid w:val="00347F89"/>
    <w:rsid w:val="003755FE"/>
    <w:rsid w:val="003C6ACE"/>
    <w:rsid w:val="003E18A1"/>
    <w:rsid w:val="004603D9"/>
    <w:rsid w:val="004E047C"/>
    <w:rsid w:val="005134BC"/>
    <w:rsid w:val="00714E82"/>
    <w:rsid w:val="0072767B"/>
    <w:rsid w:val="007F1F98"/>
    <w:rsid w:val="009068D1"/>
    <w:rsid w:val="00A14A46"/>
    <w:rsid w:val="00A50049"/>
    <w:rsid w:val="00AC722F"/>
    <w:rsid w:val="00B47C07"/>
    <w:rsid w:val="00BD56C9"/>
    <w:rsid w:val="00CF4539"/>
    <w:rsid w:val="00D55269"/>
    <w:rsid w:val="00E2391E"/>
    <w:rsid w:val="00E648D5"/>
    <w:rsid w:val="00EB38DE"/>
    <w:rsid w:val="00F972D2"/>
    <w:rsid w:val="00FD2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46A206247E894402BD4C2B1E718813F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063BC559366849A0947E9A156BBD042B"/>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6629C77D12334434AB91D085B8976334"/>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30</Pages>
  <Words>21913</Words>
  <Characters>23218</Characters>
  <Lines>194</Lines>
  <Paragraphs>54</Paragraphs>
  <TotalTime>0</TotalTime>
  <ScaleCrop>false</ScaleCrop>
  <LinksUpToDate>false</LinksUpToDate>
  <CharactersWithSpaces>23573</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2021-07-22T15:26:00Z</dcterms:created>
  <dc:creator>邵璇</dc:creator>
  <dc:description>&lt;config cover="true" show_menu="true" version="1.0.0" doctype="SDKXY"&gt;_x000d_
&lt;/config&gt;</dc:description>
  <cp:lastModifiedBy>user</cp:lastModifiedBy>
  <cp:lastPrinted>2023-03-13T14:08:00Z</cp:lastPrinted>
  <dcterms:modified xsi:type="dcterms:W3CDTF">2023-03-28T10:44:11Z</dcterms:modified>
  <dc:title>地方标准</dc:title>
  <cp:revision>342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false</vt:lpwstr>
  </property>
  <property fmtid="{D5CDD505-2E9C-101B-9397-08002B2CF9AE}" pid="15" name="KSOProductBuildVer">
    <vt:lpwstr>2052-11.8.2.10489</vt:lpwstr>
  </property>
  <property fmtid="{D5CDD505-2E9C-101B-9397-08002B2CF9AE}" pid="16" name="ICV">
    <vt:lpwstr>0743711015F6438C95B0A4D0D978B44C</vt:lpwstr>
  </property>
</Properties>
</file>