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0"/>
              <w:framePr w:wrap="notBeside" w:vAnchor="page" w:hAnchor="page" w:x="1372" w:y="568"/>
              <w:tabs>
                <w:tab w:val="clear" w:pos="4153"/>
                <w:tab w:val="clear" w:pos="8306"/>
              </w:tabs>
              <w:spacing w:line="240" w:lineRule="auto"/>
              <w:jc w:val="left"/>
              <w:rPr>
                <w:rFonts w:ascii="黑体" w:hAnsi="黑体" w:eastAsia="黑体"/>
                <w:sz w:val="21"/>
                <w:szCs w:val="21"/>
              </w:rPr>
            </w:pPr>
            <w:bookmarkStart w:id="312" w:name="_GoBack"/>
            <w:bookmarkEnd w:id="312"/>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20"/>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91.040.01"/>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91.040.01</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20"/>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P 04"/>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P 04</w:t>
            </w:r>
            <w:r>
              <w:rPr>
                <w:rFonts w:ascii="黑体" w:hAnsi="黑体" w:eastAsia="黑体"/>
                <w:sz w:val="21"/>
                <w:szCs w:val="21"/>
              </w:rPr>
              <w:fldChar w:fldCharType="end"/>
            </w:r>
            <w:bookmarkEnd w:id="1"/>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3"/>
              <w:framePr w:w="0" w:hRule="auto" w:wrap="auto" w:vAnchor="margin" w:hAnchor="text" w:xAlign="left" w:yAlign="inline"/>
              <w:rPr>
                <w:rFonts w:ascii="宋体" w:hAnsi="宋体"/>
                <w:sz w:val="28"/>
                <w:szCs w:val="28"/>
              </w:rPr>
            </w:pPr>
            <w:bookmarkStart w:id="2" w:name="_Hlk26473981"/>
            <w:r>
              <w:t>DB</w:t>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42</w:t>
            </w:r>
            <w:r>
              <w:fldChar w:fldCharType="end"/>
            </w:r>
            <w:bookmarkEnd w:id="3"/>
          </w:p>
        </w:tc>
      </w:tr>
    </w:tbl>
    <w:p>
      <w:pPr>
        <w:pStyle w:val="54"/>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9"/>
        <w:framePr/>
        <w:rPr>
          <w:lang w:val="fr-FR"/>
        </w:rPr>
      </w:pPr>
      <w:r>
        <w:rPr>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t>42</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200"/>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4"/>
        <w:framePr w:w="9639" w:h="6976" w:hRule="exact" w:hSpace="0" w:vSpace="0" w:hAnchor="page" w:y="6408"/>
        <w:jc w:val="center"/>
        <w:rPr>
          <w:rFonts w:ascii="黑体" w:hAnsi="黑体" w:eastAsia="黑体"/>
          <w:b w:val="0"/>
          <w:bCs w:val="0"/>
          <w:w w:val="100"/>
        </w:rPr>
      </w:pPr>
    </w:p>
    <w:p>
      <w:pPr>
        <w:pStyle w:val="201"/>
        <w:framePr w:h="6974" w:hRule="exact" w:wrap="around" w:x="1419" w:anchorLock="1"/>
      </w:pPr>
      <w:r>
        <w:rPr>
          <w:rFonts w:hint="eastAsia"/>
        </w:rPr>
        <w:t>绿色建筑检测技术规程</w:t>
      </w:r>
    </w:p>
    <w:p>
      <w:pPr>
        <w:framePr w:w="9639" w:h="6974" w:hRule="exact" w:wrap="around" w:vAnchor="page" w:hAnchor="page" w:x="1419" w:y="6408" w:anchorLock="1"/>
        <w:ind w:left="-1418"/>
      </w:pPr>
    </w:p>
    <w:p>
      <w:pPr>
        <w:pStyle w:val="129"/>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t>T</w:t>
      </w:r>
      <w:r>
        <w:rPr>
          <w:rFonts w:hint="eastAsia" w:ascii="黑体" w:hAnsi="黑体" w:eastAsia="黑体"/>
          <w:szCs w:val="28"/>
        </w:rPr>
        <w:t>echnical</w:t>
      </w:r>
      <w:r>
        <w:rPr>
          <w:rFonts w:ascii="黑体" w:hAnsi="黑体" w:eastAsia="黑体"/>
          <w:szCs w:val="28"/>
        </w:rPr>
        <w:t xml:space="preserve"> </w:t>
      </w:r>
      <w:r>
        <w:rPr>
          <w:rFonts w:hint="eastAsia" w:ascii="黑体" w:hAnsi="黑体" w:eastAsia="黑体"/>
          <w:szCs w:val="28"/>
        </w:rPr>
        <w:t>code</w:t>
      </w:r>
      <w:r>
        <w:rPr>
          <w:rFonts w:ascii="黑体" w:hAnsi="黑体" w:eastAsia="黑体"/>
          <w:szCs w:val="28"/>
        </w:rPr>
        <w:t xml:space="preserve"> </w:t>
      </w:r>
      <w:r>
        <w:rPr>
          <w:rFonts w:hint="eastAsia" w:ascii="黑体" w:hAnsi="黑体" w:eastAsia="黑体"/>
          <w:szCs w:val="28"/>
        </w:rPr>
        <w:t>for</w:t>
      </w:r>
      <w:r>
        <w:rPr>
          <w:rFonts w:ascii="黑体" w:hAnsi="黑体" w:eastAsia="黑体"/>
          <w:szCs w:val="28"/>
        </w:rPr>
        <w:t xml:space="preserve"> </w:t>
      </w:r>
      <w:r>
        <w:rPr>
          <w:rFonts w:hint="eastAsia" w:ascii="黑体" w:hAnsi="黑体" w:eastAsia="黑体"/>
          <w:szCs w:val="28"/>
        </w:rPr>
        <w:t>green</w:t>
      </w:r>
      <w:r>
        <w:rPr>
          <w:rFonts w:ascii="黑体" w:hAnsi="黑体" w:eastAsia="黑体"/>
          <w:szCs w:val="28"/>
        </w:rPr>
        <w:t xml:space="preserve"> </w:t>
      </w:r>
      <w:r>
        <w:rPr>
          <w:rFonts w:hint="eastAsia" w:ascii="黑体" w:hAnsi="黑体" w:eastAsia="黑体"/>
          <w:szCs w:val="28"/>
        </w:rPr>
        <w:t>building</w:t>
      </w:r>
      <w:r>
        <w:rPr>
          <w:rFonts w:ascii="黑体" w:hAnsi="黑体" w:eastAsia="黑体"/>
          <w:szCs w:val="28"/>
        </w:rPr>
        <w:t xml:space="preserve"> </w:t>
      </w:r>
      <w:r>
        <w:rPr>
          <w:rFonts w:hint="eastAsia" w:ascii="黑体" w:hAnsi="黑体" w:eastAsia="黑体"/>
          <w:szCs w:val="28"/>
        </w:rPr>
        <w:t>testing</w:t>
      </w:r>
    </w:p>
    <w:p>
      <w:pPr>
        <w:framePr w:w="9639" w:h="6974" w:hRule="exact" w:wrap="around" w:vAnchor="page" w:hAnchor="page" w:x="1419" w:y="6408" w:anchorLock="1"/>
        <w:spacing w:line="760" w:lineRule="exact"/>
        <w:ind w:left="-1418"/>
      </w:pPr>
    </w:p>
    <w:p>
      <w:pPr>
        <w:pStyle w:val="197"/>
        <w:framePr w:y="14176"/>
      </w:pPr>
      <w:r>
        <w:rPr>
          <w:rFonts w:ascii="黑体"/>
        </w:rPr>
        <w:fldChar w:fldCharType="begin">
          <w:ffData>
            <w:name w:val="PLSH_DATE_Y"/>
            <w:enabled/>
            <w:calcOnExit w:val="0"/>
            <w:textInput>
              <w:default w:val="XXXX"/>
              <w:maxLength w:val="4"/>
            </w:textInput>
          </w:ffData>
        </w:fldChar>
      </w:r>
      <w:bookmarkStart w:id="9" w:name="PLSH_DATE_Y"/>
      <w:r>
        <w:rPr>
          <w:rFonts w:ascii="黑体"/>
        </w:rPr>
        <w:instrText xml:space="preserve"> FORMTEXT </w:instrText>
      </w:r>
      <w:r>
        <w:rPr>
          <w:rFonts w:ascii="黑体"/>
        </w:rPr>
        <w:fldChar w:fldCharType="separate"/>
      </w:r>
      <w:r>
        <w:rPr>
          <w:rFonts w:ascii="黑体"/>
        </w:rPr>
        <w:t>2021</w:t>
      </w:r>
      <w:r>
        <w:rPr>
          <w:rFonts w:ascii="黑体"/>
        </w:rPr>
        <w:fldChar w:fldCharType="end"/>
      </w:r>
      <w:bookmarkEnd w:id="9"/>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0"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1"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rPr>
          <w:rFonts w:hint="eastAsia"/>
        </w:rPr>
        <w:t>发布</w:t>
      </w:r>
    </w:p>
    <w:p>
      <w:pPr>
        <w:pStyle w:val="198"/>
        <w:framePr w:y="14176"/>
      </w:pPr>
      <w:r>
        <w:rPr>
          <w:rFonts w:ascii="黑体"/>
        </w:rPr>
        <w:fldChar w:fldCharType="begin">
          <w:ffData>
            <w:name w:val="CROT_DATE_Y"/>
            <w:enabled/>
            <w:calcOnExit w:val="0"/>
            <w:textInput>
              <w:default w:val="XXXX"/>
              <w:maxLength w:val="4"/>
            </w:textInput>
          </w:ffData>
        </w:fldChar>
      </w:r>
      <w:bookmarkStart w:id="12" w:name="CROT_DATE_Y"/>
      <w:r>
        <w:rPr>
          <w:rFonts w:ascii="黑体"/>
        </w:rPr>
        <w:instrText xml:space="preserve"> FORMTEXT </w:instrText>
      </w:r>
      <w:r>
        <w:rPr>
          <w:rFonts w:ascii="黑体"/>
        </w:rPr>
        <w:fldChar w:fldCharType="separate"/>
      </w:r>
      <w:r>
        <w:rPr>
          <w:rFonts w:ascii="黑体"/>
        </w:rPr>
        <w:t>2021</w:t>
      </w:r>
      <w:r>
        <w:rPr>
          <w:rFonts w:ascii="黑体"/>
        </w:rPr>
        <w:fldChar w:fldCharType="end"/>
      </w:r>
      <w:bookmarkEnd w:id="12"/>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3"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4"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实施</w:t>
      </w:r>
    </w:p>
    <w:tbl>
      <w:tblPr>
        <w:tblStyle w:val="29"/>
        <w:tblpPr w:leftFromText="180" w:rightFromText="180" w:vertAnchor="text" w:horzAnchor="page" w:tblpXSpec="center" w:tblpY="14319"/>
        <w:tblW w:w="7011" w:type="dxa"/>
        <w:tblInd w:w="0" w:type="dxa"/>
        <w:tblLayout w:type="fixed"/>
        <w:tblCellMar>
          <w:top w:w="0" w:type="dxa"/>
          <w:left w:w="108" w:type="dxa"/>
          <w:bottom w:w="0" w:type="dxa"/>
          <w:right w:w="108" w:type="dxa"/>
        </w:tblCellMar>
      </w:tblPr>
      <w:tblGrid>
        <w:gridCol w:w="4925"/>
        <w:gridCol w:w="2086"/>
      </w:tblGrid>
      <w:tr>
        <w:tblPrEx>
          <w:tblCellMar>
            <w:top w:w="0" w:type="dxa"/>
            <w:left w:w="108" w:type="dxa"/>
            <w:bottom w:w="0" w:type="dxa"/>
            <w:right w:w="108" w:type="dxa"/>
          </w:tblCellMar>
        </w:tblPrEx>
        <w:tc>
          <w:tcPr>
            <w:tcW w:w="4925" w:type="dxa"/>
            <w:vAlign w:val="center"/>
          </w:tcPr>
          <w:p>
            <w:pPr>
              <w:spacing w:line="0" w:lineRule="atLeast"/>
              <w:jc w:val="distribute"/>
              <w:rPr>
                <w:rFonts w:ascii="黑体" w:eastAsia="黑体" w:hAnsiTheme="majorHAnsi" w:cstheme="majorBidi"/>
                <w:b/>
                <w:bCs/>
                <w:sz w:val="36"/>
                <w:szCs w:val="36"/>
              </w:rPr>
            </w:pPr>
            <w:r>
              <w:rPr>
                <w:rFonts w:hint="eastAsia" w:ascii="黑体" w:eastAsia="黑体"/>
                <w:sz w:val="36"/>
                <w:szCs w:val="36"/>
              </w:rPr>
              <w:t>湖北省住房和城乡建设厅</w:t>
            </w:r>
          </w:p>
        </w:tc>
        <w:tc>
          <w:tcPr>
            <w:tcW w:w="2086" w:type="dxa"/>
            <w:vMerge w:val="restart"/>
            <w:vAlign w:val="center"/>
          </w:tcPr>
          <w:p>
            <w:pPr>
              <w:spacing w:line="0" w:lineRule="atLeast"/>
              <w:jc w:val="center"/>
              <w:rPr>
                <w:rFonts w:ascii="黑体" w:eastAsia="黑体"/>
                <w:sz w:val="36"/>
                <w:szCs w:val="36"/>
              </w:rPr>
            </w:pPr>
            <w:r>
              <w:rPr>
                <w:rFonts w:hint="eastAsia" w:ascii="黑体" w:eastAsia="黑体"/>
                <w:sz w:val="36"/>
                <w:szCs w:val="36"/>
              </w:rPr>
              <w:t xml:space="preserve">  发布</w:t>
            </w:r>
          </w:p>
        </w:tc>
      </w:tr>
      <w:tr>
        <w:tblPrEx>
          <w:tblCellMar>
            <w:top w:w="0" w:type="dxa"/>
            <w:left w:w="108" w:type="dxa"/>
            <w:bottom w:w="0" w:type="dxa"/>
            <w:right w:w="108" w:type="dxa"/>
          </w:tblCellMar>
        </w:tblPrEx>
        <w:trPr>
          <w:trHeight w:val="429" w:hRule="atLeast"/>
        </w:trPr>
        <w:tc>
          <w:tcPr>
            <w:tcW w:w="4925" w:type="dxa"/>
            <w:vAlign w:val="center"/>
          </w:tcPr>
          <w:p>
            <w:pPr>
              <w:spacing w:line="0" w:lineRule="atLeast"/>
              <w:jc w:val="distribute"/>
              <w:rPr>
                <w:rFonts w:ascii="黑体" w:eastAsia="黑体"/>
                <w:sz w:val="36"/>
                <w:szCs w:val="36"/>
              </w:rPr>
            </w:pPr>
            <w:r>
              <w:rPr>
                <w:rFonts w:hint="eastAsia" w:ascii="黑体" w:eastAsia="黑体"/>
                <w:sz w:val="36"/>
                <w:szCs w:val="36"/>
              </w:rPr>
              <w:t>湖北省市场监督管理局</w:t>
            </w:r>
          </w:p>
        </w:tc>
        <w:tc>
          <w:tcPr>
            <w:tcW w:w="2086" w:type="dxa"/>
            <w:vMerge w:val="continue"/>
            <w:vAlign w:val="center"/>
          </w:tcPr>
          <w:p>
            <w:pPr>
              <w:spacing w:line="0" w:lineRule="atLeast"/>
              <w:jc w:val="center"/>
              <w:rPr>
                <w:rFonts w:ascii="黑体" w:eastAsia="黑体"/>
                <w:sz w:val="32"/>
                <w:szCs w:val="32"/>
              </w:rPr>
            </w:pPr>
          </w:p>
        </w:tc>
      </w:tr>
    </w:tbl>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5"/>
        <w:spacing w:after="468"/>
      </w:pPr>
      <w:bookmarkStart w:id="15" w:name="BookMark1"/>
      <w:bookmarkStart w:id="16" w:name="_Toc129698148"/>
      <w:bookmarkStart w:id="17" w:name="_Toc129782120"/>
      <w:bookmarkStart w:id="18" w:name="_Toc129855755"/>
      <w:bookmarkStart w:id="19" w:name="_Toc29704"/>
      <w:r>
        <w:rPr>
          <w:rFonts w:hint="eastAsia"/>
          <w:spacing w:val="320"/>
        </w:rPr>
        <w:t>目</w:t>
      </w:r>
      <w:r>
        <w:rPr>
          <w:rFonts w:hint="eastAsia"/>
        </w:rPr>
        <w:t>次</w:t>
      </w:r>
    </w:p>
    <w:p>
      <w:pPr>
        <w:pStyle w:val="21"/>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"_Toc129855981" </w:instrText>
      </w:r>
      <w:r>
        <w:fldChar w:fldCharType="separate"/>
      </w:r>
      <w:r>
        <w:rPr>
          <w:rStyle w:val="35"/>
        </w:rPr>
        <w:t>前言</w:t>
      </w:r>
      <w:r>
        <w:tab/>
      </w:r>
      <w:r>
        <w:fldChar w:fldCharType="begin"/>
      </w:r>
      <w:r>
        <w:instrText xml:space="preserve"> PAGEREF _Toc129855981 \h </w:instrText>
      </w:r>
      <w:r>
        <w:fldChar w:fldCharType="separate"/>
      </w:r>
      <w:r>
        <w:t>III</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"_Toc129855982" </w:instrText>
      </w:r>
      <w:r>
        <w:fldChar w:fldCharType="separate"/>
      </w:r>
      <w:r>
        <w:rPr>
          <w:rStyle w:val="35"/>
        </w:rPr>
        <w:t>引言</w:t>
      </w:r>
      <w:r>
        <w:tab/>
      </w:r>
      <w:r>
        <w:fldChar w:fldCharType="begin"/>
      </w:r>
      <w:r>
        <w:instrText xml:space="preserve"> PAGEREF _Toc129855982 \h </w:instrText>
      </w:r>
      <w:r>
        <w:fldChar w:fldCharType="separate"/>
      </w:r>
      <w:r>
        <w:t>V</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"_Toc129855983" </w:instrText>
      </w:r>
      <w:r>
        <w:fldChar w:fldCharType="separate"/>
      </w:r>
      <w:r>
        <w:rPr>
          <w:rStyle w:val="35"/>
        </w:rPr>
        <w:t>1 范围</w:t>
      </w:r>
      <w:r>
        <w:tab/>
      </w:r>
      <w:r>
        <w:fldChar w:fldCharType="begin"/>
      </w:r>
      <w:r>
        <w:instrText xml:space="preserve"> PAGEREF _Toc129855983 \h </w:instrText>
      </w:r>
      <w:r>
        <w:fldChar w:fldCharType="separate"/>
      </w:r>
      <w:r>
        <w:t>6</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"_Toc129855984" </w:instrText>
      </w:r>
      <w:r>
        <w:fldChar w:fldCharType="separate"/>
      </w:r>
      <w:r>
        <w:rPr>
          <w:rStyle w:val="35"/>
        </w:rPr>
        <w:t>2 规范性引用文件</w:t>
      </w:r>
      <w:r>
        <w:tab/>
      </w:r>
      <w:r>
        <w:fldChar w:fldCharType="begin"/>
      </w:r>
      <w:r>
        <w:instrText xml:space="preserve"> PAGEREF _Toc129855984 \h </w:instrText>
      </w:r>
      <w:r>
        <w:fldChar w:fldCharType="separate"/>
      </w:r>
      <w:r>
        <w:t>6</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"_Toc129855985" </w:instrText>
      </w:r>
      <w:r>
        <w:fldChar w:fldCharType="separate"/>
      </w:r>
      <w:r>
        <w:rPr>
          <w:rStyle w:val="35"/>
          <w:lang w:bidi="en-US"/>
        </w:rPr>
        <w:t>3 术语和定义</w:t>
      </w:r>
      <w:r>
        <w:tab/>
      </w:r>
      <w:r>
        <w:fldChar w:fldCharType="begin"/>
      </w:r>
      <w:r>
        <w:instrText xml:space="preserve"> PAGEREF _Toc129855985 \h </w:instrText>
      </w:r>
      <w:r>
        <w:fldChar w:fldCharType="separate"/>
      </w:r>
      <w:r>
        <w:t>8</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"_Toc129855986" </w:instrText>
      </w:r>
      <w:r>
        <w:fldChar w:fldCharType="separate"/>
      </w:r>
      <w:r>
        <w:rPr>
          <w:rStyle w:val="35"/>
          <w:lang w:bidi="en-US"/>
        </w:rPr>
        <w:t>4 基本规定</w:t>
      </w:r>
      <w:r>
        <w:tab/>
      </w:r>
      <w:r>
        <w:fldChar w:fldCharType="begin"/>
      </w:r>
      <w:r>
        <w:instrText xml:space="preserve"> PAGEREF _Toc129855986 \h </w:instrText>
      </w:r>
      <w:r>
        <w:fldChar w:fldCharType="separate"/>
      </w:r>
      <w:r>
        <w:t>9</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"_Toc129855987" </w:instrText>
      </w:r>
      <w:r>
        <w:fldChar w:fldCharType="separate"/>
      </w:r>
      <w:r>
        <w:rPr>
          <w:rStyle w:val="35"/>
          <w:lang w:bidi="en-US"/>
        </w:rPr>
        <w:t>5 室外场地环境检测</w:t>
      </w:r>
      <w:r>
        <w:tab/>
      </w:r>
      <w:r>
        <w:fldChar w:fldCharType="begin"/>
      </w:r>
      <w:r>
        <w:instrText xml:space="preserve"> PAGEREF _Toc129855987 \h </w:instrText>
      </w:r>
      <w:r>
        <w:fldChar w:fldCharType="separate"/>
      </w:r>
      <w:r>
        <w:t>10</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"_Toc129855988" </w:instrText>
      </w:r>
      <w:r>
        <w:fldChar w:fldCharType="separate"/>
      </w:r>
      <w:r>
        <w:rPr>
          <w:rStyle w:val="35"/>
        </w:rPr>
        <w:t>6 室内环境检测</w:t>
      </w:r>
      <w:r>
        <w:tab/>
      </w:r>
      <w:r>
        <w:fldChar w:fldCharType="begin"/>
      </w:r>
      <w:r>
        <w:instrText xml:space="preserve"> PAGEREF _Toc129855988 \h </w:instrText>
      </w:r>
      <w:r>
        <w:fldChar w:fldCharType="separate"/>
      </w:r>
      <w:r>
        <w:t>14</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"_Toc129855989" </w:instrText>
      </w:r>
      <w:r>
        <w:fldChar w:fldCharType="separate"/>
      </w:r>
      <w:r>
        <w:rPr>
          <w:rStyle w:val="35"/>
        </w:rPr>
        <w:t>7 外围护结构性能检测</w:t>
      </w:r>
      <w:r>
        <w:tab/>
      </w:r>
      <w:r>
        <w:fldChar w:fldCharType="begin"/>
      </w:r>
      <w:r>
        <w:instrText xml:space="preserve"> PAGEREF _Toc129855989 \h </w:instrText>
      </w:r>
      <w:r>
        <w:fldChar w:fldCharType="separate"/>
      </w:r>
      <w:r>
        <w:t>16</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"_Toc129855990" </w:instrText>
      </w:r>
      <w:r>
        <w:fldChar w:fldCharType="separate"/>
      </w:r>
      <w:r>
        <w:rPr>
          <w:rStyle w:val="35"/>
          <w:lang w:bidi="zh-CN"/>
        </w:rPr>
        <w:t>8 暖通空调系统检测</w:t>
      </w:r>
      <w:r>
        <w:tab/>
      </w:r>
      <w:r>
        <w:fldChar w:fldCharType="begin"/>
      </w:r>
      <w:r>
        <w:instrText xml:space="preserve"> PAGEREF _Toc129855990 \h </w:instrText>
      </w:r>
      <w:r>
        <w:fldChar w:fldCharType="separate"/>
      </w:r>
      <w:r>
        <w:t>17</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"_Toc129855991" </w:instrText>
      </w:r>
      <w:r>
        <w:fldChar w:fldCharType="separate"/>
      </w:r>
      <w:r>
        <w:rPr>
          <w:rStyle w:val="35"/>
          <w:lang w:bidi="en-US"/>
        </w:rPr>
        <w:t>9 给水排水系统检测</w:t>
      </w:r>
      <w:r>
        <w:tab/>
      </w:r>
      <w:r>
        <w:fldChar w:fldCharType="begin"/>
      </w:r>
      <w:r>
        <w:instrText xml:space="preserve"> PAGEREF _Toc129855991 \h </w:instrText>
      </w:r>
      <w:r>
        <w:fldChar w:fldCharType="separate"/>
      </w:r>
      <w:r>
        <w:t>19</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"_Toc129855992" </w:instrText>
      </w:r>
      <w:r>
        <w:fldChar w:fldCharType="separate"/>
      </w:r>
      <w:r>
        <w:rPr>
          <w:rStyle w:val="35"/>
          <w:lang w:bidi="en-US"/>
        </w:rPr>
        <w:t>10 供配电系统检测</w:t>
      </w:r>
      <w:r>
        <w:tab/>
      </w:r>
      <w:r>
        <w:fldChar w:fldCharType="begin"/>
      </w:r>
      <w:r>
        <w:instrText xml:space="preserve"> PAGEREF _Toc129855992 \h </w:instrText>
      </w:r>
      <w:r>
        <w:fldChar w:fldCharType="separate"/>
      </w:r>
      <w:r>
        <w:t>21</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"_Toc129855993" </w:instrText>
      </w:r>
      <w:r>
        <w:fldChar w:fldCharType="separate"/>
      </w:r>
      <w:r>
        <w:rPr>
          <w:rStyle w:val="35"/>
          <w:lang w:bidi="en-US"/>
        </w:rPr>
        <w:t>11 照明系统检测</w:t>
      </w:r>
      <w:r>
        <w:tab/>
      </w:r>
      <w:r>
        <w:fldChar w:fldCharType="begin"/>
      </w:r>
      <w:r>
        <w:instrText xml:space="preserve"> PAGEREF _Toc129855993 \h </w:instrText>
      </w:r>
      <w:r>
        <w:fldChar w:fldCharType="separate"/>
      </w:r>
      <w:r>
        <w:t>22</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"_Toc129855994" </w:instrText>
      </w:r>
      <w:r>
        <w:fldChar w:fldCharType="separate"/>
      </w:r>
      <w:r>
        <w:rPr>
          <w:rStyle w:val="35"/>
        </w:rPr>
        <w:t>12 可再生能源系统检测</w:t>
      </w:r>
      <w:r>
        <w:tab/>
      </w:r>
      <w:r>
        <w:fldChar w:fldCharType="begin"/>
      </w:r>
      <w:r>
        <w:instrText xml:space="preserve"> PAGEREF _Toc129855994 \h </w:instrText>
      </w:r>
      <w:r>
        <w:fldChar w:fldCharType="separate"/>
      </w:r>
      <w:r>
        <w:t>23</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"_Toc129855995" </w:instrText>
      </w:r>
      <w:r>
        <w:fldChar w:fldCharType="separate"/>
      </w:r>
      <w:r>
        <w:rPr>
          <w:rStyle w:val="35"/>
        </w:rPr>
        <w:t>13</w:t>
      </w:r>
      <w:r>
        <w:rPr>
          <w:rStyle w:val="35"/>
          <w:rFonts w:hAnsi="黑体"/>
        </w:rPr>
        <w:t xml:space="preserve"> 监测与控制系统性能检测</w:t>
      </w:r>
      <w:r>
        <w:tab/>
      </w:r>
      <w:r>
        <w:fldChar w:fldCharType="begin"/>
      </w:r>
      <w:r>
        <w:instrText xml:space="preserve"> PAGEREF _Toc129855995 \h </w:instrText>
      </w:r>
      <w:r>
        <w:fldChar w:fldCharType="separate"/>
      </w:r>
      <w:r>
        <w:t>24</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"_Toc129855996" </w:instrText>
      </w:r>
      <w:r>
        <w:fldChar w:fldCharType="separate"/>
      </w:r>
      <w:r>
        <w:rPr>
          <w:rStyle w:val="35"/>
          <w:spacing w:val="100"/>
        </w:rPr>
        <w:t>附录A</w:t>
      </w:r>
      <w:r>
        <w:rPr>
          <w:rStyle w:val="35"/>
        </w:rPr>
        <w:t xml:space="preserve"> （规范性） 透水混凝土渗透系数检测方法</w:t>
      </w:r>
      <w:r>
        <w:tab/>
      </w:r>
      <w:r>
        <w:fldChar w:fldCharType="begin"/>
      </w:r>
      <w:r>
        <w:instrText xml:space="preserve"> PAGEREF _Toc129855996 \h </w:instrText>
      </w:r>
      <w:r>
        <w:fldChar w:fldCharType="separate"/>
      </w:r>
      <w:r>
        <w:t>25</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"_Toc129855997" </w:instrText>
      </w:r>
      <w:r>
        <w:fldChar w:fldCharType="separate"/>
      </w:r>
      <w:r>
        <w:rPr>
          <w:rStyle w:val="35"/>
          <w:spacing w:val="100"/>
        </w:rPr>
        <w:t>附录B</w:t>
      </w:r>
      <w:r>
        <w:rPr>
          <w:rStyle w:val="35"/>
        </w:rPr>
        <w:t xml:space="preserve"> （规范性） 土壤渗透系数检测方法</w:t>
      </w:r>
      <w:r>
        <w:tab/>
      </w:r>
      <w:r>
        <w:fldChar w:fldCharType="begin"/>
      </w:r>
      <w:r>
        <w:instrText xml:space="preserve"> PAGEREF _Toc129855997 \h </w:instrText>
      </w:r>
      <w:r>
        <w:fldChar w:fldCharType="separate"/>
      </w:r>
      <w:r>
        <w:t>27</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"_Toc129855998" </w:instrText>
      </w:r>
      <w:r>
        <w:fldChar w:fldCharType="separate"/>
      </w:r>
      <w:r>
        <w:rPr>
          <w:rStyle w:val="35"/>
          <w:spacing w:val="100"/>
        </w:rPr>
        <w:t>附录C</w:t>
      </w:r>
      <w:r>
        <w:rPr>
          <w:rStyle w:val="35"/>
        </w:rPr>
        <w:t xml:space="preserve"> （规范性） 路面/屋面太阳辐射反射系数检测方法</w:t>
      </w:r>
      <w:r>
        <w:tab/>
      </w:r>
      <w:r>
        <w:fldChar w:fldCharType="begin"/>
      </w:r>
      <w:r>
        <w:instrText xml:space="preserve"> PAGEREF _Toc129855998 \h </w:instrText>
      </w:r>
      <w:r>
        <w:fldChar w:fldCharType="separate"/>
      </w:r>
      <w:r>
        <w:t>29</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"_Toc129856020" </w:instrText>
      </w:r>
      <w:r>
        <w:fldChar w:fldCharType="separate"/>
      </w:r>
      <w:r>
        <w:rPr>
          <w:rStyle w:val="35"/>
          <w:spacing w:val="100"/>
        </w:rPr>
        <w:t>附录D</w:t>
      </w:r>
      <w:r>
        <w:rPr>
          <w:rStyle w:val="35"/>
        </w:rPr>
        <w:t xml:space="preserve"> （规范性） 中空玻璃厚度及Low-E膜层位置现场检测方法</w:t>
      </w:r>
      <w:r>
        <w:tab/>
      </w:r>
      <w:r>
        <w:fldChar w:fldCharType="begin"/>
      </w:r>
      <w:r>
        <w:instrText xml:space="preserve"> PAGEREF _Toc129856020 \h </w:instrText>
      </w:r>
      <w:r>
        <w:fldChar w:fldCharType="separate"/>
      </w:r>
      <w:r>
        <w:t>31</w:t>
      </w:r>
      <w:r>
        <w:fldChar w:fldCharType="end"/>
      </w:r>
      <w:r>
        <w:fldChar w:fldCharType="end"/>
      </w:r>
    </w:p>
    <w:p>
      <w:pPr>
        <w:pStyle w:val="21"/>
        <w:rPr>
          <w:rFonts w:asciiTheme="minorHAnsi" w:hAnsiTheme="minorHAnsi" w:eastAsiaTheme="minorEastAsia" w:cstheme="minorBidi"/>
          <w:szCs w:val="22"/>
        </w:rPr>
      </w:pPr>
      <w:r>
        <w:fldChar w:fldCharType="begin"/>
      </w:r>
      <w:r>
        <w:instrText xml:space="preserve"> HYPERLINK \l "_Toc129856021" </w:instrText>
      </w:r>
      <w:r>
        <w:fldChar w:fldCharType="separate"/>
      </w:r>
      <w:r>
        <w:rPr>
          <w:rStyle w:val="35"/>
          <w:spacing w:val="100"/>
        </w:rPr>
        <w:t>附录E</w:t>
      </w:r>
      <w:r>
        <w:rPr>
          <w:rStyle w:val="35"/>
        </w:rPr>
        <w:t xml:space="preserve"> （规范性） 空气源热泵热水系统性能系数检测方法、贮热水箱保温性能检测方法</w:t>
      </w:r>
      <w:r>
        <w:tab/>
      </w:r>
      <w:r>
        <w:fldChar w:fldCharType="begin"/>
      </w:r>
      <w:r>
        <w:instrText xml:space="preserve"> PAGEREF _Toc129856021 \h </w:instrText>
      </w:r>
      <w:r>
        <w:fldChar w:fldCharType="separate"/>
      </w:r>
      <w:r>
        <w:t>32</w:t>
      </w:r>
      <w:r>
        <w:fldChar w:fldCharType="end"/>
      </w:r>
      <w:r>
        <w:fldChar w:fldCharType="end"/>
      </w:r>
    </w:p>
    <w:p>
      <w:pPr>
        <w:pStyle w:val="95"/>
        <w:spacing w:after="468"/>
        <w:sectPr>
          <w:headerReference r:id="rId11" w:type="default"/>
          <w:footerReference r:id="rId13" w:type="default"/>
          <w:headerReference r:id="rId12" w:type="even"/>
          <w:footerReference r:id="rId14" w:type="even"/>
          <w:pgSz w:w="11906" w:h="16838"/>
          <w:pgMar w:top="2410" w:right="1134" w:bottom="1134" w:left="1134" w:header="1418" w:footer="1134" w:gutter="284"/>
          <w:pgNumType w:fmt="upperRoman" w:start="1"/>
          <w:cols w:space="425" w:num="1"/>
          <w:formProt w:val="0"/>
          <w:docGrid w:type="lines" w:linePitch="312" w:charSpace="0"/>
        </w:sectPr>
      </w:pPr>
      <w:r>
        <w:fldChar w:fldCharType="end"/>
      </w:r>
    </w:p>
    <w:bookmarkEnd w:id="15"/>
    <w:p>
      <w:pPr>
        <w:pStyle w:val="93"/>
        <w:spacing w:after="468"/>
      </w:pPr>
      <w:bookmarkStart w:id="20" w:name="_Toc129855981"/>
      <w:bookmarkStart w:id="21" w:name="BookMark2"/>
      <w:r>
        <w:rPr>
          <w:rFonts w:hint="eastAsia"/>
        </w:rPr>
        <w:t>前</w:t>
      </w:r>
      <w:r>
        <w:t>言</w:t>
      </w:r>
      <w:bookmarkEnd w:id="16"/>
      <w:bookmarkEnd w:id="17"/>
      <w:bookmarkEnd w:id="18"/>
      <w:bookmarkEnd w:id="19"/>
      <w:bookmarkEnd w:id="20"/>
    </w:p>
    <w:p>
      <w:pPr>
        <w:pStyle w:val="60"/>
        <w:widowControl w:val="0"/>
        <w:spacing w:line="320" w:lineRule="exact"/>
        <w:ind w:firstLine="420"/>
      </w:pPr>
      <w:r>
        <w:rPr>
          <w:rFonts w:hint="eastAsia"/>
        </w:rPr>
        <w:t>本文件按照GB/T 1.1－2020《标准化工作导则 第1部分：标准化文件的结构和起草规则》的规定起草。</w:t>
      </w:r>
    </w:p>
    <w:p>
      <w:pPr>
        <w:pStyle w:val="60"/>
        <w:widowControl w:val="0"/>
        <w:spacing w:line="320" w:lineRule="exact"/>
        <w:ind w:firstLine="420"/>
      </w:pPr>
      <w:r>
        <w:rPr>
          <w:rFonts w:hint="eastAsia"/>
        </w:rPr>
        <w:t>请注意本文件的某些内容可能涉及专利。本文件的发布机构不承担识别专利的责任。</w:t>
      </w:r>
    </w:p>
    <w:p>
      <w:pPr>
        <w:pStyle w:val="60"/>
        <w:widowControl w:val="0"/>
        <w:spacing w:line="320" w:lineRule="exact"/>
        <w:ind w:firstLine="420"/>
      </w:pPr>
      <w:r>
        <w:rPr>
          <w:rFonts w:hint="eastAsia"/>
        </w:rPr>
        <w:t>本文件由湖北省住房和城乡建设厅提出。</w:t>
      </w:r>
    </w:p>
    <w:p>
      <w:pPr>
        <w:pStyle w:val="60"/>
        <w:widowControl w:val="0"/>
        <w:spacing w:line="320" w:lineRule="exact"/>
        <w:ind w:firstLine="420"/>
      </w:pPr>
      <w:r>
        <w:rPr>
          <w:rFonts w:hint="eastAsia"/>
        </w:rPr>
        <w:t>本文件由湖北省住房和城乡建设厅归口并</w:t>
      </w:r>
      <w:r>
        <w:t>管理</w:t>
      </w:r>
      <w:r>
        <w:rPr>
          <w:rFonts w:hint="eastAsia"/>
        </w:rPr>
        <w:t>。</w:t>
      </w:r>
    </w:p>
    <w:p>
      <w:pPr>
        <w:pStyle w:val="263"/>
        <w:ind w:left="420" w:leftChars="200"/>
      </w:pPr>
      <w:r>
        <w:rPr>
          <w:rFonts w:hint="eastAsia"/>
        </w:rPr>
        <w:t>本文件主要起草单位：湖北省建筑科技与建筑节能办公室、湖北中城科绿色建筑研究院、湖北省建设工程质量安全监督总站、武汉市节能检测中心有限公司、湖北省建筑工程质量监督检验测试中心有限公司、湖北省地质实验测试中心、湖北华祥建设工程质量检测有限公司、武汉市建筑工程质量检测中心有限公司、湖北省建筑材料节能检测中心有限公司、武汉市中心工程检测有限公司、武汉理工大设计研究院有限公司、湖北中境工程检测有限公司</w:t>
      </w:r>
    </w:p>
    <w:p>
      <w:pPr>
        <w:pStyle w:val="60"/>
        <w:widowControl w:val="0"/>
        <w:spacing w:line="320" w:lineRule="exact"/>
        <w:ind w:left="420" w:leftChars="200" w:firstLine="0" w:firstLineChars="0"/>
      </w:pPr>
      <w:r>
        <w:rPr>
          <w:rFonts w:hint="eastAsia"/>
        </w:rPr>
        <w:t xml:space="preserve">本文件主要起草人：陈桂营、阮帆、孙金金、刘士清、代 丹、徐建军、胡君、黄清华、周 杰、丁云、邓鑫、陈应波、杨世涛、徐敏新、何凤、王凤予、汪 杰、刘红来、毛芊、戴安乐、彭慧、胡安、刘柯、李秀才、曹天书、李相学、胡智、易 俊、陈子威、陈瑾、李青洲、陈建珍、杨菊菊、张中卫、雷鸣、张虎、石伟、肖艳、程琬淋、田耿东、徐欣然、李祖豪、但良波、陈鸣浩、黄倞、屈成杰、胡欢、杨超、李 </w:t>
      </w:r>
      <w:r>
        <w:t xml:space="preserve"> </w:t>
      </w:r>
      <w:r>
        <w:rPr>
          <w:rFonts w:hint="eastAsia"/>
        </w:rPr>
        <w:t>菲</w:t>
      </w:r>
    </w:p>
    <w:p>
      <w:pPr>
        <w:pStyle w:val="60"/>
        <w:widowControl w:val="0"/>
        <w:spacing w:line="320" w:lineRule="exact"/>
        <w:ind w:firstLine="420"/>
      </w:pPr>
    </w:p>
    <w:p>
      <w:pPr>
        <w:pStyle w:val="60"/>
        <w:widowControl w:val="0"/>
        <w:spacing w:line="320" w:lineRule="exact"/>
        <w:ind w:firstLine="420"/>
      </w:pPr>
      <w:r>
        <w:rPr>
          <w:rFonts w:hint="eastAsia"/>
        </w:rPr>
        <w:t>本文件实施应用中的疑问，可咨询湖北省住房和城乡建设厅，联系电话：</w:t>
      </w:r>
      <w:r>
        <w:t>027-87715785</w:t>
      </w:r>
      <w:r>
        <w:rPr>
          <w:rFonts w:hint="eastAsia"/>
        </w:rPr>
        <w:t>，邮箱：</w:t>
      </w:r>
      <w:r>
        <w:t>bkc@hbszjt.net.cn</w:t>
      </w:r>
      <w:r>
        <w:rPr>
          <w:rFonts w:hint="eastAsia"/>
        </w:rPr>
        <w:t>。对本文件的有关修改意见和建议请反馈至湖北中城科绿色建筑研究院，联系电话：027-85890375，邮箱：</w:t>
      </w:r>
      <w:r>
        <w:t>hbzck2010@163.com</w:t>
      </w:r>
      <w:r>
        <w:rPr>
          <w:rFonts w:hint="eastAsia"/>
        </w:rPr>
        <w:t>。</w:t>
      </w:r>
    </w:p>
    <w:p/>
    <w:p/>
    <w:p/>
    <w:p/>
    <w:p/>
    <w:p/>
    <w:p/>
    <w:p/>
    <w:p/>
    <w:p/>
    <w:p/>
    <w:p/>
    <w:p/>
    <w:p/>
    <w:p>
      <w:pPr>
        <w:rPr>
          <w:spacing w:val="-20"/>
        </w:rPr>
        <w:sectPr>
          <w:pgSz w:w="11906" w:h="16838"/>
          <w:pgMar w:top="2410" w:right="1134" w:bottom="1134" w:left="1134" w:header="1418" w:footer="1134" w:gutter="284"/>
          <w:pgNumType w:fmt="upperRoman"/>
          <w:cols w:space="425" w:num="1"/>
          <w:formProt w:val="0"/>
          <w:docGrid w:type="lines" w:linePitch="312" w:charSpace="0"/>
        </w:sectPr>
      </w:pPr>
    </w:p>
    <w:bookmarkEnd w:id="21"/>
    <w:p>
      <w:pPr>
        <w:pStyle w:val="93"/>
        <w:numPr>
          <w:ilvl w:val="0"/>
          <w:numId w:val="32"/>
        </w:numPr>
        <w:spacing w:after="360"/>
      </w:pPr>
      <w:bookmarkStart w:id="22" w:name="_Toc129698149"/>
      <w:bookmarkStart w:id="23" w:name="_Toc129855756"/>
      <w:bookmarkStart w:id="24" w:name="_Toc129782121"/>
      <w:bookmarkStart w:id="25" w:name="_Toc129855982"/>
      <w:bookmarkStart w:id="26" w:name="BookMark3"/>
      <w:r>
        <w:t>引言</w:t>
      </w:r>
      <w:bookmarkEnd w:id="22"/>
      <w:bookmarkEnd w:id="23"/>
      <w:bookmarkEnd w:id="24"/>
      <w:bookmarkEnd w:id="25"/>
    </w:p>
    <w:p>
      <w:pPr>
        <w:pStyle w:val="60"/>
        <w:spacing w:line="320" w:lineRule="exact"/>
        <w:ind w:firstLine="420"/>
      </w:pPr>
      <w:r>
        <w:rPr>
          <w:rFonts w:hint="eastAsia"/>
        </w:rPr>
        <w:t>为推动绿色建筑高质量发展，竣工验收阶段及运行阶段应对绿色建筑的重要性能指标进行检测验证。现行的《绿色建筑评价标准》G</w:t>
      </w:r>
      <w:r>
        <w:t>B/T 50378</w:t>
      </w:r>
      <w:r>
        <w:rPr>
          <w:rFonts w:hint="eastAsia"/>
        </w:rPr>
        <w:t>中涉及的绿色建筑性能包含安全耐久、健康舒适、生活便利、资源节约（节地、节能、节水、节材）和环境宜居等内容，其涵盖的绿色建筑性能指标对应的现行检测标准种类多，有建工领域的，环保领域的，卫生健康领域的，检测要求存在差异性，在开展绿色建筑性能检测工作中，第三方检测机构经常碰到委托的项目绿色建筑性能检测指标不明确，抽样数量不明确，检测方法不明确等问题，导致</w:t>
      </w:r>
      <w:r>
        <w:rPr>
          <w:rFonts w:hint="eastAsia"/>
          <w:color w:val="000000" w:themeColor="text1"/>
          <w14:textFill>
            <w14:solidFill>
              <w14:schemeClr w14:val="tx1"/>
            </w14:solidFill>
          </w14:textFill>
        </w:rPr>
        <w:t>绿色建筑性能检测增量成本高、推行阻力大，</w:t>
      </w:r>
      <w:r>
        <w:rPr>
          <w:rFonts w:hint="eastAsia"/>
        </w:rPr>
        <w:t>不利于绿色建筑的高质量发展。因此，亟需编制一本适用于本省的绿色建筑检测的技术规程，明确绿色建筑检测的性能指标、抽样数量和检测方法，在保持与其他建筑工程标准协调一致的前提下，保证绿色建筑性能检测工作的规范性和科学性，为第三方检测机构，政府监管部门、第三方评价机构开展绿色建筑性能检测、验收及评价等提供检测依据。</w:t>
      </w:r>
    </w:p>
    <w:p>
      <w:pPr>
        <w:spacing w:line="320" w:lineRule="exact"/>
        <w:ind w:firstLine="420" w:firstLineChars="200"/>
      </w:pPr>
      <w:r>
        <w:rPr>
          <w:rFonts w:hint="eastAsia"/>
        </w:rPr>
        <w:t>本规程的编制原则包含“一致性、可量化、可操作、经济性”，即在保持与其他建筑工程验收标准协调一致的前提下，不应对相同的性能指标进行重复性检测，检测的性能指标可用具体的数据进行量化，提供的检测方法主要采用已有的成熟检测方法，现场容易实施并且可重复性强，在优化检测指标抽样数量的基础上达到控制绿色建筑性能检测的总体增量成本的目的，实现绿色建筑性能检测工作的经济性。</w:t>
      </w:r>
    </w:p>
    <w:p>
      <w:pPr>
        <w:spacing w:line="320" w:lineRule="exact"/>
        <w:ind w:firstLine="420" w:firstLineChars="200"/>
        <w:rPr>
          <w:rFonts w:ascii="仿宋" w:hAnsi="仿宋"/>
          <w:kern w:val="0"/>
          <w:sz w:val="22"/>
          <w:szCs w:val="22"/>
        </w:rPr>
      </w:pPr>
      <w:r>
        <w:rPr>
          <w:rFonts w:hint="eastAsia"/>
        </w:rPr>
        <w:t>本规程的检测指标内容来</w:t>
      </w:r>
      <w:r>
        <w:rPr>
          <w:rFonts w:hint="eastAsia" w:ascii="宋体" w:hAnsi="Times New Roman"/>
          <w:kern w:val="0"/>
          <w:szCs w:val="20"/>
        </w:rPr>
        <w:t>源于《绿色建筑评价标准》GB/T 50378-2019、湖北省《绿色建筑设计与工程验收标准》DB42/T 1319-2021、《建筑节能与可再生能源通用规范》GB 55015-2021、《建筑环境通用规范》GB 55016-2021等。</w:t>
      </w:r>
    </w:p>
    <w:p>
      <w:pPr>
        <w:spacing w:line="320" w:lineRule="exact"/>
        <w:ind w:firstLine="420" w:firstLineChars="200"/>
      </w:pPr>
      <w:r>
        <w:rPr>
          <w:rFonts w:hint="eastAsia"/>
        </w:rPr>
        <w:t>本规程定位为绿色建筑现场检测技术方法标准，即将绿色建筑性能检测指标内容统一到一本标准中，为使用者提供检测方法依据，即明确抽样数量要求、检测方法要求以及如何利用已有工程验收标准的检测报告的技术要求。本标准作为绿色建筑性能检测的检测标准，不回答不同绿色星级的项目哪些指标对象需要检测，只回答进行绿色建筑性能检测中，涉及的具体的检测对象，在现场检测时该如何抽样、如何取样以及采用何种检测方法进行检测。</w:t>
      </w:r>
    </w:p>
    <w:p>
      <w:pPr>
        <w:pStyle w:val="60"/>
        <w:spacing w:line="320" w:lineRule="exact"/>
        <w:ind w:firstLine="420"/>
      </w:pPr>
      <w:r>
        <w:rPr>
          <w:rFonts w:hint="eastAsia"/>
        </w:rPr>
        <w:t>本规程在协调其他验收标准方面，提出了对相同的检测项目，竣工验收阶段不应对相同的性能指标进行重复性检测的要求，即可直接利用已有的检测报告结论。同时，对于不同的检测目的和现场条件，部分绿色建筑的性能检测指标的检测方法要求有所不同，要根据实际情况加以区别对待。</w:t>
      </w:r>
    </w:p>
    <w:p>
      <w:pPr>
        <w:pStyle w:val="60"/>
        <w:ind w:firstLine="420"/>
      </w:pPr>
    </w:p>
    <w:p>
      <w:pPr>
        <w:pStyle w:val="60"/>
        <w:ind w:firstLine="420"/>
        <w:sectPr>
          <w:footerReference r:id="rId15" w:type="default"/>
          <w:footerReference r:id="rId16" w:type="even"/>
          <w:pgSz w:w="11900" w:h="16840"/>
          <w:pgMar w:top="1475" w:right="1780" w:bottom="1365" w:left="1765" w:header="1047" w:footer="937" w:gutter="0"/>
          <w:pgNumType w:fmt="upperRoman"/>
          <w:cols w:space="720" w:num="1"/>
          <w:docGrid w:linePitch="360" w:charSpace="0"/>
        </w:sectPr>
      </w:pPr>
    </w:p>
    <w:bookmarkEnd w:id="26"/>
    <w:p>
      <w:pPr>
        <w:spacing w:line="20" w:lineRule="exact"/>
        <w:jc w:val="center"/>
        <w:rPr>
          <w:rFonts w:ascii="黑体" w:hAnsi="黑体" w:eastAsia="黑体"/>
          <w:sz w:val="32"/>
          <w:szCs w:val="32"/>
        </w:rPr>
      </w:pPr>
      <w:bookmarkStart w:id="27" w:name="BookMark4"/>
    </w:p>
    <w:p>
      <w:pPr>
        <w:spacing w:line="20" w:lineRule="exact"/>
        <w:jc w:val="center"/>
        <w:rPr>
          <w:rFonts w:ascii="黑体" w:hAnsi="黑体" w:eastAsia="黑体"/>
          <w:sz w:val="32"/>
          <w:szCs w:val="32"/>
        </w:rPr>
      </w:pPr>
    </w:p>
    <w:sdt>
      <w:sdtPr>
        <w:tag w:val="NEW_STAND_NAME"/>
        <w:id w:val="595910757"/>
        <w:lock w:val="sdtLocked"/>
        <w:placeholder>
          <w:docPart w:val="815B9B31323F49D8A16D9D48E897B3E7"/>
        </w:placeholder>
      </w:sdtPr>
      <w:sdtContent>
        <w:p>
          <w:pPr>
            <w:pStyle w:val="181"/>
            <w:spacing w:before="2" w:beforeLines="1" w:after="528" w:afterLines="220"/>
          </w:pPr>
          <w:bookmarkStart w:id="28" w:name="NEW_STAND_NAME"/>
          <w:r>
            <w:rPr>
              <w:rFonts w:hint="eastAsia"/>
            </w:rPr>
            <w:t>绿色建筑检测技术规程</w:t>
          </w:r>
        </w:p>
      </w:sdtContent>
    </w:sdt>
    <w:bookmarkEnd w:id="28"/>
    <w:p>
      <w:pPr>
        <w:pStyle w:val="108"/>
        <w:spacing w:before="240" w:after="240"/>
        <w:ind w:left="0"/>
      </w:pPr>
      <w:bookmarkStart w:id="29" w:name="_Toc129698150"/>
      <w:bookmarkStart w:id="30" w:name="_Toc17233325"/>
      <w:bookmarkStart w:id="31" w:name="_Toc26986530"/>
      <w:bookmarkStart w:id="32" w:name="_Toc8328"/>
      <w:bookmarkStart w:id="33" w:name="_Toc129782122"/>
      <w:bookmarkStart w:id="34" w:name="_Toc129855757"/>
      <w:bookmarkStart w:id="35" w:name="_Toc26648465"/>
      <w:bookmarkStart w:id="36" w:name="_Toc26718930"/>
      <w:bookmarkStart w:id="37" w:name="_Toc17233333"/>
      <w:bookmarkStart w:id="38" w:name="_Toc24884218"/>
      <w:bookmarkStart w:id="39" w:name="_Toc24884211"/>
      <w:bookmarkStart w:id="40" w:name="_Toc129855983"/>
      <w:bookmarkStart w:id="41" w:name="_Toc26986771"/>
      <w:r>
        <w:rPr>
          <w:rFonts w:hint="eastAsia"/>
        </w:rPr>
        <w:t>范围</w:t>
      </w:r>
      <w:bookmarkEnd w:id="29"/>
      <w:bookmarkEnd w:id="30"/>
      <w:bookmarkEnd w:id="31"/>
      <w:bookmarkEnd w:id="32"/>
      <w:bookmarkEnd w:id="33"/>
      <w:bookmarkEnd w:id="34"/>
      <w:bookmarkEnd w:id="35"/>
      <w:bookmarkEnd w:id="36"/>
      <w:bookmarkEnd w:id="37"/>
      <w:bookmarkEnd w:id="38"/>
      <w:bookmarkEnd w:id="39"/>
      <w:bookmarkEnd w:id="40"/>
      <w:bookmarkEnd w:id="41"/>
    </w:p>
    <w:p>
      <w:pPr>
        <w:pStyle w:val="60"/>
        <w:ind w:firstLine="420"/>
      </w:pPr>
      <w:bookmarkStart w:id="42" w:name="_Toc24884219"/>
      <w:bookmarkStart w:id="43" w:name="_Toc17233334"/>
      <w:bookmarkStart w:id="44" w:name="_Toc17233326"/>
      <w:bookmarkStart w:id="45" w:name="_Toc26648466"/>
      <w:bookmarkStart w:id="46" w:name="_Toc24884212"/>
      <w:r>
        <w:rPr>
          <w:rFonts w:hint="eastAsia"/>
        </w:rPr>
        <w:t>本文件规定了对绿色建筑进行性能检测的基本规定、室外场地环境检测、室内环境检测、外围护结构性能检测、暖通空调系统检测、给水排水系统检测、供配电系统检测、照明系统检测、可再生能源系统检测、监测与控制系统性能检测的要求。</w:t>
      </w:r>
    </w:p>
    <w:p>
      <w:pPr>
        <w:pStyle w:val="60"/>
        <w:ind w:firstLine="420"/>
      </w:pPr>
      <w:r>
        <w:rPr>
          <w:rFonts w:hint="eastAsia"/>
        </w:rPr>
        <w:t>本文件适用于</w:t>
      </w:r>
      <w:r>
        <w:t>对新建、改建</w:t>
      </w:r>
      <w:r>
        <w:rPr>
          <w:rFonts w:hint="eastAsia"/>
        </w:rPr>
        <w:t>及</w:t>
      </w:r>
      <w:r>
        <w:t>扩建的绿色建筑所实施的检测</w:t>
      </w:r>
      <w:r>
        <w:rPr>
          <w:rFonts w:hint="eastAsia"/>
        </w:rPr>
        <w:t>。</w:t>
      </w:r>
    </w:p>
    <w:p>
      <w:pPr>
        <w:pStyle w:val="60"/>
        <w:ind w:firstLine="0" w:firstLineChars="0"/>
      </w:pPr>
    </w:p>
    <w:p>
      <w:pPr>
        <w:pStyle w:val="108"/>
        <w:spacing w:before="240" w:after="240"/>
        <w:ind w:left="0"/>
      </w:pPr>
      <w:bookmarkStart w:id="47" w:name="_Toc26986772"/>
      <w:bookmarkStart w:id="48" w:name="_Toc26718931"/>
      <w:bookmarkStart w:id="49" w:name="_Toc129855758"/>
      <w:bookmarkStart w:id="50" w:name="_Toc129855984"/>
      <w:bookmarkStart w:id="51" w:name="_Toc129698151"/>
      <w:bookmarkStart w:id="52" w:name="_Toc129782123"/>
      <w:bookmarkStart w:id="53" w:name="_Toc26986531"/>
      <w:bookmarkStart w:id="54" w:name="_Toc10191"/>
      <w:r>
        <w:rPr>
          <w:rFonts w:hint="eastAsia"/>
        </w:rPr>
        <w:t>规范性引用文件</w:t>
      </w:r>
      <w:bookmarkEnd w:id="42"/>
      <w:bookmarkEnd w:id="43"/>
      <w:bookmarkEnd w:id="44"/>
      <w:bookmarkEnd w:id="45"/>
      <w:bookmarkEnd w:id="46"/>
      <w:bookmarkEnd w:id="47"/>
      <w:bookmarkEnd w:id="48"/>
      <w:bookmarkEnd w:id="49"/>
      <w:bookmarkEnd w:id="50"/>
      <w:bookmarkEnd w:id="51"/>
      <w:bookmarkEnd w:id="52"/>
      <w:bookmarkEnd w:id="53"/>
      <w:bookmarkEnd w:id="54"/>
    </w:p>
    <w:p>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spacing w:line="240" w:lineRule="auto"/>
        <w:ind w:firstLine="420" w:firstLineChars="200"/>
        <w:rPr>
          <w:rFonts w:ascii="宋体" w:hAnsi="宋体"/>
        </w:rPr>
      </w:pPr>
      <w:r>
        <w:rPr>
          <w:rFonts w:hint="eastAsia" w:ascii="宋体" w:hAnsi="宋体"/>
        </w:rPr>
        <w:t>GB 50118 民用建筑隔声设计规范</w:t>
      </w:r>
    </w:p>
    <w:p>
      <w:pPr>
        <w:spacing w:line="240" w:lineRule="auto"/>
        <w:ind w:firstLine="420" w:firstLineChars="200"/>
        <w:rPr>
          <w:rFonts w:ascii="宋体" w:hAnsi="宋体"/>
        </w:rPr>
      </w:pPr>
      <w:r>
        <w:rPr>
          <w:rFonts w:hint="eastAsia" w:ascii="宋体" w:hAnsi="宋体"/>
        </w:rPr>
        <w:t>GB 50325 民用建筑工程室内环境污染控制标准</w:t>
      </w:r>
    </w:p>
    <w:p>
      <w:pPr>
        <w:spacing w:line="240" w:lineRule="auto"/>
        <w:ind w:firstLine="420" w:firstLineChars="200"/>
        <w:rPr>
          <w:rFonts w:ascii="宋体" w:hAnsi="宋体"/>
          <w:color w:val="000000"/>
        </w:rPr>
      </w:pPr>
      <w:r>
        <w:rPr>
          <w:rFonts w:hint="eastAsia" w:ascii="宋体" w:hAnsi="宋体"/>
          <w:color w:val="000000"/>
        </w:rPr>
        <w:t>GB 8702</w:t>
      </w:r>
      <w:r>
        <w:rPr>
          <w:rFonts w:ascii="宋体" w:hAnsi="宋体"/>
          <w:color w:val="000000"/>
        </w:rPr>
        <w:t xml:space="preserve">  </w:t>
      </w:r>
      <w:r>
        <w:rPr>
          <w:rFonts w:hint="eastAsia" w:ascii="宋体" w:hAnsi="宋体"/>
          <w:color w:val="000000"/>
        </w:rPr>
        <w:t>电磁环境控制限值</w:t>
      </w:r>
    </w:p>
    <w:p>
      <w:pPr>
        <w:pStyle w:val="236"/>
        <w:widowControl/>
        <w:spacing w:line="240" w:lineRule="auto"/>
        <w:ind w:firstLine="420" w:firstLineChars="200"/>
        <w:jc w:val="left"/>
        <w:rPr>
          <w:color w:val="000000"/>
          <w:sz w:val="21"/>
          <w:szCs w:val="21"/>
        </w:rPr>
      </w:pPr>
      <w:r>
        <w:rPr>
          <w:rFonts w:hint="eastAsia"/>
          <w:color w:val="000000"/>
          <w:sz w:val="21"/>
          <w:szCs w:val="21"/>
        </w:rPr>
        <w:t>GB 5749</w:t>
      </w:r>
      <w:r>
        <w:rPr>
          <w:rFonts w:eastAsia="PMingLiU"/>
          <w:color w:val="000000"/>
          <w:sz w:val="21"/>
          <w:szCs w:val="21"/>
        </w:rPr>
        <w:t xml:space="preserve">  </w:t>
      </w:r>
      <w:r>
        <w:rPr>
          <w:rFonts w:hint="eastAsia"/>
          <w:color w:val="000000"/>
          <w:sz w:val="21"/>
          <w:szCs w:val="21"/>
        </w:rPr>
        <w:t>生活饮用水卫生标准</w:t>
      </w:r>
    </w:p>
    <w:p>
      <w:pPr>
        <w:pStyle w:val="236"/>
        <w:widowControl/>
        <w:spacing w:line="240" w:lineRule="auto"/>
        <w:ind w:firstLine="420" w:firstLineChars="200"/>
        <w:jc w:val="left"/>
        <w:rPr>
          <w:color w:val="000000"/>
          <w:sz w:val="21"/>
          <w:szCs w:val="21"/>
        </w:rPr>
      </w:pPr>
      <w:r>
        <w:rPr>
          <w:rFonts w:hint="eastAsia"/>
          <w:color w:val="000000"/>
          <w:sz w:val="21"/>
          <w:szCs w:val="21"/>
        </w:rPr>
        <w:t>GB 17051</w:t>
      </w:r>
      <w:r>
        <w:rPr>
          <w:rFonts w:eastAsia="PMingLiU"/>
          <w:color w:val="000000"/>
          <w:sz w:val="21"/>
          <w:szCs w:val="21"/>
        </w:rPr>
        <w:t xml:space="preserve"> </w:t>
      </w:r>
      <w:r>
        <w:rPr>
          <w:rFonts w:hint="eastAsia"/>
          <w:color w:val="000000"/>
          <w:sz w:val="21"/>
          <w:szCs w:val="21"/>
        </w:rPr>
        <w:t>二次供水设施卫生规范</w:t>
      </w:r>
    </w:p>
    <w:p>
      <w:pPr>
        <w:pStyle w:val="236"/>
        <w:widowControl/>
        <w:spacing w:line="240" w:lineRule="auto"/>
        <w:ind w:firstLine="420" w:firstLineChars="200"/>
        <w:jc w:val="left"/>
        <w:rPr>
          <w:color w:val="000000"/>
          <w:sz w:val="21"/>
          <w:szCs w:val="21"/>
        </w:rPr>
      </w:pPr>
      <w:r>
        <w:rPr>
          <w:rFonts w:hint="eastAsia"/>
          <w:color w:val="000000"/>
          <w:sz w:val="21"/>
          <w:szCs w:val="21"/>
        </w:rPr>
        <w:t>GB 8978</w:t>
      </w:r>
      <w:r>
        <w:rPr>
          <w:rFonts w:eastAsia="PMingLiU"/>
          <w:color w:val="000000"/>
          <w:sz w:val="21"/>
          <w:szCs w:val="21"/>
        </w:rPr>
        <w:t xml:space="preserve">  </w:t>
      </w:r>
      <w:r>
        <w:rPr>
          <w:rFonts w:hint="eastAsia"/>
          <w:color w:val="000000"/>
          <w:sz w:val="21"/>
          <w:szCs w:val="21"/>
        </w:rPr>
        <w:t>污水综合排放标准</w:t>
      </w:r>
    </w:p>
    <w:p>
      <w:pPr>
        <w:pStyle w:val="236"/>
        <w:widowControl/>
        <w:spacing w:line="240" w:lineRule="auto"/>
        <w:ind w:firstLine="420" w:firstLineChars="200"/>
        <w:jc w:val="left"/>
        <w:rPr>
          <w:sz w:val="21"/>
          <w:szCs w:val="21"/>
        </w:rPr>
      </w:pPr>
      <w:r>
        <w:rPr>
          <w:rFonts w:hint="eastAsia"/>
          <w:sz w:val="21"/>
          <w:szCs w:val="21"/>
        </w:rPr>
        <w:t>GB 50034</w:t>
      </w:r>
      <w:r>
        <w:rPr>
          <w:rFonts w:eastAsia="PMingLiU"/>
          <w:sz w:val="21"/>
          <w:szCs w:val="21"/>
        </w:rPr>
        <w:t xml:space="preserve"> </w:t>
      </w:r>
      <w:r>
        <w:rPr>
          <w:rFonts w:hint="eastAsia"/>
          <w:sz w:val="21"/>
          <w:szCs w:val="21"/>
        </w:rPr>
        <w:t>建筑照明设计标准</w:t>
      </w:r>
    </w:p>
    <w:p>
      <w:pPr>
        <w:spacing w:line="240" w:lineRule="auto"/>
        <w:ind w:firstLine="420" w:firstLineChars="200"/>
        <w:rPr>
          <w:rFonts w:ascii="宋体" w:hAnsi="宋体"/>
        </w:rPr>
      </w:pPr>
      <w:r>
        <w:rPr>
          <w:rFonts w:hint="eastAsia" w:ascii="宋体" w:hAnsi="宋体"/>
        </w:rPr>
        <w:t>GB/T 18883 室内空气质量标准</w:t>
      </w:r>
    </w:p>
    <w:p>
      <w:pPr>
        <w:spacing w:line="240" w:lineRule="auto"/>
        <w:ind w:firstLine="420" w:firstLineChars="200"/>
        <w:rPr>
          <w:rFonts w:ascii="宋体" w:hAnsi="宋体"/>
        </w:rPr>
      </w:pPr>
      <w:r>
        <w:rPr>
          <w:rFonts w:hint="eastAsia" w:ascii="宋体" w:hAnsi="宋体"/>
        </w:rPr>
        <w:t>GB/T 5700 照明测量方法</w:t>
      </w:r>
    </w:p>
    <w:p>
      <w:pPr>
        <w:spacing w:line="240" w:lineRule="auto"/>
        <w:ind w:firstLine="420" w:firstLineChars="200"/>
        <w:rPr>
          <w:rFonts w:ascii="宋体" w:hAnsi="宋体"/>
        </w:rPr>
      </w:pPr>
      <w:r>
        <w:rPr>
          <w:rFonts w:hint="eastAsia" w:ascii="宋体" w:hAnsi="宋体"/>
        </w:rPr>
        <w:t>GB/T 5699 采光测量方法</w:t>
      </w:r>
    </w:p>
    <w:p>
      <w:pPr>
        <w:spacing w:line="240" w:lineRule="auto"/>
        <w:ind w:firstLine="420" w:firstLineChars="200"/>
        <w:rPr>
          <w:rFonts w:ascii="宋体" w:hAnsi="宋体"/>
        </w:rPr>
      </w:pPr>
      <w:r>
        <w:rPr>
          <w:rFonts w:hint="eastAsia" w:ascii="宋体" w:hAnsi="宋体"/>
        </w:rPr>
        <w:t>GB/T 3096 声环境质量标准</w:t>
      </w:r>
    </w:p>
    <w:p>
      <w:pPr>
        <w:spacing w:line="240" w:lineRule="auto"/>
        <w:ind w:firstLine="420" w:firstLineChars="200"/>
        <w:rPr>
          <w:rFonts w:ascii="宋体" w:hAnsi="宋体"/>
        </w:rPr>
      </w:pPr>
      <w:r>
        <w:rPr>
          <w:rFonts w:hint="eastAsia" w:ascii="宋体" w:hAnsi="宋体"/>
        </w:rPr>
        <w:t>GB/T 8978 污水综合排放标准</w:t>
      </w:r>
    </w:p>
    <w:p>
      <w:pPr>
        <w:spacing w:line="240" w:lineRule="auto"/>
        <w:ind w:firstLine="420" w:firstLineChars="200"/>
        <w:rPr>
          <w:rFonts w:ascii="宋体" w:hAnsi="宋体"/>
        </w:rPr>
      </w:pPr>
      <w:r>
        <w:rPr>
          <w:rFonts w:hint="eastAsia" w:ascii="宋体" w:hAnsi="宋体"/>
        </w:rPr>
        <w:t>GB/T 50801 可再生能源建筑应用工程评价标准</w:t>
      </w:r>
    </w:p>
    <w:p>
      <w:pPr>
        <w:spacing w:line="240" w:lineRule="auto"/>
        <w:ind w:firstLine="420" w:firstLineChars="200"/>
        <w:rPr>
          <w:rFonts w:ascii="宋体" w:hAnsi="宋体"/>
          <w:color w:val="000000"/>
        </w:rPr>
      </w:pPr>
      <w:r>
        <w:rPr>
          <w:rFonts w:hint="eastAsia" w:ascii="宋体" w:hAnsi="宋体"/>
          <w:color w:val="000000"/>
        </w:rPr>
        <w:t>GB/T 34973 LED显示屏干扰光现场测量方法</w:t>
      </w:r>
    </w:p>
    <w:p>
      <w:pPr>
        <w:spacing w:line="240" w:lineRule="auto"/>
        <w:ind w:firstLine="420" w:firstLineChars="200"/>
        <w:rPr>
          <w:rFonts w:ascii="宋体" w:hAnsi="宋体"/>
          <w:color w:val="000000"/>
        </w:rPr>
      </w:pPr>
      <w:r>
        <w:rPr>
          <w:rFonts w:hint="eastAsia" w:ascii="宋体" w:hAnsi="宋体"/>
          <w:color w:val="000000"/>
        </w:rPr>
        <w:t>GB/T 36261建筑用节能玻璃光学及热工参数现场测量技术条件与计算方法</w:t>
      </w:r>
    </w:p>
    <w:p>
      <w:pPr>
        <w:spacing w:line="240" w:lineRule="auto"/>
        <w:ind w:firstLine="420" w:firstLineChars="200"/>
        <w:rPr>
          <w:rFonts w:ascii="宋体" w:hAnsi="宋体"/>
          <w:color w:val="000000"/>
        </w:rPr>
      </w:pPr>
      <w:r>
        <w:rPr>
          <w:rFonts w:hint="eastAsia" w:ascii="宋体" w:hAnsi="宋体"/>
          <w:color w:val="000000"/>
        </w:rPr>
        <w:t>GB/T 28635混凝土路面砖</w:t>
      </w:r>
    </w:p>
    <w:p>
      <w:pPr>
        <w:spacing w:line="240" w:lineRule="auto"/>
        <w:ind w:left="1890" w:leftChars="200" w:hanging="1470" w:hangingChars="700"/>
        <w:rPr>
          <w:rFonts w:ascii="宋体" w:hAnsi="宋体"/>
          <w:color w:val="000000"/>
        </w:rPr>
      </w:pPr>
      <w:r>
        <w:rPr>
          <w:rFonts w:hint="eastAsia" w:ascii="宋体" w:hAnsi="宋体"/>
          <w:color w:val="000000"/>
        </w:rPr>
        <w:t>GB/T 19889.4声学 建筑和建筑构件隔声测量 第4部分：房间之间空气声隔声的现场测</w:t>
      </w:r>
    </w:p>
    <w:p>
      <w:pPr>
        <w:spacing w:line="240" w:lineRule="auto"/>
        <w:ind w:firstLine="1680" w:firstLineChars="800"/>
        <w:rPr>
          <w:rFonts w:ascii="宋体" w:hAnsi="宋体"/>
          <w:color w:val="000000"/>
        </w:rPr>
      </w:pPr>
      <w:r>
        <w:rPr>
          <w:rFonts w:hint="eastAsia" w:ascii="宋体" w:hAnsi="宋体"/>
          <w:color w:val="000000"/>
        </w:rPr>
        <w:t>量</w:t>
      </w:r>
    </w:p>
    <w:p>
      <w:pPr>
        <w:spacing w:line="240" w:lineRule="auto"/>
        <w:ind w:left="1890" w:leftChars="200" w:hanging="1470" w:hangingChars="700"/>
        <w:rPr>
          <w:rFonts w:ascii="宋体" w:hAnsi="宋体"/>
        </w:rPr>
      </w:pPr>
      <w:r>
        <w:rPr>
          <w:rFonts w:hint="eastAsia" w:ascii="宋体" w:hAnsi="宋体"/>
        </w:rPr>
        <w:t>GB/T 19889.5声学 建筑和建筑构件隔声测量 第5部分：外墙构件和外墙空气声隔声的</w:t>
      </w:r>
    </w:p>
    <w:p>
      <w:pPr>
        <w:spacing w:line="240" w:lineRule="auto"/>
        <w:ind w:left="1890" w:leftChars="800" w:hanging="210" w:hangingChars="100"/>
        <w:rPr>
          <w:rFonts w:ascii="宋体" w:hAnsi="宋体"/>
        </w:rPr>
      </w:pPr>
      <w:r>
        <w:rPr>
          <w:rFonts w:hint="eastAsia" w:ascii="宋体" w:hAnsi="宋体"/>
        </w:rPr>
        <w:t>现场测量</w:t>
      </w:r>
    </w:p>
    <w:p>
      <w:pPr>
        <w:spacing w:line="240" w:lineRule="auto"/>
        <w:ind w:firstLine="420" w:firstLineChars="200"/>
        <w:rPr>
          <w:rFonts w:ascii="宋体" w:hAnsi="宋体"/>
          <w:color w:val="000000"/>
        </w:rPr>
      </w:pPr>
      <w:r>
        <w:rPr>
          <w:rFonts w:hint="eastAsia" w:ascii="宋体" w:hAnsi="宋体"/>
          <w:color w:val="000000"/>
        </w:rPr>
        <w:t>GB/T 19889.7声学 建筑和建筑构件隔声测量 第7部分：楼板撞击声隔声的现场测量</w:t>
      </w:r>
    </w:p>
    <w:p>
      <w:pPr>
        <w:spacing w:line="240" w:lineRule="auto"/>
        <w:ind w:firstLine="420" w:firstLineChars="200"/>
        <w:rPr>
          <w:rFonts w:ascii="宋体" w:hAnsi="宋体"/>
          <w:color w:val="000000"/>
        </w:rPr>
      </w:pPr>
      <w:r>
        <w:rPr>
          <w:rFonts w:hint="eastAsia" w:ascii="宋体" w:hAnsi="宋体"/>
          <w:color w:val="000000"/>
        </w:rPr>
        <w:t>GB/T 19889.14声学 建筑和建筑构件隔声测量 第14部分：特殊现场测量导则</w:t>
      </w:r>
    </w:p>
    <w:p>
      <w:pPr>
        <w:spacing w:line="240" w:lineRule="auto"/>
        <w:ind w:firstLine="420" w:firstLineChars="200"/>
        <w:rPr>
          <w:rFonts w:ascii="宋体" w:hAnsi="宋体"/>
          <w:color w:val="000000"/>
        </w:rPr>
      </w:pPr>
      <w:r>
        <w:rPr>
          <w:rFonts w:hint="eastAsia" w:ascii="宋体" w:hAnsi="宋体"/>
          <w:color w:val="000000"/>
        </w:rPr>
        <w:t>GB/T 50355</w:t>
      </w:r>
      <w:r>
        <w:rPr>
          <w:rFonts w:ascii="宋体" w:hAnsi="宋体"/>
          <w:color w:val="000000"/>
        </w:rPr>
        <w:t xml:space="preserve"> </w:t>
      </w:r>
      <w:r>
        <w:rPr>
          <w:rFonts w:hint="eastAsia" w:ascii="宋体" w:hAnsi="宋体"/>
          <w:color w:val="000000"/>
        </w:rPr>
        <w:t>住宅建筑室内振动限值及其测量方法标准</w:t>
      </w:r>
    </w:p>
    <w:p>
      <w:pPr>
        <w:spacing w:line="240" w:lineRule="auto"/>
        <w:ind w:firstLine="420" w:firstLineChars="200"/>
        <w:rPr>
          <w:rFonts w:ascii="宋体" w:hAnsi="宋体"/>
          <w:color w:val="000000"/>
        </w:rPr>
      </w:pPr>
      <w:r>
        <w:rPr>
          <w:rFonts w:hint="eastAsia" w:ascii="宋体" w:hAnsi="宋体"/>
          <w:color w:val="000000"/>
        </w:rPr>
        <w:t>GB/T 50076</w:t>
      </w:r>
      <w:r>
        <w:rPr>
          <w:rFonts w:ascii="宋体" w:hAnsi="宋体"/>
          <w:color w:val="000000"/>
        </w:rPr>
        <w:t xml:space="preserve"> </w:t>
      </w:r>
      <w:r>
        <w:rPr>
          <w:rFonts w:hint="eastAsia" w:ascii="宋体" w:hAnsi="宋体"/>
          <w:color w:val="000000"/>
        </w:rPr>
        <w:t>室内混响时间测量规范</w:t>
      </w:r>
    </w:p>
    <w:p>
      <w:pPr>
        <w:spacing w:line="240" w:lineRule="auto"/>
        <w:ind w:firstLine="420" w:firstLineChars="200"/>
        <w:rPr>
          <w:rFonts w:ascii="宋体" w:hAnsi="宋体"/>
        </w:rPr>
      </w:pPr>
      <w:r>
        <w:rPr>
          <w:rFonts w:hint="eastAsia" w:ascii="宋体" w:hAnsi="宋体"/>
        </w:rPr>
        <w:t>GB/T 50785</w:t>
      </w:r>
      <w:r>
        <w:rPr>
          <w:rFonts w:ascii="宋体" w:hAnsi="宋体"/>
        </w:rPr>
        <w:t xml:space="preserve"> </w:t>
      </w:r>
      <w:r>
        <w:rPr>
          <w:rFonts w:hint="eastAsia" w:ascii="宋体" w:hAnsi="宋体"/>
        </w:rPr>
        <w:t>民用建筑室内热湿环境评价标准</w:t>
      </w:r>
    </w:p>
    <w:p>
      <w:pPr>
        <w:spacing w:line="240" w:lineRule="auto"/>
        <w:ind w:firstLine="420" w:firstLineChars="200"/>
        <w:rPr>
          <w:rFonts w:ascii="宋体" w:hAnsi="宋体"/>
        </w:rPr>
      </w:pPr>
      <w:r>
        <w:rPr>
          <w:rFonts w:hint="eastAsia" w:ascii="宋体" w:hAnsi="宋体"/>
        </w:rPr>
        <w:t>GB/T 18204.1公共场所卫生检验方法 第1部分：物理因素</w:t>
      </w:r>
    </w:p>
    <w:p>
      <w:pPr>
        <w:pStyle w:val="236"/>
        <w:widowControl/>
        <w:spacing w:line="240" w:lineRule="auto"/>
        <w:ind w:firstLine="420" w:firstLineChars="200"/>
        <w:jc w:val="left"/>
        <w:rPr>
          <w:color w:val="000000"/>
          <w:sz w:val="21"/>
          <w:szCs w:val="21"/>
        </w:rPr>
      </w:pPr>
      <w:r>
        <w:rPr>
          <w:rFonts w:hint="eastAsia"/>
          <w:color w:val="000000"/>
          <w:sz w:val="21"/>
          <w:szCs w:val="21"/>
        </w:rPr>
        <w:t>GB/T 29044</w:t>
      </w:r>
      <w:r>
        <w:rPr>
          <w:rFonts w:eastAsia="PMingLiU"/>
          <w:color w:val="000000"/>
          <w:sz w:val="21"/>
          <w:szCs w:val="21"/>
        </w:rPr>
        <w:t xml:space="preserve"> </w:t>
      </w:r>
      <w:r>
        <w:rPr>
          <w:rFonts w:hint="eastAsia"/>
          <w:color w:val="000000"/>
          <w:sz w:val="21"/>
          <w:szCs w:val="21"/>
        </w:rPr>
        <w:t>采暖空调系统水质</w:t>
      </w:r>
    </w:p>
    <w:p>
      <w:pPr>
        <w:pStyle w:val="236"/>
        <w:widowControl/>
        <w:spacing w:line="240" w:lineRule="auto"/>
        <w:ind w:firstLine="420" w:firstLineChars="200"/>
        <w:jc w:val="left"/>
        <w:rPr>
          <w:color w:val="000000"/>
          <w:sz w:val="21"/>
          <w:szCs w:val="21"/>
        </w:rPr>
      </w:pPr>
      <w:r>
        <w:rPr>
          <w:rFonts w:hint="eastAsia"/>
          <w:color w:val="000000"/>
          <w:sz w:val="21"/>
          <w:szCs w:val="21"/>
        </w:rPr>
        <w:t>GB/T 18921</w:t>
      </w:r>
      <w:r>
        <w:rPr>
          <w:rFonts w:eastAsia="PMingLiU"/>
          <w:color w:val="000000"/>
          <w:sz w:val="21"/>
          <w:szCs w:val="21"/>
        </w:rPr>
        <w:t xml:space="preserve"> </w:t>
      </w:r>
      <w:r>
        <w:rPr>
          <w:rFonts w:hint="eastAsia"/>
          <w:color w:val="000000"/>
          <w:sz w:val="21"/>
          <w:szCs w:val="21"/>
        </w:rPr>
        <w:t>城市污水再生利用 景观环境用水水质</w:t>
      </w:r>
    </w:p>
    <w:p>
      <w:pPr>
        <w:pStyle w:val="236"/>
        <w:widowControl/>
        <w:spacing w:line="240" w:lineRule="auto"/>
        <w:ind w:firstLine="420" w:firstLineChars="200"/>
        <w:jc w:val="left"/>
        <w:rPr>
          <w:color w:val="000000"/>
          <w:sz w:val="21"/>
          <w:szCs w:val="21"/>
        </w:rPr>
      </w:pPr>
      <w:r>
        <w:rPr>
          <w:rFonts w:hint="eastAsia"/>
          <w:color w:val="000000"/>
          <w:sz w:val="21"/>
          <w:szCs w:val="21"/>
        </w:rPr>
        <w:t>GB/T 18920</w:t>
      </w:r>
      <w:r>
        <w:rPr>
          <w:rFonts w:eastAsia="PMingLiU"/>
          <w:color w:val="000000"/>
          <w:sz w:val="21"/>
          <w:szCs w:val="21"/>
        </w:rPr>
        <w:t xml:space="preserve"> </w:t>
      </w:r>
      <w:r>
        <w:rPr>
          <w:rFonts w:hint="eastAsia"/>
          <w:color w:val="000000"/>
          <w:sz w:val="21"/>
          <w:szCs w:val="21"/>
        </w:rPr>
        <w:t>城市污水再生利用</w:t>
      </w:r>
      <w:r>
        <w:rPr>
          <w:rFonts w:hint="eastAsia"/>
          <w:color w:val="000000"/>
          <w:sz w:val="21"/>
          <w:szCs w:val="21"/>
          <w:lang w:eastAsia="zh-CN"/>
        </w:rPr>
        <w:t xml:space="preserve"> </w:t>
      </w:r>
      <w:r>
        <w:rPr>
          <w:rFonts w:hint="eastAsia"/>
          <w:color w:val="000000"/>
          <w:sz w:val="21"/>
          <w:szCs w:val="21"/>
        </w:rPr>
        <w:t>城市杂用水水质</w:t>
      </w:r>
    </w:p>
    <w:p>
      <w:pPr>
        <w:pStyle w:val="236"/>
        <w:widowControl/>
        <w:spacing w:line="240" w:lineRule="auto"/>
        <w:ind w:firstLine="420" w:firstLineChars="200"/>
        <w:jc w:val="left"/>
        <w:rPr>
          <w:color w:val="000000"/>
          <w:sz w:val="21"/>
          <w:szCs w:val="21"/>
        </w:rPr>
      </w:pPr>
      <w:r>
        <w:rPr>
          <w:rFonts w:hint="eastAsia"/>
          <w:color w:val="000000"/>
          <w:sz w:val="21"/>
          <w:szCs w:val="21"/>
        </w:rPr>
        <w:t>GB 18871</w:t>
      </w:r>
      <w:r>
        <w:rPr>
          <w:rFonts w:eastAsia="PMingLiU"/>
          <w:color w:val="000000"/>
          <w:sz w:val="21"/>
          <w:szCs w:val="21"/>
        </w:rPr>
        <w:t xml:space="preserve"> </w:t>
      </w:r>
      <w:r>
        <w:rPr>
          <w:rFonts w:hint="eastAsia"/>
          <w:color w:val="000000"/>
          <w:sz w:val="21"/>
          <w:szCs w:val="21"/>
        </w:rPr>
        <w:t>电离辐射防护与辐射源安全基本标准</w:t>
      </w:r>
    </w:p>
    <w:p>
      <w:pPr>
        <w:pStyle w:val="236"/>
        <w:widowControl/>
        <w:spacing w:line="240" w:lineRule="auto"/>
        <w:ind w:firstLine="420" w:firstLineChars="200"/>
        <w:jc w:val="left"/>
        <w:rPr>
          <w:rFonts w:cs="黑体"/>
          <w:color w:val="000000"/>
          <w:sz w:val="21"/>
          <w:szCs w:val="21"/>
        </w:rPr>
      </w:pPr>
      <w:r>
        <w:rPr>
          <w:rFonts w:hint="eastAsia" w:cs="黑体"/>
          <w:color w:val="000000"/>
          <w:sz w:val="21"/>
          <w:szCs w:val="21"/>
        </w:rPr>
        <w:t>GB/T 7922</w:t>
      </w:r>
      <w:r>
        <w:rPr>
          <w:rFonts w:eastAsia="PMingLiU" w:cs="黑体"/>
          <w:color w:val="000000"/>
          <w:sz w:val="21"/>
          <w:szCs w:val="21"/>
        </w:rPr>
        <w:t xml:space="preserve"> </w:t>
      </w:r>
      <w:r>
        <w:rPr>
          <w:rFonts w:hint="eastAsia" w:cs="黑体"/>
          <w:color w:val="000000"/>
          <w:sz w:val="21"/>
          <w:szCs w:val="21"/>
        </w:rPr>
        <w:t>照明光源颜色的测量方法</w:t>
      </w:r>
    </w:p>
    <w:p>
      <w:pPr>
        <w:pStyle w:val="236"/>
        <w:widowControl/>
        <w:spacing w:line="240" w:lineRule="auto"/>
        <w:ind w:firstLine="420" w:firstLineChars="200"/>
        <w:jc w:val="left"/>
        <w:rPr>
          <w:rFonts w:cs="黑体"/>
          <w:color w:val="000000"/>
          <w:sz w:val="21"/>
          <w:szCs w:val="21"/>
        </w:rPr>
      </w:pPr>
      <w:r>
        <w:rPr>
          <w:rFonts w:hint="eastAsia" w:cs="黑体"/>
          <w:color w:val="000000"/>
          <w:sz w:val="21"/>
          <w:szCs w:val="21"/>
        </w:rPr>
        <w:t>GB/T 5702</w:t>
      </w:r>
      <w:r>
        <w:rPr>
          <w:rFonts w:eastAsia="PMingLiU" w:cs="黑体"/>
          <w:color w:val="000000"/>
          <w:sz w:val="21"/>
          <w:szCs w:val="21"/>
        </w:rPr>
        <w:t xml:space="preserve"> </w:t>
      </w:r>
      <w:r>
        <w:rPr>
          <w:rFonts w:hint="eastAsia" w:cs="黑体"/>
          <w:color w:val="000000"/>
          <w:sz w:val="21"/>
          <w:szCs w:val="21"/>
        </w:rPr>
        <w:t>光源显色性的评价方法</w:t>
      </w:r>
    </w:p>
    <w:p>
      <w:pPr>
        <w:pStyle w:val="236"/>
        <w:widowControl/>
        <w:spacing w:line="240" w:lineRule="auto"/>
        <w:ind w:firstLine="420" w:firstLineChars="200"/>
        <w:jc w:val="left"/>
        <w:rPr>
          <w:rFonts w:cs="Times New Roman"/>
          <w:color w:val="000000"/>
          <w:sz w:val="21"/>
          <w:szCs w:val="21"/>
        </w:rPr>
      </w:pPr>
      <w:r>
        <w:rPr>
          <w:rFonts w:hint="eastAsia" w:cs="Times New Roman"/>
          <w:color w:val="000000"/>
          <w:sz w:val="21"/>
          <w:szCs w:val="21"/>
        </w:rPr>
        <w:t>GB/T 50801</w:t>
      </w:r>
      <w:r>
        <w:rPr>
          <w:rFonts w:eastAsia="PMingLiU" w:cs="Times New Roman"/>
          <w:color w:val="000000"/>
          <w:sz w:val="21"/>
          <w:szCs w:val="21"/>
        </w:rPr>
        <w:t xml:space="preserve"> </w:t>
      </w:r>
      <w:r>
        <w:rPr>
          <w:rFonts w:hint="eastAsia" w:cs="Times New Roman"/>
          <w:color w:val="000000"/>
          <w:sz w:val="21"/>
          <w:szCs w:val="21"/>
        </w:rPr>
        <w:t>可再生能源建筑应用工程评价标准</w:t>
      </w:r>
    </w:p>
    <w:p>
      <w:pPr>
        <w:spacing w:line="240" w:lineRule="auto"/>
        <w:ind w:firstLine="420" w:firstLineChars="200"/>
        <w:rPr>
          <w:rFonts w:ascii="宋体" w:hAnsi="宋体"/>
          <w:color w:val="000000"/>
        </w:rPr>
      </w:pPr>
      <w:r>
        <w:rPr>
          <w:rFonts w:hint="eastAsia" w:ascii="宋体" w:hAnsi="宋体"/>
          <w:color w:val="000000"/>
        </w:rPr>
        <w:t>HJ 681</w:t>
      </w:r>
      <w:r>
        <w:rPr>
          <w:rFonts w:ascii="宋体" w:hAnsi="宋体"/>
          <w:color w:val="000000"/>
        </w:rPr>
        <w:t xml:space="preserve"> </w:t>
      </w:r>
      <w:r>
        <w:rPr>
          <w:rFonts w:hint="eastAsia" w:ascii="宋体" w:hAnsi="宋体"/>
          <w:color w:val="000000"/>
        </w:rPr>
        <w:t>交流输变电工程电磁环境监测方法（试行）</w:t>
      </w:r>
    </w:p>
    <w:p>
      <w:pPr>
        <w:spacing w:line="240" w:lineRule="auto"/>
        <w:ind w:firstLine="420" w:firstLineChars="200"/>
        <w:rPr>
          <w:rFonts w:ascii="宋体" w:hAnsi="宋体"/>
          <w:color w:val="000000"/>
        </w:rPr>
      </w:pPr>
      <w:r>
        <w:rPr>
          <w:rFonts w:hint="eastAsia" w:ascii="宋体" w:hAnsi="宋体"/>
          <w:color w:val="000000"/>
        </w:rPr>
        <w:t>HJ/T 10.3</w:t>
      </w:r>
      <w:r>
        <w:rPr>
          <w:rFonts w:ascii="宋体" w:hAnsi="宋体"/>
          <w:color w:val="000000"/>
        </w:rPr>
        <w:t xml:space="preserve"> </w:t>
      </w:r>
      <w:r>
        <w:rPr>
          <w:rFonts w:hint="eastAsia" w:ascii="宋体" w:hAnsi="宋体"/>
          <w:color w:val="000000"/>
        </w:rPr>
        <w:t>辐射环境保护管理导则 电磁辐射环境影响评价方法与标准</w:t>
      </w:r>
    </w:p>
    <w:p>
      <w:pPr>
        <w:spacing w:line="240" w:lineRule="auto"/>
        <w:ind w:firstLine="420" w:firstLineChars="200"/>
        <w:rPr>
          <w:rFonts w:ascii="宋体" w:hAnsi="宋体"/>
          <w:color w:val="000000"/>
        </w:rPr>
      </w:pPr>
      <w:r>
        <w:rPr>
          <w:rFonts w:hint="eastAsia" w:ascii="宋体" w:hAnsi="宋体"/>
          <w:color w:val="000000"/>
        </w:rPr>
        <w:t>HJ 972</w:t>
      </w:r>
      <w:r>
        <w:rPr>
          <w:rFonts w:ascii="宋体" w:hAnsi="宋体"/>
          <w:color w:val="000000"/>
        </w:rPr>
        <w:t xml:space="preserve"> </w:t>
      </w:r>
      <w:r>
        <w:rPr>
          <w:rFonts w:hint="eastAsia" w:ascii="宋体" w:hAnsi="宋体"/>
          <w:color w:val="000000"/>
        </w:rPr>
        <w:t>移动通信基站电磁辐射环境监测方法</w:t>
      </w:r>
    </w:p>
    <w:p>
      <w:pPr>
        <w:spacing w:line="240" w:lineRule="auto"/>
        <w:ind w:firstLine="420" w:firstLineChars="200"/>
        <w:rPr>
          <w:rFonts w:ascii="宋体" w:hAnsi="宋体"/>
          <w:color w:val="000000"/>
        </w:rPr>
      </w:pPr>
      <w:r>
        <w:rPr>
          <w:rFonts w:hint="eastAsia" w:ascii="宋体" w:hAnsi="宋体"/>
          <w:color w:val="000000"/>
        </w:rPr>
        <w:t>JGJ/T 347</w:t>
      </w:r>
      <w:r>
        <w:rPr>
          <w:rFonts w:ascii="宋体" w:hAnsi="宋体"/>
          <w:color w:val="000000"/>
        </w:rPr>
        <w:t xml:space="preserve"> </w:t>
      </w:r>
      <w:r>
        <w:rPr>
          <w:rFonts w:hint="eastAsia" w:ascii="宋体" w:hAnsi="宋体"/>
          <w:color w:val="000000"/>
        </w:rPr>
        <w:t>建筑热环境测试方法标准</w:t>
      </w:r>
    </w:p>
    <w:p>
      <w:pPr>
        <w:spacing w:line="240" w:lineRule="auto"/>
        <w:ind w:firstLine="420" w:firstLineChars="200"/>
        <w:rPr>
          <w:rFonts w:ascii="宋体" w:hAnsi="宋体"/>
          <w:color w:val="000000"/>
        </w:rPr>
      </w:pPr>
      <w:r>
        <w:rPr>
          <w:rFonts w:hint="eastAsia" w:ascii="宋体" w:hAnsi="宋体"/>
          <w:color w:val="000000"/>
        </w:rPr>
        <w:t>JGJ/T 331</w:t>
      </w:r>
      <w:r>
        <w:rPr>
          <w:rFonts w:ascii="宋体" w:hAnsi="宋体"/>
          <w:color w:val="000000"/>
        </w:rPr>
        <w:t xml:space="preserve"> </w:t>
      </w:r>
      <w:r>
        <w:rPr>
          <w:rFonts w:hint="eastAsia" w:ascii="宋体" w:hAnsi="宋体"/>
          <w:color w:val="000000"/>
        </w:rPr>
        <w:t>建筑地面工程防滑技术规程</w:t>
      </w:r>
    </w:p>
    <w:p>
      <w:pPr>
        <w:spacing w:line="240" w:lineRule="auto"/>
        <w:ind w:firstLine="420" w:firstLineChars="200"/>
        <w:rPr>
          <w:rFonts w:ascii="宋体" w:hAnsi="宋体"/>
          <w:color w:val="000000"/>
        </w:rPr>
      </w:pPr>
      <w:r>
        <w:rPr>
          <w:rFonts w:hint="eastAsia" w:ascii="宋体" w:hAnsi="宋体"/>
          <w:color w:val="000000"/>
        </w:rPr>
        <w:t>JC/T 1050</w:t>
      </w:r>
      <w:r>
        <w:rPr>
          <w:rFonts w:ascii="宋体" w:hAnsi="宋体"/>
          <w:color w:val="000000"/>
        </w:rPr>
        <w:t xml:space="preserve"> </w:t>
      </w:r>
      <w:r>
        <w:rPr>
          <w:rFonts w:hint="eastAsia" w:ascii="宋体" w:hAnsi="宋体"/>
          <w:color w:val="000000"/>
        </w:rPr>
        <w:t>地面石材防滑性能等级划分及试验方法</w:t>
      </w:r>
    </w:p>
    <w:p>
      <w:pPr>
        <w:spacing w:line="240" w:lineRule="auto"/>
        <w:ind w:firstLine="420" w:firstLineChars="200"/>
        <w:rPr>
          <w:rFonts w:ascii="宋体" w:hAnsi="宋体"/>
        </w:rPr>
      </w:pPr>
      <w:r>
        <w:rPr>
          <w:rFonts w:hint="eastAsia" w:ascii="宋体" w:hAnsi="宋体"/>
        </w:rPr>
        <w:t>JTG 3450</w:t>
      </w:r>
      <w:r>
        <w:rPr>
          <w:rFonts w:ascii="宋体" w:hAnsi="宋体"/>
        </w:rPr>
        <w:t xml:space="preserve"> </w:t>
      </w:r>
      <w:r>
        <w:rPr>
          <w:rFonts w:hint="eastAsia" w:ascii="宋体" w:hAnsi="宋体"/>
        </w:rPr>
        <w:t>公路路基路面现场测试规程</w:t>
      </w:r>
    </w:p>
    <w:p>
      <w:pPr>
        <w:spacing w:line="240" w:lineRule="auto"/>
        <w:ind w:firstLine="420" w:firstLineChars="200"/>
        <w:rPr>
          <w:rFonts w:ascii="宋体" w:hAnsi="宋体"/>
          <w:color w:val="000000"/>
        </w:rPr>
      </w:pPr>
      <w:r>
        <w:rPr>
          <w:rFonts w:hint="eastAsia" w:ascii="宋体" w:hAnsi="宋体"/>
          <w:color w:val="000000"/>
        </w:rPr>
        <w:t>JGJ/T 357</w:t>
      </w:r>
      <w:r>
        <w:rPr>
          <w:rFonts w:ascii="宋体" w:hAnsi="宋体"/>
          <w:color w:val="000000"/>
        </w:rPr>
        <w:t xml:space="preserve"> </w:t>
      </w:r>
      <w:r>
        <w:rPr>
          <w:rFonts w:hint="eastAsia" w:ascii="宋体" w:hAnsi="宋体"/>
          <w:color w:val="000000"/>
        </w:rPr>
        <w:t>围护结构传热系数现场检测技术规程</w:t>
      </w:r>
    </w:p>
    <w:p>
      <w:pPr>
        <w:pStyle w:val="236"/>
        <w:widowControl/>
        <w:spacing w:line="240" w:lineRule="auto"/>
        <w:ind w:firstLine="420" w:firstLineChars="200"/>
        <w:jc w:val="left"/>
        <w:rPr>
          <w:color w:val="000000"/>
          <w:sz w:val="21"/>
          <w:szCs w:val="21"/>
        </w:rPr>
      </w:pPr>
      <w:r>
        <w:rPr>
          <w:rFonts w:hint="eastAsia"/>
          <w:color w:val="000000"/>
          <w:sz w:val="21"/>
          <w:szCs w:val="21"/>
        </w:rPr>
        <w:t>JGJ/T 260</w:t>
      </w:r>
      <w:r>
        <w:rPr>
          <w:rFonts w:eastAsia="PMingLiU"/>
          <w:color w:val="000000"/>
          <w:sz w:val="21"/>
          <w:szCs w:val="21"/>
        </w:rPr>
        <w:t xml:space="preserve"> </w:t>
      </w:r>
      <w:r>
        <w:rPr>
          <w:rFonts w:hint="eastAsia"/>
          <w:color w:val="000000"/>
          <w:sz w:val="21"/>
          <w:szCs w:val="21"/>
        </w:rPr>
        <w:t>采暖通风与空气调节工程检测技术规程</w:t>
      </w:r>
    </w:p>
    <w:p>
      <w:pPr>
        <w:pStyle w:val="236"/>
        <w:widowControl/>
        <w:spacing w:line="240" w:lineRule="auto"/>
        <w:ind w:firstLine="420" w:firstLineChars="200"/>
        <w:jc w:val="left"/>
        <w:rPr>
          <w:color w:val="000000"/>
          <w:sz w:val="21"/>
          <w:szCs w:val="21"/>
        </w:rPr>
      </w:pPr>
      <w:r>
        <w:rPr>
          <w:rFonts w:hint="eastAsia"/>
          <w:color w:val="000000"/>
          <w:sz w:val="21"/>
          <w:szCs w:val="21"/>
        </w:rPr>
        <w:t>CJ/T 521</w:t>
      </w:r>
      <w:r>
        <w:rPr>
          <w:rFonts w:eastAsia="PMingLiU"/>
          <w:color w:val="000000"/>
          <w:sz w:val="21"/>
          <w:szCs w:val="21"/>
        </w:rPr>
        <w:t xml:space="preserve"> </w:t>
      </w:r>
      <w:r>
        <w:rPr>
          <w:rFonts w:hint="eastAsia"/>
          <w:color w:val="000000"/>
          <w:sz w:val="21"/>
          <w:szCs w:val="21"/>
        </w:rPr>
        <w:t>生活热水水质标准</w:t>
      </w:r>
    </w:p>
    <w:p>
      <w:pPr>
        <w:pStyle w:val="236"/>
        <w:widowControl/>
        <w:spacing w:line="240" w:lineRule="auto"/>
        <w:ind w:firstLine="420" w:firstLineChars="200"/>
        <w:jc w:val="left"/>
        <w:rPr>
          <w:color w:val="000000"/>
          <w:sz w:val="21"/>
          <w:szCs w:val="21"/>
        </w:rPr>
      </w:pPr>
      <w:r>
        <w:rPr>
          <w:rFonts w:hint="eastAsia"/>
          <w:color w:val="000000"/>
          <w:sz w:val="21"/>
          <w:szCs w:val="21"/>
        </w:rPr>
        <w:t>CJJ 140</w:t>
      </w:r>
      <w:r>
        <w:rPr>
          <w:rFonts w:eastAsia="PMingLiU"/>
          <w:color w:val="000000"/>
          <w:sz w:val="21"/>
          <w:szCs w:val="21"/>
        </w:rPr>
        <w:t xml:space="preserve"> </w:t>
      </w:r>
      <w:r>
        <w:rPr>
          <w:rFonts w:hint="eastAsia"/>
          <w:color w:val="000000"/>
          <w:sz w:val="21"/>
          <w:szCs w:val="21"/>
        </w:rPr>
        <w:t>二次供水工程技术规程</w:t>
      </w:r>
    </w:p>
    <w:p>
      <w:pPr>
        <w:pStyle w:val="236"/>
        <w:widowControl/>
        <w:spacing w:line="240" w:lineRule="auto"/>
        <w:ind w:firstLine="420" w:firstLineChars="200"/>
        <w:jc w:val="left"/>
        <w:rPr>
          <w:color w:val="000000"/>
          <w:sz w:val="21"/>
          <w:szCs w:val="21"/>
        </w:rPr>
      </w:pPr>
      <w:r>
        <w:rPr>
          <w:rFonts w:hint="eastAsia"/>
          <w:color w:val="000000"/>
          <w:sz w:val="21"/>
          <w:szCs w:val="21"/>
        </w:rPr>
        <w:t>CJ/T</w:t>
      </w:r>
      <w:r>
        <w:rPr>
          <w:rFonts w:eastAsia="PMingLiU"/>
          <w:color w:val="000000"/>
          <w:sz w:val="21"/>
          <w:szCs w:val="21"/>
        </w:rPr>
        <w:t xml:space="preserve"> </w:t>
      </w:r>
      <w:r>
        <w:rPr>
          <w:rFonts w:hint="eastAsia"/>
          <w:color w:val="000000"/>
          <w:sz w:val="21"/>
          <w:szCs w:val="21"/>
        </w:rPr>
        <w:t>244</w:t>
      </w:r>
      <w:r>
        <w:rPr>
          <w:rFonts w:eastAsia="PMingLiU"/>
          <w:color w:val="000000"/>
          <w:sz w:val="21"/>
          <w:szCs w:val="21"/>
        </w:rPr>
        <w:t xml:space="preserve"> </w:t>
      </w:r>
      <w:r>
        <w:rPr>
          <w:rFonts w:hint="eastAsia"/>
          <w:color w:val="000000"/>
          <w:sz w:val="21"/>
          <w:szCs w:val="21"/>
        </w:rPr>
        <w:t>游泳池水质标准</w:t>
      </w:r>
    </w:p>
    <w:p>
      <w:pPr>
        <w:pStyle w:val="236"/>
        <w:widowControl/>
        <w:spacing w:line="240" w:lineRule="auto"/>
        <w:ind w:firstLine="420" w:firstLineChars="200"/>
        <w:jc w:val="left"/>
        <w:rPr>
          <w:color w:val="000000"/>
          <w:sz w:val="21"/>
          <w:szCs w:val="21"/>
        </w:rPr>
      </w:pPr>
      <w:r>
        <w:rPr>
          <w:rFonts w:hint="eastAsia"/>
          <w:color w:val="000000"/>
          <w:sz w:val="21"/>
          <w:szCs w:val="21"/>
        </w:rPr>
        <w:t>HJ 494</w:t>
      </w:r>
      <w:r>
        <w:rPr>
          <w:rFonts w:eastAsia="PMingLiU"/>
          <w:color w:val="000000"/>
          <w:sz w:val="21"/>
          <w:szCs w:val="21"/>
        </w:rPr>
        <w:t xml:space="preserve"> </w:t>
      </w:r>
      <w:r>
        <w:rPr>
          <w:rFonts w:hint="eastAsia"/>
          <w:color w:val="000000"/>
          <w:sz w:val="21"/>
          <w:szCs w:val="21"/>
        </w:rPr>
        <w:t>水质 釆样技术指导</w:t>
      </w:r>
    </w:p>
    <w:p>
      <w:pPr>
        <w:pStyle w:val="236"/>
        <w:widowControl/>
        <w:spacing w:line="240" w:lineRule="auto"/>
        <w:ind w:firstLine="420" w:firstLineChars="200"/>
        <w:jc w:val="left"/>
        <w:rPr>
          <w:sz w:val="21"/>
          <w:szCs w:val="21"/>
        </w:rPr>
      </w:pPr>
      <w:r>
        <w:rPr>
          <w:rFonts w:hint="eastAsia"/>
          <w:color w:val="000000"/>
          <w:sz w:val="21"/>
          <w:szCs w:val="21"/>
        </w:rPr>
        <w:t>HJ 495</w:t>
      </w:r>
      <w:r>
        <w:rPr>
          <w:rFonts w:eastAsia="PMingLiU"/>
          <w:color w:val="000000"/>
          <w:sz w:val="21"/>
          <w:szCs w:val="21"/>
        </w:rPr>
        <w:t xml:space="preserve"> </w:t>
      </w:r>
      <w:r>
        <w:rPr>
          <w:rFonts w:hint="eastAsia"/>
          <w:color w:val="000000"/>
          <w:sz w:val="21"/>
          <w:szCs w:val="21"/>
        </w:rPr>
        <w:t>水质 采样方案设计技术规定</w:t>
      </w:r>
    </w:p>
    <w:p>
      <w:pPr>
        <w:spacing w:line="240" w:lineRule="auto"/>
        <w:ind w:firstLine="420" w:firstLineChars="200"/>
        <w:rPr>
          <w:rFonts w:ascii="宋体" w:hAnsi="宋体"/>
        </w:rPr>
      </w:pPr>
      <w:r>
        <w:rPr>
          <w:rFonts w:hint="eastAsia" w:ascii="宋体" w:hAnsi="宋体"/>
        </w:rPr>
        <w:t>JGJ/T 177 公共建筑节能检测标准</w:t>
      </w:r>
    </w:p>
    <w:p>
      <w:pPr>
        <w:spacing w:line="240" w:lineRule="auto"/>
        <w:ind w:firstLine="420" w:firstLineChars="200"/>
        <w:rPr>
          <w:rFonts w:ascii="宋体" w:hAnsi="宋体"/>
        </w:rPr>
      </w:pPr>
      <w:r>
        <w:rPr>
          <w:rFonts w:hint="eastAsia" w:ascii="宋体" w:hAnsi="宋体"/>
        </w:rPr>
        <w:t>JGJ/T 132 居住建筑节能检测标准</w:t>
      </w:r>
    </w:p>
    <w:p>
      <w:pPr>
        <w:wordWrap w:val="0"/>
        <w:ind w:firstLine="420" w:firstLineChars="200"/>
        <w:rPr>
          <w:rFonts w:ascii="宋体" w:hAnsi="宋体"/>
        </w:rPr>
      </w:pPr>
    </w:p>
    <w:p>
      <w:pPr>
        <w:wordWrap w:val="0"/>
        <w:ind w:firstLine="420" w:firstLineChars="200"/>
        <w:rPr>
          <w:rFonts w:ascii="宋体" w:hAnsi="宋体"/>
        </w:rPr>
      </w:pPr>
    </w:p>
    <w:p>
      <w:pPr>
        <w:wordWrap w:val="0"/>
        <w:ind w:firstLine="420" w:firstLineChars="200"/>
        <w:rPr>
          <w:rFonts w:ascii="宋体" w:hAnsi="宋体"/>
        </w:rPr>
      </w:pPr>
    </w:p>
    <w:p>
      <w:pPr>
        <w:wordWrap w:val="0"/>
        <w:ind w:firstLine="420" w:firstLineChars="200"/>
        <w:rPr>
          <w:rFonts w:ascii="宋体" w:hAnsi="宋体"/>
        </w:rPr>
      </w:pPr>
    </w:p>
    <w:p>
      <w:pPr>
        <w:wordWrap w:val="0"/>
        <w:ind w:firstLine="420" w:firstLineChars="200"/>
        <w:rPr>
          <w:rFonts w:ascii="宋体" w:hAnsi="宋体"/>
        </w:rPr>
      </w:pPr>
    </w:p>
    <w:p>
      <w:pPr>
        <w:wordWrap w:val="0"/>
        <w:ind w:firstLine="420" w:firstLineChars="200"/>
        <w:rPr>
          <w:rFonts w:ascii="宋体" w:hAnsi="宋体"/>
        </w:rPr>
      </w:pPr>
    </w:p>
    <w:p>
      <w:pPr>
        <w:widowControl/>
        <w:adjustRightInd/>
        <w:spacing w:line="240" w:lineRule="auto"/>
        <w:jc w:val="left"/>
        <w:rPr>
          <w:rFonts w:ascii="宋体" w:hAnsi="宋体"/>
        </w:rPr>
      </w:pPr>
      <w:r>
        <w:rPr>
          <w:rFonts w:ascii="宋体" w:hAnsi="宋体"/>
        </w:rPr>
        <w:br w:type="page"/>
      </w:r>
    </w:p>
    <w:p>
      <w:pPr>
        <w:pStyle w:val="108"/>
        <w:spacing w:before="240" w:after="240"/>
        <w:ind w:left="0"/>
        <w:rPr>
          <w:lang w:bidi="en-US"/>
        </w:rPr>
      </w:pPr>
      <w:bookmarkStart w:id="55" w:name="_Toc129782124"/>
      <w:bookmarkStart w:id="56" w:name="_Toc129698152"/>
      <w:bookmarkStart w:id="57" w:name="_Toc21713"/>
      <w:bookmarkStart w:id="58" w:name="_Toc129855759"/>
      <w:bookmarkStart w:id="59" w:name="_Toc129855985"/>
      <w:r>
        <w:rPr>
          <w:rFonts w:hint="eastAsia"/>
          <w:lang w:bidi="en-US"/>
        </w:rPr>
        <w:t>术语和定义</w:t>
      </w:r>
      <w:bookmarkEnd w:id="55"/>
      <w:bookmarkEnd w:id="56"/>
      <w:bookmarkEnd w:id="57"/>
      <w:bookmarkEnd w:id="58"/>
      <w:bookmarkEnd w:id="59"/>
    </w:p>
    <w:sdt>
      <w:sdtPr>
        <w:id w:val="-1909835108"/>
        <w:placeholder>
          <w:docPart w:val="53A7984FDFF24EB89483B90EDB46583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0"/>
            <w:ind w:firstLine="420"/>
          </w:pPr>
          <w:bookmarkStart w:id="60" w:name="_Toc26986532"/>
          <w:bookmarkEnd w:id="60"/>
          <w:r>
            <w:t>下列术语和定义适用于本文件。</w:t>
          </w:r>
        </w:p>
      </w:sdtContent>
    </w:sdt>
    <w:p>
      <w:pPr>
        <w:pStyle w:val="227"/>
        <w:ind w:left="420" w:hanging="420" w:hangingChars="200"/>
        <w:rPr>
          <w:rFonts w:ascii="黑体" w:hAnsi="黑体" w:eastAsia="黑体"/>
        </w:rPr>
      </w:pPr>
      <w:bookmarkStart w:id="61" w:name="_Toc80262035"/>
      <w:bookmarkEnd w:id="61"/>
      <w:r>
        <w:rPr>
          <w:rFonts w:ascii="黑体" w:hAnsi="黑体" w:eastAsia="黑体"/>
          <w:color w:val="000000"/>
        </w:rPr>
        <w:t xml:space="preserve">绿色建筑检测 </w:t>
      </w:r>
      <w:r>
        <w:rPr>
          <w:rFonts w:hint="eastAsia" w:ascii="黑体" w:hAnsi="黑体" w:eastAsia="黑体"/>
        </w:rPr>
        <w:t>testing</w:t>
      </w:r>
      <w:r>
        <w:rPr>
          <w:rFonts w:ascii="黑体" w:hAnsi="黑体" w:eastAsia="黑体"/>
        </w:rPr>
        <w:t xml:space="preserve"> </w:t>
      </w:r>
      <w:r>
        <w:rPr>
          <w:rFonts w:hint="eastAsia" w:ascii="黑体" w:hAnsi="黑体" w:eastAsia="黑体"/>
        </w:rPr>
        <w:t>for</w:t>
      </w:r>
      <w:r>
        <w:rPr>
          <w:rFonts w:ascii="黑体" w:hAnsi="黑体" w:eastAsia="黑体"/>
        </w:rPr>
        <w:t xml:space="preserve"> </w:t>
      </w:r>
      <w:r>
        <w:rPr>
          <w:rFonts w:hint="eastAsia" w:ascii="黑体" w:hAnsi="黑体" w:eastAsia="黑体"/>
        </w:rPr>
        <w:t>green</w:t>
      </w:r>
      <w:r>
        <w:rPr>
          <w:rFonts w:ascii="黑体" w:hAnsi="黑体" w:eastAsia="黑体"/>
        </w:rPr>
        <w:t xml:space="preserve"> </w:t>
      </w:r>
      <w:r>
        <w:rPr>
          <w:rFonts w:hint="eastAsia" w:ascii="黑体" w:hAnsi="黑体" w:eastAsia="黑体"/>
        </w:rPr>
        <w:t>building</w:t>
      </w:r>
      <w:r>
        <w:rPr>
          <w:rFonts w:ascii="黑体" w:hAnsi="黑体" w:eastAsia="黑体"/>
        </w:rPr>
        <w:tab/>
      </w:r>
    </w:p>
    <w:p>
      <w:pPr>
        <w:pStyle w:val="236"/>
        <w:spacing w:line="240" w:lineRule="auto"/>
        <w:ind w:firstLine="420" w:firstLineChars="200"/>
        <w:jc w:val="left"/>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为进行绿色建筑性能评价，</w:t>
      </w:r>
      <w:r>
        <w:rPr>
          <w:color w:val="000000" w:themeColor="text1"/>
          <w:sz w:val="21"/>
          <w:szCs w:val="21"/>
          <w14:textFill>
            <w14:solidFill>
              <w14:schemeClr w14:val="tx1"/>
            </w14:solidFill>
          </w14:textFill>
        </w:rPr>
        <w:t>对被检测的绿色建筑项目的特征、性能进行量测、试验等并获得相应结果</w:t>
      </w:r>
      <w:r>
        <w:rPr>
          <w:rFonts w:hint="eastAsia"/>
          <w:color w:val="000000" w:themeColor="text1"/>
          <w:sz w:val="21"/>
          <w:szCs w:val="21"/>
          <w14:textFill>
            <w14:solidFill>
              <w14:schemeClr w14:val="tx1"/>
            </w14:solidFill>
          </w14:textFill>
        </w:rPr>
        <w:t>的行为</w:t>
      </w:r>
      <w:r>
        <w:rPr>
          <w:color w:val="000000" w:themeColor="text1"/>
          <w:sz w:val="21"/>
          <w:szCs w:val="21"/>
          <w14:textFill>
            <w14:solidFill>
              <w14:schemeClr w14:val="tx1"/>
            </w14:solidFill>
          </w14:textFill>
        </w:rPr>
        <w:t>。</w:t>
      </w:r>
    </w:p>
    <w:p>
      <w:pPr>
        <w:pStyle w:val="227"/>
        <w:ind w:left="420" w:hanging="420" w:hangingChars="200"/>
        <w:rPr>
          <w:rFonts w:ascii="黑体" w:hAnsi="黑体" w:eastAsia="黑体"/>
        </w:rPr>
      </w:pPr>
      <w:r>
        <w:rPr>
          <w:rFonts w:hint="eastAsia" w:ascii="黑体" w:hAnsi="黑体" w:eastAsia="黑体"/>
          <w:lang w:bidi="en-US"/>
        </w:rPr>
        <w:t>光污染</w:t>
      </w:r>
      <w:r>
        <w:rPr>
          <w:rFonts w:ascii="黑体" w:hAnsi="黑体" w:eastAsia="黑体"/>
        </w:rPr>
        <w:t xml:space="preserve"> </w:t>
      </w:r>
      <w:r>
        <w:rPr>
          <w:rFonts w:hint="eastAsia" w:ascii="黑体" w:hAnsi="黑体" w:eastAsia="黑体"/>
        </w:rPr>
        <w:t>light</w:t>
      </w:r>
      <w:r>
        <w:rPr>
          <w:rFonts w:ascii="黑体" w:hAnsi="黑体" w:eastAsia="黑体"/>
        </w:rPr>
        <w:t xml:space="preserve"> </w:t>
      </w:r>
      <w:r>
        <w:rPr>
          <w:rFonts w:hint="eastAsia" w:ascii="黑体" w:hAnsi="黑体" w:eastAsia="黑体"/>
        </w:rPr>
        <w:t>pollution</w:t>
      </w:r>
    </w:p>
    <w:p>
      <w:pPr>
        <w:pStyle w:val="236"/>
        <w:spacing w:line="240" w:lineRule="auto"/>
        <w:ind w:firstLine="420" w:firstLineChars="200"/>
        <w:jc w:val="left"/>
        <w:rPr>
          <w:rFonts w:eastAsia="PMingLiU"/>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指对人的正常生活、工作、休息带来不利影响、损害人观察物体的能力，引起人体不适和损害人体健康的各种光。</w:t>
      </w:r>
    </w:p>
    <w:p>
      <w:pPr>
        <w:pStyle w:val="227"/>
        <w:ind w:left="420" w:hanging="420" w:hangingChars="200"/>
        <w:rPr>
          <w:rFonts w:ascii="黑体" w:hAnsi="黑体" w:eastAsia="黑体"/>
        </w:rPr>
      </w:pPr>
      <w:r>
        <w:rPr>
          <w:rFonts w:ascii="黑体" w:hAnsi="黑体" w:eastAsia="黑体"/>
        </w:rPr>
        <w:t xml:space="preserve">眩光 </w:t>
      </w:r>
      <w:r>
        <w:rPr>
          <w:rFonts w:hint="eastAsia" w:ascii="黑体" w:hAnsi="黑体" w:eastAsia="黑体"/>
        </w:rPr>
        <w:t>glare</w:t>
      </w:r>
    </w:p>
    <w:p>
      <w:pPr>
        <w:pStyle w:val="227"/>
        <w:numPr>
          <w:ilvl w:val="0"/>
          <w:numId w:val="0"/>
        </w:numPr>
        <w:ind w:firstLine="420" w:firstLineChars="200"/>
        <w:rPr>
          <w:rFonts w:hAnsi="宋体" w:cs="宋体"/>
          <w:color w:val="000000" w:themeColor="text1"/>
          <w:kern w:val="2"/>
          <w:szCs w:val="21"/>
          <w:lang w:val="zh-TW" w:eastAsia="zh-TW" w:bidi="zh-TW"/>
          <w14:textFill>
            <w14:solidFill>
              <w14:schemeClr w14:val="tx1"/>
            </w14:solidFill>
          </w14:textFill>
        </w:rPr>
      </w:pPr>
      <w:r>
        <w:rPr>
          <w:rFonts w:hAnsi="宋体" w:cs="宋体"/>
          <w:color w:val="000000" w:themeColor="text1"/>
          <w:kern w:val="2"/>
          <w:szCs w:val="21"/>
          <w:lang w:val="zh-TW" w:eastAsia="zh-TW" w:bidi="zh-TW"/>
          <w14:textFill>
            <w14:solidFill>
              <w14:schemeClr w14:val="tx1"/>
            </w14:solidFill>
          </w14:textFill>
        </w:rPr>
        <w:t>由于视野中的亮度分布或亮度范围的不适宜，或存在极端的对比，以致引起不舒适感觉或降低观察细部或目标的能力的视觉现象。</w:t>
      </w:r>
      <w:bookmarkStart w:id="62" w:name="OLE_LINK1"/>
    </w:p>
    <w:p>
      <w:pPr>
        <w:pStyle w:val="227"/>
        <w:ind w:left="420" w:hanging="420" w:hangingChars="200"/>
        <w:rPr>
          <w:rFonts w:ascii="黑体" w:hAnsi="黑体" w:eastAsia="黑体"/>
          <w:lang w:val="zh-TW" w:eastAsia="zh-TW" w:bidi="zh-TW"/>
        </w:rPr>
      </w:pPr>
      <w:r>
        <w:rPr>
          <w:rFonts w:hint="eastAsia" w:ascii="黑体" w:hAnsi="黑体" w:eastAsia="黑体"/>
          <w:lang w:bidi="en-US"/>
        </w:rPr>
        <w:t>热岛强度 heat</w:t>
      </w:r>
      <w:r>
        <w:rPr>
          <w:rFonts w:ascii="黑体" w:hAnsi="黑体" w:eastAsia="黑体"/>
          <w:lang w:bidi="en-US"/>
        </w:rPr>
        <w:t xml:space="preserve"> </w:t>
      </w:r>
      <w:r>
        <w:rPr>
          <w:rFonts w:hint="eastAsia" w:ascii="黑体" w:hAnsi="黑体" w:eastAsia="黑体"/>
          <w:lang w:bidi="en-US"/>
        </w:rPr>
        <w:t>island</w:t>
      </w:r>
      <w:r>
        <w:rPr>
          <w:rFonts w:ascii="黑体" w:hAnsi="黑体" w:eastAsia="黑体"/>
          <w:lang w:bidi="en-US"/>
        </w:rPr>
        <w:t xml:space="preserve"> </w:t>
      </w:r>
      <w:r>
        <w:rPr>
          <w:rFonts w:hint="eastAsia" w:ascii="黑体" w:hAnsi="黑体" w:eastAsia="黑体"/>
          <w:lang w:bidi="en-US"/>
        </w:rPr>
        <w:t>intensity</w:t>
      </w:r>
    </w:p>
    <w:bookmarkEnd w:id="62"/>
    <w:p>
      <w:pPr>
        <w:pStyle w:val="236"/>
        <w:spacing w:line="360" w:lineRule="auto"/>
        <w:ind w:firstLine="420" w:firstLineChars="200"/>
        <w:jc w:val="left"/>
        <w:rPr>
          <w:rFonts w:eastAsia="PMingLiU"/>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典型气象条件下，被测建筑周边的平均温度与建筑所在城市郊区的平均温度差值。</w:t>
      </w:r>
    </w:p>
    <w:p>
      <w:pPr>
        <w:widowControl/>
        <w:adjustRightInd/>
        <w:spacing w:line="240" w:lineRule="auto"/>
        <w:jc w:val="left"/>
        <w:rPr>
          <w:rFonts w:ascii="宋体" w:hAnsi="宋体" w:eastAsia="PMingLiU" w:cs="宋体"/>
          <w:color w:val="FF0000"/>
          <w:lang w:val="zh-TW" w:eastAsia="zh-TW" w:bidi="zh-TW"/>
        </w:rPr>
      </w:pPr>
      <w:r>
        <w:rPr>
          <w:rFonts w:eastAsia="PMingLiU"/>
          <w:color w:val="FF0000"/>
        </w:rPr>
        <w:br w:type="page"/>
      </w:r>
    </w:p>
    <w:p>
      <w:pPr>
        <w:pStyle w:val="108"/>
        <w:spacing w:before="240" w:after="240"/>
        <w:ind w:left="0"/>
        <w:rPr>
          <w:lang w:bidi="en-US"/>
        </w:rPr>
      </w:pPr>
      <w:bookmarkStart w:id="63" w:name="_Toc129782125"/>
      <w:bookmarkStart w:id="64" w:name="_Toc129855760"/>
      <w:bookmarkStart w:id="65" w:name="_Toc129698153"/>
      <w:bookmarkStart w:id="66" w:name="_Toc129855986"/>
      <w:r>
        <w:rPr>
          <w:rFonts w:hint="eastAsia"/>
          <w:lang w:bidi="en-US"/>
        </w:rPr>
        <w:t>基本规定</w:t>
      </w:r>
      <w:bookmarkEnd w:id="63"/>
      <w:bookmarkEnd w:id="64"/>
      <w:bookmarkEnd w:id="65"/>
      <w:bookmarkEnd w:id="66"/>
    </w:p>
    <w:p>
      <w:pPr>
        <w:pStyle w:val="236"/>
        <w:numPr>
          <w:ilvl w:val="0"/>
          <w:numId w:val="33"/>
        </w:numPr>
        <w:spacing w:line="240" w:lineRule="auto"/>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绿色建筑的检测项目应</w:t>
      </w:r>
      <w:r>
        <w:rPr>
          <w:rFonts w:hint="eastAsia"/>
          <w:color w:val="000000" w:themeColor="text1"/>
          <w:sz w:val="21"/>
          <w:szCs w:val="21"/>
          <w:lang w:eastAsia="zh-CN"/>
          <w14:textFill>
            <w14:solidFill>
              <w14:schemeClr w14:val="tx1"/>
            </w14:solidFill>
          </w14:textFill>
        </w:rPr>
        <w:t>根据项目技术体系、委托方的具体要求、检测目的、建筑类型、现场条件、检测项目的时效性等进行确定。</w:t>
      </w:r>
    </w:p>
    <w:p>
      <w:pPr>
        <w:pStyle w:val="236"/>
        <w:numPr>
          <w:ilvl w:val="0"/>
          <w:numId w:val="33"/>
        </w:numPr>
        <w:spacing w:line="240" w:lineRule="auto"/>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对绿色建筑进行验收时，应结合现行的民用建筑工程验收标准要求统筹确定检测项目，不应对相同的检测项目重复性检测。</w:t>
      </w:r>
    </w:p>
    <w:p>
      <w:pPr>
        <w:pStyle w:val="236"/>
        <w:numPr>
          <w:ilvl w:val="0"/>
          <w:numId w:val="33"/>
        </w:numPr>
        <w:spacing w:line="240" w:lineRule="auto"/>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基本级绿色建筑验收时的检测项目应符合</w:t>
      </w:r>
      <w:r>
        <w:rPr>
          <w:rFonts w:hint="eastAsia"/>
          <w:color w:val="000000" w:themeColor="text1"/>
          <w:sz w:val="21"/>
          <w:szCs w:val="21"/>
          <w14:textFill>
            <w14:solidFill>
              <w14:schemeClr w14:val="tx1"/>
            </w14:solidFill>
          </w14:textFill>
        </w:rPr>
        <w:t>湖北省《绿色建筑设计与工程验收标准》</w:t>
      </w:r>
      <w:r>
        <w:rPr>
          <w:rFonts w:hint="eastAsia"/>
          <w:color w:val="000000" w:themeColor="text1"/>
          <w:sz w:val="21"/>
          <w:szCs w:val="21"/>
          <w:lang w:eastAsia="zh-CN"/>
          <w14:textFill>
            <w14:solidFill>
              <w14:schemeClr w14:val="tx1"/>
            </w14:solidFill>
          </w14:textFill>
        </w:rPr>
        <w:t>D</w:t>
      </w:r>
      <w:r>
        <w:rPr>
          <w:rFonts w:eastAsia="PMingLiU"/>
          <w:color w:val="000000" w:themeColor="text1"/>
          <w:sz w:val="21"/>
          <w:szCs w:val="21"/>
          <w14:textFill>
            <w14:solidFill>
              <w14:schemeClr w14:val="tx1"/>
            </w14:solidFill>
          </w14:textFill>
        </w:rPr>
        <w:t>B42/T 1319</w:t>
      </w:r>
      <w:r>
        <w:rPr>
          <w:rFonts w:hint="eastAsia"/>
          <w:color w:val="000000" w:themeColor="text1"/>
          <w:sz w:val="21"/>
          <w:szCs w:val="21"/>
          <w14:textFill>
            <w14:solidFill>
              <w14:schemeClr w14:val="tx1"/>
            </w14:solidFill>
          </w14:textFill>
        </w:rPr>
        <w:t>的有关规定。</w:t>
      </w:r>
    </w:p>
    <w:p>
      <w:pPr>
        <w:pStyle w:val="236"/>
        <w:numPr>
          <w:ilvl w:val="0"/>
          <w:numId w:val="33"/>
        </w:numPr>
        <w:spacing w:line="240" w:lineRule="auto"/>
        <w:rPr>
          <w:rFonts w:eastAsia="PMingLiU"/>
          <w:color w:val="000000"/>
          <w:sz w:val="21"/>
          <w:szCs w:val="21"/>
        </w:rPr>
      </w:pPr>
      <w:r>
        <w:rPr>
          <w:rFonts w:hint="eastAsia"/>
          <w:color w:val="000000"/>
          <w:sz w:val="21"/>
          <w:szCs w:val="21"/>
          <w:lang w:eastAsia="zh-CN"/>
        </w:rPr>
        <w:t xml:space="preserve"> </w:t>
      </w:r>
      <w:r>
        <w:rPr>
          <w:rFonts w:hint="eastAsia"/>
          <w:color w:val="000000"/>
          <w:sz w:val="21"/>
          <w:szCs w:val="21"/>
        </w:rPr>
        <w:t>绿色建筑检测前应根据绿色建筑实施的技术措施编制检测方案，并应符合下列规定：</w:t>
      </w:r>
    </w:p>
    <w:p>
      <w:pPr>
        <w:pStyle w:val="178"/>
      </w:pPr>
      <w:r>
        <w:rPr>
          <w:rFonts w:hint="eastAsia"/>
        </w:rPr>
        <w:t xml:space="preserve"> 明确检测项目；</w:t>
      </w:r>
    </w:p>
    <w:p>
      <w:pPr>
        <w:pStyle w:val="178"/>
      </w:pPr>
      <w:r>
        <w:rPr>
          <w:rFonts w:hint="eastAsia"/>
          <w:color w:val="000000" w:themeColor="text1"/>
          <w:szCs w:val="21"/>
          <w14:textFill>
            <w14:solidFill>
              <w14:schemeClr w14:val="tx1"/>
            </w14:solidFill>
          </w14:textFill>
        </w:rPr>
        <w:t xml:space="preserve"> 明确检测数量；</w:t>
      </w:r>
    </w:p>
    <w:p>
      <w:pPr>
        <w:pStyle w:val="178"/>
      </w:pPr>
      <w:r>
        <w:rPr>
          <w:rFonts w:hint="eastAsia"/>
          <w:color w:val="000000" w:themeColor="text1"/>
          <w:szCs w:val="21"/>
          <w14:textFill>
            <w14:solidFill>
              <w14:schemeClr w14:val="tx1"/>
            </w14:solidFill>
          </w14:textFill>
        </w:rPr>
        <w:t xml:space="preserve"> 明确检测方法</w:t>
      </w:r>
      <w:r>
        <w:rPr>
          <w:rFonts w:hint="eastAsia" w:asciiTheme="minorEastAsia" w:hAnsiTheme="minorEastAsia" w:eastAsiaTheme="minorEastAsia"/>
          <w:color w:val="000000" w:themeColor="text1"/>
          <w:szCs w:val="21"/>
          <w14:textFill>
            <w14:solidFill>
              <w14:schemeClr w14:val="tx1"/>
            </w14:solidFill>
          </w14:textFill>
        </w:rPr>
        <w:t>。</w:t>
      </w:r>
    </w:p>
    <w:p>
      <w:pPr>
        <w:pStyle w:val="236"/>
        <w:numPr>
          <w:ilvl w:val="0"/>
          <w:numId w:val="33"/>
        </w:numPr>
        <w:spacing w:line="240" w:lineRule="auto"/>
        <w:rPr>
          <w:rFonts w:eastAsia="PMingLiU"/>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绿色建筑检测项目的检测数量应符合本文件的规定。当存在下列情况时可适当调整检测</w:t>
      </w:r>
    </w:p>
    <w:p>
      <w:pPr>
        <w:pStyle w:val="236"/>
        <w:spacing w:line="240" w:lineRule="auto"/>
        <w:ind w:firstLine="420" w:firstLineChars="200"/>
        <w:rPr>
          <w:rFonts w:eastAsia="PMingLiU"/>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数量，并应符合下列规定：</w:t>
      </w:r>
    </w:p>
    <w:p>
      <w:pPr>
        <w:pStyle w:val="178"/>
        <w:numPr>
          <w:ilvl w:val="0"/>
          <w:numId w:val="34"/>
        </w:numPr>
      </w:pPr>
      <w:r>
        <w:rPr>
          <w:rFonts w:eastAsia="PMingLiU"/>
        </w:rPr>
        <w:t xml:space="preserve"> </w:t>
      </w:r>
      <w:r>
        <w:rPr>
          <w:rFonts w:hint="eastAsia"/>
        </w:rPr>
        <w:t>调查发现用户反映存在质量问题时，宜增加20%的检测数量；</w:t>
      </w:r>
    </w:p>
    <w:p>
      <w:pPr>
        <w:pStyle w:val="178"/>
        <w:numPr>
          <w:ilvl w:val="0"/>
          <w:numId w:val="34"/>
        </w:numPr>
      </w:pPr>
      <w:r>
        <w:rPr>
          <w:rFonts w:hint="eastAsia"/>
          <w:color w:val="000000" w:themeColor="text1"/>
          <w:szCs w:val="21"/>
          <w14:textFill>
            <w14:solidFill>
              <w14:schemeClr w14:val="tx1"/>
            </w14:solidFill>
          </w14:textFill>
        </w:rPr>
        <w:t xml:space="preserve"> 对于获得下列标识的产品或检测对象，可减少</w:t>
      </w:r>
      <w:r>
        <w:rPr>
          <w:rFonts w:eastAsia="PMingLiU"/>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0%的检测数量，但不得少于本文件中规定的最小检测数量：</w:t>
      </w:r>
    </w:p>
    <w:p>
      <w:pPr>
        <w:pStyle w:val="113"/>
        <w:numPr>
          <w:ilvl w:val="0"/>
          <w:numId w:val="35"/>
        </w:numPr>
      </w:pPr>
      <w:r>
        <w:rPr>
          <w:rFonts w:hint="eastAsia"/>
        </w:rPr>
        <w:t>获得建设主管部门及其认可的机构颁发的标识；</w:t>
      </w:r>
    </w:p>
    <w:p>
      <w:pPr>
        <w:pStyle w:val="113"/>
        <w:numPr>
          <w:ilvl w:val="0"/>
          <w:numId w:val="35"/>
        </w:numPr>
      </w:pPr>
      <w:r>
        <w:rPr>
          <w:rFonts w:hint="eastAsia"/>
          <w:color w:val="000000" w:themeColor="text1"/>
          <w:szCs w:val="21"/>
          <w14:textFill>
            <w14:solidFill>
              <w14:schemeClr w14:val="tx1"/>
            </w14:solidFill>
          </w14:textFill>
        </w:rPr>
        <w:t>获得建设行业产品认证标识。</w:t>
      </w:r>
    </w:p>
    <w:p>
      <w:pPr>
        <w:pStyle w:val="236"/>
        <w:numPr>
          <w:ilvl w:val="0"/>
          <w:numId w:val="33"/>
        </w:numPr>
        <w:spacing w:line="240" w:lineRule="auto"/>
        <w:rPr>
          <w:color w:val="000000"/>
        </w:rPr>
      </w:pPr>
      <w:r>
        <w:rPr>
          <w:rFonts w:hint="eastAsia"/>
          <w:color w:val="000000" w:themeColor="text1"/>
          <w:lang w:eastAsia="zh-CN"/>
          <w14:textFill>
            <w14:solidFill>
              <w14:schemeClr w14:val="tx1"/>
            </w14:solidFill>
          </w14:textFill>
        </w:rPr>
        <w:t xml:space="preserve"> </w:t>
      </w:r>
      <w:r>
        <w:rPr>
          <w:rFonts w:hint="eastAsia"/>
          <w:color w:val="000000" w:themeColor="text1"/>
          <w14:textFill>
            <w14:solidFill>
              <w14:schemeClr w14:val="tx1"/>
            </w14:solidFill>
          </w14:textFill>
        </w:rPr>
        <w:t>当对绿色建筑按计数方法进行抽样检测时，其最小抽样检测数量除本文件另有规定</w:t>
      </w:r>
      <w:r>
        <w:rPr>
          <w:rFonts w:hint="eastAsia"/>
          <w:color w:val="000000"/>
        </w:rPr>
        <w:t>外，应符合表</w:t>
      </w:r>
      <w:r>
        <w:rPr>
          <w:rFonts w:eastAsia="PMingLiU"/>
          <w:color w:val="000000"/>
        </w:rPr>
        <w:t>4.1</w:t>
      </w:r>
      <w:r>
        <w:rPr>
          <w:rFonts w:hint="eastAsia"/>
          <w:color w:val="000000"/>
        </w:rPr>
        <w:t>最小抽样检测数量的规定。</w:t>
      </w:r>
    </w:p>
    <w:p>
      <w:pPr>
        <w:snapToGrid w:val="0"/>
        <w:spacing w:line="300" w:lineRule="auto"/>
        <w:ind w:left="359" w:leftChars="171"/>
        <w:jc w:val="center"/>
        <w:rPr>
          <w:rFonts w:ascii="宋体" w:hAnsi="宋体"/>
          <w:b/>
          <w:bCs/>
          <w:sz w:val="18"/>
          <w:szCs w:val="18"/>
        </w:rPr>
      </w:pPr>
      <w:r>
        <w:rPr>
          <w:rFonts w:hint="eastAsia" w:ascii="宋体" w:hAnsi="宋体"/>
          <w:b/>
          <w:bCs/>
          <w:sz w:val="18"/>
          <w:szCs w:val="18"/>
        </w:rPr>
        <w:t>表</w:t>
      </w:r>
      <w:r>
        <w:rPr>
          <w:rFonts w:ascii="宋体" w:hAnsi="宋体"/>
          <w:b/>
          <w:bCs/>
          <w:sz w:val="18"/>
          <w:szCs w:val="18"/>
        </w:rPr>
        <w:t>4</w:t>
      </w:r>
      <w:r>
        <w:rPr>
          <w:rFonts w:hint="eastAsia" w:ascii="宋体" w:hAnsi="宋体"/>
          <w:b/>
          <w:bCs/>
          <w:sz w:val="18"/>
          <w:szCs w:val="18"/>
        </w:rPr>
        <w:t>.</w:t>
      </w:r>
      <w:r>
        <w:rPr>
          <w:rFonts w:ascii="宋体" w:hAnsi="宋体"/>
          <w:b/>
          <w:bCs/>
          <w:sz w:val="18"/>
          <w:szCs w:val="18"/>
        </w:rPr>
        <w:t>1</w:t>
      </w:r>
      <w:r>
        <w:rPr>
          <w:rFonts w:hint="eastAsia" w:ascii="宋体" w:hAnsi="宋体"/>
          <w:b/>
          <w:bCs/>
          <w:sz w:val="18"/>
          <w:szCs w:val="18"/>
        </w:rPr>
        <w:t xml:space="preserve">  最小抽样检测数量</w:t>
      </w:r>
    </w:p>
    <w:tbl>
      <w:tblPr>
        <w:tblStyle w:val="2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952"/>
        <w:gridCol w:w="2267"/>
        <w:gridCol w:w="1844"/>
        <w:gridCol w:w="2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215" w:hRule="atLeast"/>
          <w:jc w:val="center"/>
        </w:trPr>
        <w:tc>
          <w:tcPr>
            <w:tcW w:w="1952" w:type="dxa"/>
            <w:tcBorders>
              <w:top w:val="single" w:color="auto" w:sz="4" w:space="0"/>
              <w:left w:val="single" w:color="auto" w:sz="4" w:space="0"/>
              <w:bottom w:val="single" w:color="auto" w:sz="4" w:space="0"/>
              <w:right w:val="single" w:color="auto" w:sz="4" w:space="0"/>
            </w:tcBorders>
            <w:shd w:val="clear" w:color="auto" w:fill="D8D8D8"/>
            <w:vAlign w:val="center"/>
          </w:tcPr>
          <w:p>
            <w:pPr>
              <w:spacing w:line="300" w:lineRule="auto"/>
              <w:jc w:val="center"/>
              <w:rPr>
                <w:rFonts w:ascii="宋体" w:hAnsi="宋体"/>
                <w:b/>
                <w:sz w:val="18"/>
                <w:szCs w:val="18"/>
              </w:rPr>
            </w:pPr>
            <w:r>
              <w:rPr>
                <w:rFonts w:hint="eastAsia" w:ascii="宋体" w:hAnsi="宋体"/>
                <w:b/>
                <w:sz w:val="18"/>
                <w:szCs w:val="18"/>
              </w:rPr>
              <w:t>受检样本数量</w:t>
            </w:r>
          </w:p>
        </w:tc>
        <w:tc>
          <w:tcPr>
            <w:tcW w:w="2267" w:type="dxa"/>
            <w:tcBorders>
              <w:top w:val="single" w:color="auto" w:sz="4" w:space="0"/>
              <w:left w:val="single" w:color="auto" w:sz="4" w:space="0"/>
              <w:bottom w:val="single" w:color="auto" w:sz="4" w:space="0"/>
              <w:right w:val="single" w:color="auto" w:sz="4" w:space="0"/>
            </w:tcBorders>
            <w:shd w:val="clear" w:color="auto" w:fill="D8D8D8"/>
            <w:vAlign w:val="center"/>
          </w:tcPr>
          <w:p>
            <w:pPr>
              <w:spacing w:line="300" w:lineRule="auto"/>
              <w:jc w:val="center"/>
              <w:rPr>
                <w:rFonts w:ascii="宋体" w:hAnsi="宋体"/>
                <w:b/>
                <w:sz w:val="18"/>
                <w:szCs w:val="18"/>
              </w:rPr>
            </w:pPr>
            <w:r>
              <w:rPr>
                <w:rFonts w:hint="eastAsia" w:ascii="宋体" w:hAnsi="宋体"/>
                <w:b/>
                <w:bCs/>
                <w:sz w:val="18"/>
                <w:szCs w:val="18"/>
              </w:rPr>
              <w:t>最小抽样检测数量</w:t>
            </w:r>
          </w:p>
        </w:tc>
        <w:tc>
          <w:tcPr>
            <w:tcW w:w="1844" w:type="dxa"/>
            <w:tcBorders>
              <w:top w:val="single" w:color="auto" w:sz="4" w:space="0"/>
              <w:left w:val="single" w:color="auto" w:sz="4" w:space="0"/>
              <w:bottom w:val="single" w:color="auto" w:sz="4" w:space="0"/>
              <w:right w:val="single" w:color="auto" w:sz="4" w:space="0"/>
            </w:tcBorders>
            <w:shd w:val="clear" w:color="auto" w:fill="D8D8D8"/>
            <w:vAlign w:val="center"/>
          </w:tcPr>
          <w:p>
            <w:pPr>
              <w:widowControl/>
              <w:spacing w:line="300" w:lineRule="auto"/>
              <w:jc w:val="center"/>
              <w:rPr>
                <w:rFonts w:ascii="宋体" w:hAnsi="宋体"/>
                <w:b/>
                <w:sz w:val="18"/>
                <w:szCs w:val="18"/>
              </w:rPr>
            </w:pPr>
            <w:r>
              <w:rPr>
                <w:rFonts w:hint="eastAsia" w:ascii="宋体" w:hAnsi="宋体"/>
                <w:b/>
                <w:sz w:val="18"/>
                <w:szCs w:val="18"/>
              </w:rPr>
              <w:t>受检样本数量</w:t>
            </w:r>
          </w:p>
        </w:tc>
        <w:tc>
          <w:tcPr>
            <w:tcW w:w="2459" w:type="dxa"/>
            <w:tcBorders>
              <w:top w:val="single" w:color="auto" w:sz="4" w:space="0"/>
              <w:left w:val="single" w:color="auto" w:sz="4" w:space="0"/>
              <w:bottom w:val="single" w:color="auto" w:sz="4" w:space="0"/>
              <w:right w:val="single" w:color="auto" w:sz="4" w:space="0"/>
            </w:tcBorders>
            <w:shd w:val="clear" w:color="auto" w:fill="D8D8D8"/>
            <w:vAlign w:val="center"/>
          </w:tcPr>
          <w:p>
            <w:pPr>
              <w:spacing w:line="300" w:lineRule="auto"/>
              <w:jc w:val="center"/>
              <w:rPr>
                <w:rFonts w:ascii="宋体" w:hAnsi="宋体"/>
                <w:b/>
                <w:sz w:val="18"/>
                <w:szCs w:val="18"/>
              </w:rPr>
            </w:pPr>
            <w:r>
              <w:rPr>
                <w:rFonts w:hint="eastAsia" w:ascii="宋体" w:hAnsi="宋体"/>
                <w:b/>
                <w:bCs/>
                <w:sz w:val="18"/>
                <w:szCs w:val="18"/>
              </w:rPr>
              <w:t>最小抽样检测数量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944" w:hRule="atLeast"/>
          <w:jc w:val="center"/>
        </w:trPr>
        <w:tc>
          <w:tcPr>
            <w:tcW w:w="195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宋体" w:hAnsi="宋体"/>
                <w:bCs/>
                <w:sz w:val="18"/>
                <w:szCs w:val="18"/>
              </w:rPr>
            </w:pPr>
            <w:r>
              <w:rPr>
                <w:rFonts w:ascii="宋体" w:hAnsi="宋体"/>
                <w:bCs/>
                <w:sz w:val="18"/>
                <w:szCs w:val="18"/>
              </w:rPr>
              <w:t>2～</w:t>
            </w:r>
            <w:r>
              <w:rPr>
                <w:rFonts w:hint="eastAsia" w:ascii="宋体" w:hAnsi="宋体"/>
                <w:bCs/>
                <w:sz w:val="18"/>
                <w:szCs w:val="18"/>
              </w:rPr>
              <w:t>15</w:t>
            </w:r>
          </w:p>
          <w:p>
            <w:pPr>
              <w:spacing w:line="300" w:lineRule="auto"/>
              <w:jc w:val="center"/>
              <w:rPr>
                <w:rFonts w:ascii="宋体" w:hAnsi="宋体"/>
                <w:bCs/>
                <w:sz w:val="18"/>
                <w:szCs w:val="18"/>
              </w:rPr>
            </w:pPr>
            <w:r>
              <w:rPr>
                <w:rFonts w:ascii="宋体" w:hAnsi="宋体"/>
                <w:bCs/>
                <w:sz w:val="18"/>
                <w:szCs w:val="18"/>
              </w:rPr>
              <w:t>16～25</w:t>
            </w:r>
          </w:p>
          <w:p>
            <w:pPr>
              <w:spacing w:line="300" w:lineRule="auto"/>
              <w:jc w:val="center"/>
              <w:rPr>
                <w:rFonts w:ascii="宋体" w:hAnsi="宋体"/>
                <w:bCs/>
                <w:sz w:val="18"/>
                <w:szCs w:val="18"/>
              </w:rPr>
            </w:pPr>
            <w:r>
              <w:rPr>
                <w:rFonts w:ascii="宋体" w:hAnsi="宋体"/>
                <w:bCs/>
                <w:sz w:val="18"/>
                <w:szCs w:val="18"/>
              </w:rPr>
              <w:t>26～</w:t>
            </w:r>
            <w:r>
              <w:rPr>
                <w:rFonts w:hint="eastAsia" w:ascii="宋体" w:hAnsi="宋体"/>
                <w:bCs/>
                <w:sz w:val="18"/>
                <w:szCs w:val="18"/>
              </w:rPr>
              <w:t>9</w:t>
            </w:r>
            <w:r>
              <w:rPr>
                <w:rFonts w:ascii="宋体" w:hAnsi="宋体"/>
                <w:bCs/>
                <w:sz w:val="18"/>
                <w:szCs w:val="18"/>
              </w:rPr>
              <w:t>0</w:t>
            </w:r>
          </w:p>
          <w:p>
            <w:pPr>
              <w:widowControl/>
              <w:spacing w:line="300" w:lineRule="auto"/>
              <w:jc w:val="center"/>
              <w:rPr>
                <w:rFonts w:ascii="宋体" w:hAnsi="宋体"/>
                <w:sz w:val="18"/>
                <w:szCs w:val="18"/>
              </w:rPr>
            </w:pPr>
            <w:r>
              <w:rPr>
                <w:rFonts w:ascii="宋体" w:hAnsi="宋体"/>
                <w:bCs/>
                <w:sz w:val="18"/>
                <w:szCs w:val="18"/>
              </w:rPr>
              <w:t>91～150</w:t>
            </w:r>
          </w:p>
        </w:tc>
        <w:tc>
          <w:tcPr>
            <w:tcW w:w="2267"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ascii="宋体" w:hAnsi="宋体"/>
                <w:bCs/>
                <w:sz w:val="18"/>
                <w:szCs w:val="18"/>
              </w:rPr>
            </w:pPr>
            <w:r>
              <w:rPr>
                <w:rFonts w:ascii="宋体" w:hAnsi="宋体"/>
                <w:bCs/>
                <w:sz w:val="18"/>
                <w:szCs w:val="18"/>
              </w:rPr>
              <w:t>2</w:t>
            </w:r>
          </w:p>
          <w:p>
            <w:pPr>
              <w:spacing w:line="300" w:lineRule="auto"/>
              <w:jc w:val="center"/>
              <w:rPr>
                <w:rFonts w:ascii="宋体" w:hAnsi="宋体"/>
                <w:bCs/>
                <w:sz w:val="18"/>
                <w:szCs w:val="18"/>
              </w:rPr>
            </w:pPr>
            <w:r>
              <w:rPr>
                <w:rFonts w:ascii="宋体" w:hAnsi="宋体"/>
                <w:bCs/>
                <w:sz w:val="18"/>
                <w:szCs w:val="18"/>
              </w:rPr>
              <w:t>3</w:t>
            </w:r>
          </w:p>
          <w:p>
            <w:pPr>
              <w:spacing w:line="300" w:lineRule="auto"/>
              <w:jc w:val="center"/>
              <w:rPr>
                <w:rFonts w:ascii="宋体" w:hAnsi="宋体"/>
                <w:bCs/>
                <w:sz w:val="18"/>
                <w:szCs w:val="18"/>
              </w:rPr>
            </w:pPr>
            <w:r>
              <w:rPr>
                <w:rFonts w:ascii="宋体" w:hAnsi="宋体"/>
                <w:bCs/>
                <w:sz w:val="18"/>
                <w:szCs w:val="18"/>
              </w:rPr>
              <w:t>5</w:t>
            </w:r>
          </w:p>
          <w:p>
            <w:pPr>
              <w:spacing w:line="300" w:lineRule="auto"/>
              <w:jc w:val="center"/>
              <w:rPr>
                <w:rFonts w:ascii="宋体" w:hAnsi="宋体"/>
                <w:bCs/>
                <w:sz w:val="18"/>
                <w:szCs w:val="18"/>
              </w:rPr>
            </w:pPr>
            <w:r>
              <w:rPr>
                <w:rFonts w:hint="eastAsia" w:ascii="宋体" w:hAnsi="宋体"/>
                <w:bCs/>
                <w:sz w:val="18"/>
                <w:szCs w:val="18"/>
              </w:rPr>
              <w:t>8</w:t>
            </w:r>
          </w:p>
        </w:tc>
        <w:tc>
          <w:tcPr>
            <w:tcW w:w="1844"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宋体" w:hAnsi="宋体"/>
                <w:bCs/>
                <w:sz w:val="18"/>
                <w:szCs w:val="18"/>
              </w:rPr>
            </w:pPr>
            <w:r>
              <w:rPr>
                <w:rFonts w:ascii="宋体" w:hAnsi="宋体"/>
                <w:bCs/>
                <w:sz w:val="18"/>
                <w:szCs w:val="18"/>
              </w:rPr>
              <w:t>151～280</w:t>
            </w:r>
          </w:p>
          <w:p>
            <w:pPr>
              <w:widowControl/>
              <w:spacing w:line="300" w:lineRule="auto"/>
              <w:jc w:val="center"/>
              <w:rPr>
                <w:rFonts w:ascii="宋体" w:hAnsi="宋体"/>
                <w:bCs/>
                <w:sz w:val="18"/>
                <w:szCs w:val="18"/>
              </w:rPr>
            </w:pPr>
            <w:r>
              <w:rPr>
                <w:rFonts w:ascii="宋体" w:hAnsi="宋体"/>
                <w:bCs/>
                <w:sz w:val="18"/>
                <w:szCs w:val="18"/>
              </w:rPr>
              <w:t>281～500</w:t>
            </w:r>
          </w:p>
          <w:p>
            <w:pPr>
              <w:widowControl/>
              <w:spacing w:line="300" w:lineRule="auto"/>
              <w:jc w:val="center"/>
              <w:rPr>
                <w:rFonts w:ascii="宋体" w:hAnsi="宋体"/>
                <w:bCs/>
                <w:sz w:val="18"/>
                <w:szCs w:val="18"/>
              </w:rPr>
            </w:pPr>
            <w:r>
              <w:rPr>
                <w:rFonts w:ascii="宋体" w:hAnsi="宋体"/>
                <w:bCs/>
                <w:sz w:val="18"/>
                <w:szCs w:val="18"/>
              </w:rPr>
              <w:t>501～1200</w:t>
            </w:r>
          </w:p>
          <w:p>
            <w:pPr>
              <w:widowControl/>
              <w:spacing w:line="300" w:lineRule="auto"/>
              <w:jc w:val="center"/>
              <w:rPr>
                <w:rFonts w:ascii="宋体" w:hAnsi="宋体"/>
                <w:bCs/>
                <w:sz w:val="18"/>
                <w:szCs w:val="18"/>
              </w:rPr>
            </w:pPr>
            <w:r>
              <w:rPr>
                <w:rFonts w:ascii="宋体" w:hAnsi="宋体"/>
                <w:bCs/>
                <w:sz w:val="18"/>
                <w:szCs w:val="18"/>
              </w:rPr>
              <w:t>1201～3200</w:t>
            </w:r>
          </w:p>
        </w:tc>
        <w:tc>
          <w:tcPr>
            <w:tcW w:w="24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宋体" w:hAnsi="宋体"/>
                <w:bCs/>
                <w:sz w:val="18"/>
                <w:szCs w:val="18"/>
              </w:rPr>
            </w:pPr>
            <w:r>
              <w:rPr>
                <w:rFonts w:ascii="宋体" w:hAnsi="宋体"/>
                <w:bCs/>
                <w:sz w:val="18"/>
                <w:szCs w:val="18"/>
              </w:rPr>
              <w:t>13</w:t>
            </w:r>
          </w:p>
          <w:p>
            <w:pPr>
              <w:widowControl/>
              <w:spacing w:line="300" w:lineRule="auto"/>
              <w:jc w:val="center"/>
              <w:rPr>
                <w:rFonts w:ascii="宋体" w:hAnsi="宋体"/>
                <w:bCs/>
                <w:sz w:val="18"/>
                <w:szCs w:val="18"/>
              </w:rPr>
            </w:pPr>
            <w:r>
              <w:rPr>
                <w:rFonts w:ascii="宋体" w:hAnsi="宋体"/>
                <w:bCs/>
                <w:sz w:val="18"/>
                <w:szCs w:val="18"/>
              </w:rPr>
              <w:t>20</w:t>
            </w:r>
          </w:p>
          <w:p>
            <w:pPr>
              <w:widowControl/>
              <w:spacing w:line="300" w:lineRule="auto"/>
              <w:jc w:val="center"/>
              <w:rPr>
                <w:rFonts w:ascii="宋体" w:hAnsi="宋体"/>
                <w:bCs/>
                <w:sz w:val="18"/>
                <w:szCs w:val="18"/>
              </w:rPr>
            </w:pPr>
            <w:r>
              <w:rPr>
                <w:rFonts w:ascii="宋体" w:hAnsi="宋体"/>
                <w:bCs/>
                <w:sz w:val="18"/>
                <w:szCs w:val="18"/>
              </w:rPr>
              <w:t>32</w:t>
            </w:r>
          </w:p>
          <w:p>
            <w:pPr>
              <w:widowControl/>
              <w:spacing w:line="300" w:lineRule="auto"/>
              <w:jc w:val="center"/>
              <w:rPr>
                <w:rFonts w:ascii="宋体" w:hAnsi="宋体"/>
                <w:bCs/>
                <w:sz w:val="18"/>
                <w:szCs w:val="18"/>
              </w:rPr>
            </w:pPr>
            <w:r>
              <w:rPr>
                <w:rFonts w:ascii="宋体" w:hAnsi="宋体"/>
                <w:bCs/>
                <w:sz w:val="18"/>
                <w:szCs w:val="18"/>
              </w:rPr>
              <w:t>50</w:t>
            </w:r>
          </w:p>
        </w:tc>
      </w:tr>
    </w:tbl>
    <w:p>
      <w:pPr>
        <w:pStyle w:val="236"/>
        <w:numPr>
          <w:ilvl w:val="0"/>
          <w:numId w:val="33"/>
        </w:numPr>
        <w:spacing w:line="240" w:lineRule="auto"/>
        <w:rPr>
          <w:rFonts w:cs="Calibri"/>
          <w:color w:val="000000"/>
        </w:rPr>
      </w:pPr>
      <w:r>
        <w:rPr>
          <w:rFonts w:hint="eastAsia" w:cs="Calibri"/>
          <w:color w:val="000000"/>
          <w:lang w:eastAsia="zh-CN"/>
        </w:rPr>
        <w:t xml:space="preserve"> </w:t>
      </w:r>
      <w:r>
        <w:rPr>
          <w:rFonts w:hint="eastAsia" w:cs="Calibri"/>
          <w:color w:val="000000"/>
        </w:rPr>
        <w:t>绿色建筑检测报告应信息完备、数据真实、结论明确、用词规范、文字简练。</w:t>
      </w:r>
    </w:p>
    <w:p>
      <w:pPr>
        <w:pStyle w:val="236"/>
        <w:numPr>
          <w:ilvl w:val="0"/>
          <w:numId w:val="33"/>
        </w:numPr>
        <w:spacing w:line="240" w:lineRule="auto"/>
        <w:rPr>
          <w:rFonts w:cs="Calibri"/>
          <w:color w:val="000000"/>
        </w:rPr>
      </w:pPr>
      <w:r>
        <w:rPr>
          <w:rFonts w:hint="eastAsia" w:cs="Calibri"/>
          <w:color w:val="000000"/>
          <w:lang w:eastAsia="zh-CN"/>
        </w:rPr>
        <w:t xml:space="preserve"> </w:t>
      </w:r>
      <w:r>
        <w:rPr>
          <w:rFonts w:hint="eastAsia" w:cs="Calibri"/>
          <w:color w:val="000000"/>
        </w:rPr>
        <w:t>绿色建筑检测报告应包括下列内容：</w:t>
      </w:r>
    </w:p>
    <w:p>
      <w:pPr>
        <w:pStyle w:val="178"/>
        <w:numPr>
          <w:ilvl w:val="0"/>
          <w:numId w:val="36"/>
        </w:numPr>
        <w:rPr>
          <w:lang w:val="zh-TW" w:eastAsia="zh-TW" w:bidi="zh-TW"/>
        </w:rPr>
      </w:pPr>
      <w:r>
        <w:rPr>
          <w:rFonts w:hint="eastAsia"/>
          <w:lang w:val="zh-TW" w:bidi="zh-TW"/>
        </w:rPr>
        <w:t xml:space="preserve"> </w:t>
      </w:r>
      <w:r>
        <w:rPr>
          <w:rFonts w:hint="eastAsia"/>
          <w:lang w:val="zh-TW" w:eastAsia="zh-TW" w:bidi="zh-TW"/>
        </w:rPr>
        <w:t>绿色建筑的检测项目；</w:t>
      </w:r>
    </w:p>
    <w:p>
      <w:pPr>
        <w:pStyle w:val="178"/>
        <w:numPr>
          <w:ilvl w:val="0"/>
          <w:numId w:val="36"/>
        </w:numPr>
        <w:rPr>
          <w:rFonts w:hAnsi="宋体" w:cs="宋体"/>
          <w:color w:val="000000"/>
          <w:lang w:val="zh-TW" w:eastAsia="zh-TW" w:bidi="zh-TW"/>
        </w:rPr>
      </w:pPr>
      <w:r>
        <w:rPr>
          <w:rFonts w:hAnsi="宋体" w:eastAsia="PMingLiU" w:cs="宋体"/>
          <w:color w:val="000000"/>
          <w:lang w:val="zh-TW" w:eastAsia="zh-TW" w:bidi="zh-TW"/>
        </w:rPr>
        <w:t xml:space="preserve"> </w:t>
      </w:r>
      <w:r>
        <w:rPr>
          <w:rFonts w:hint="eastAsia" w:hAnsi="宋体" w:cs="宋体"/>
          <w:color w:val="000000"/>
          <w:lang w:val="zh-TW" w:eastAsia="zh-TW" w:bidi="zh-TW"/>
        </w:rPr>
        <w:t>绿色建筑各检测项目的检测数量；</w:t>
      </w:r>
    </w:p>
    <w:p>
      <w:pPr>
        <w:pStyle w:val="178"/>
        <w:numPr>
          <w:ilvl w:val="0"/>
          <w:numId w:val="36"/>
        </w:numPr>
        <w:rPr>
          <w:rFonts w:hAnsi="宋体" w:cs="宋体"/>
          <w:color w:val="000000"/>
          <w:lang w:val="zh-TW" w:eastAsia="zh-TW" w:bidi="zh-TW"/>
        </w:rPr>
      </w:pPr>
      <w:r>
        <w:rPr>
          <w:rFonts w:hAnsi="宋体" w:eastAsia="PMingLiU" w:cs="宋体"/>
          <w:color w:val="000000"/>
          <w:lang w:val="zh-TW" w:eastAsia="zh-TW" w:bidi="zh-TW"/>
        </w:rPr>
        <w:t xml:space="preserve"> </w:t>
      </w:r>
      <w:r>
        <w:rPr>
          <w:rFonts w:hint="eastAsia" w:hAnsi="宋体" w:cs="宋体"/>
          <w:color w:val="000000"/>
          <w:lang w:val="zh-TW" w:eastAsia="zh-TW" w:bidi="zh-TW"/>
        </w:rPr>
        <w:t>绿色建筑项目的检测工况；</w:t>
      </w:r>
    </w:p>
    <w:p>
      <w:pPr>
        <w:pStyle w:val="178"/>
        <w:numPr>
          <w:ilvl w:val="0"/>
          <w:numId w:val="36"/>
        </w:numPr>
        <w:rPr>
          <w:rFonts w:hAnsi="宋体" w:cs="宋体"/>
          <w:color w:val="000000"/>
          <w:lang w:val="zh-TW" w:eastAsia="zh-TW" w:bidi="zh-TW"/>
        </w:rPr>
      </w:pPr>
      <w:r>
        <w:rPr>
          <w:rFonts w:hAnsi="宋体" w:eastAsia="PMingLiU" w:cs="宋体"/>
          <w:color w:val="000000"/>
          <w:lang w:val="zh-TW" w:eastAsia="zh-TW" w:bidi="zh-TW"/>
        </w:rPr>
        <w:t xml:space="preserve"> </w:t>
      </w:r>
      <w:r>
        <w:rPr>
          <w:rFonts w:hint="eastAsia" w:hAnsi="宋体" w:cs="宋体"/>
          <w:color w:val="000000"/>
          <w:lang w:val="zh-TW" w:eastAsia="zh-TW" w:bidi="zh-TW"/>
        </w:rPr>
        <w:t xml:space="preserve">绿色建筑检测项目的检测方法； </w:t>
      </w:r>
    </w:p>
    <w:p>
      <w:pPr>
        <w:pStyle w:val="178"/>
        <w:numPr>
          <w:ilvl w:val="0"/>
          <w:numId w:val="36"/>
        </w:numPr>
        <w:rPr>
          <w:rFonts w:hAnsi="宋体" w:cs="宋体"/>
          <w:color w:val="000000"/>
          <w:lang w:val="zh-TW" w:eastAsia="zh-TW" w:bidi="zh-TW"/>
        </w:rPr>
      </w:pPr>
      <w:r>
        <w:rPr>
          <w:rFonts w:hAnsi="宋体" w:eastAsia="PMingLiU" w:cs="宋体"/>
          <w:color w:val="000000"/>
          <w:lang w:val="zh-TW" w:eastAsia="zh-TW" w:bidi="zh-TW"/>
        </w:rPr>
        <w:t xml:space="preserve"> </w:t>
      </w:r>
      <w:r>
        <w:rPr>
          <w:rFonts w:hint="eastAsia" w:hAnsi="宋体" w:cs="宋体"/>
          <w:color w:val="000000"/>
          <w:lang w:val="zh-TW" w:eastAsia="zh-TW" w:bidi="zh-TW"/>
        </w:rPr>
        <w:t>绿色建筑现场检测的检测仪器或设备和测试位置；</w:t>
      </w:r>
    </w:p>
    <w:p>
      <w:pPr>
        <w:pStyle w:val="178"/>
        <w:numPr>
          <w:ilvl w:val="0"/>
          <w:numId w:val="36"/>
        </w:numPr>
        <w:rPr>
          <w:rFonts w:hAnsi="宋体" w:cs="宋体"/>
          <w:color w:val="000000"/>
          <w:lang w:val="zh-TW" w:eastAsia="zh-TW" w:bidi="zh-TW"/>
        </w:rPr>
      </w:pPr>
      <w:r>
        <w:rPr>
          <w:rFonts w:hAnsi="宋体" w:eastAsia="PMingLiU" w:cs="宋体"/>
          <w:color w:val="000000"/>
          <w:lang w:val="zh-TW" w:eastAsia="zh-TW" w:bidi="zh-TW"/>
        </w:rPr>
        <w:t xml:space="preserve"> </w:t>
      </w:r>
      <w:r>
        <w:rPr>
          <w:rFonts w:hint="eastAsia" w:hAnsi="宋体" w:cs="宋体"/>
          <w:color w:val="000000"/>
          <w:lang w:val="zh-TW" w:eastAsia="zh-TW" w:bidi="zh-TW"/>
        </w:rPr>
        <w:t>绿色建筑各检测项目的检测结果；</w:t>
      </w:r>
    </w:p>
    <w:p>
      <w:pPr>
        <w:pStyle w:val="178"/>
        <w:numPr>
          <w:ilvl w:val="0"/>
          <w:numId w:val="36"/>
        </w:numPr>
        <w:rPr>
          <w:rFonts w:hAnsi="宋体" w:cs="宋体"/>
          <w:color w:val="000000"/>
          <w:lang w:val="zh-TW" w:eastAsia="zh-TW" w:bidi="zh-TW"/>
        </w:rPr>
      </w:pPr>
      <w:r>
        <w:rPr>
          <w:rFonts w:hAnsi="宋体" w:eastAsia="PMingLiU" w:cs="宋体"/>
          <w:color w:val="000000"/>
          <w:lang w:val="zh-TW" w:eastAsia="zh-TW" w:bidi="zh-TW"/>
        </w:rPr>
        <w:t xml:space="preserve"> </w:t>
      </w:r>
      <w:r>
        <w:rPr>
          <w:rFonts w:hint="eastAsia" w:hAnsi="宋体" w:cs="宋体"/>
          <w:color w:val="000000"/>
          <w:lang w:val="zh-TW" w:eastAsia="zh-TW" w:bidi="zh-TW"/>
        </w:rPr>
        <w:t>对各项检测结果的判定。</w:t>
      </w:r>
    </w:p>
    <w:p>
      <w:pPr>
        <w:pStyle w:val="236"/>
        <w:numPr>
          <w:ilvl w:val="0"/>
          <w:numId w:val="33"/>
        </w:numPr>
        <w:spacing w:line="240" w:lineRule="auto"/>
        <w:rPr>
          <w:rFonts w:cs="Calibri"/>
          <w:color w:val="000000" w:themeColor="text1"/>
          <w14:textFill>
            <w14:solidFill>
              <w14:schemeClr w14:val="tx1"/>
            </w14:solidFill>
          </w14:textFill>
        </w:rPr>
      </w:pPr>
      <w:r>
        <w:rPr>
          <w:rFonts w:hint="eastAsia" w:cs="Calibri"/>
          <w:color w:val="000000"/>
          <w:lang w:eastAsia="zh-CN"/>
        </w:rPr>
        <w:t xml:space="preserve"> </w:t>
      </w:r>
      <w:r>
        <w:rPr>
          <w:rFonts w:hint="eastAsia" w:cs="Calibri"/>
          <w:color w:val="000000" w:themeColor="text1"/>
          <w14:textFill>
            <w14:solidFill>
              <w14:schemeClr w14:val="tx1"/>
            </w14:solidFill>
          </w14:textFill>
        </w:rPr>
        <w:t>绿色建筑检测结果的判定应遵守下列规定：</w:t>
      </w:r>
    </w:p>
    <w:p>
      <w:pPr>
        <w:pStyle w:val="178"/>
        <w:numPr>
          <w:ilvl w:val="0"/>
          <w:numId w:val="37"/>
        </w:numPr>
      </w:pPr>
      <w:r>
        <w:t xml:space="preserve"> </w:t>
      </w:r>
      <w:r>
        <w:rPr>
          <w:rFonts w:hint="eastAsia"/>
        </w:rPr>
        <w:t>依据绿色建筑设计文件的指标要求对检测结果进行判定；</w:t>
      </w:r>
    </w:p>
    <w:p>
      <w:pPr>
        <w:pStyle w:val="178"/>
        <w:numPr>
          <w:ilvl w:val="0"/>
          <w:numId w:val="37"/>
        </w:numPr>
      </w:pPr>
      <w:r>
        <w:t xml:space="preserve"> </w:t>
      </w:r>
      <w:r>
        <w:rPr>
          <w:rFonts w:hint="eastAsia" w:cs="Calibri"/>
          <w:color w:val="000000" w:themeColor="text1"/>
          <w14:textFill>
            <w14:solidFill>
              <w14:schemeClr w14:val="tx1"/>
            </w14:solidFill>
          </w14:textFill>
        </w:rPr>
        <w:t>依据现行有效的标准对检测结果进行判定；</w:t>
      </w:r>
    </w:p>
    <w:p>
      <w:pPr>
        <w:spacing w:line="300" w:lineRule="auto"/>
        <w:rPr>
          <w:rFonts w:cs="Calibri"/>
          <w:color w:val="4472C4" w:themeColor="accent1"/>
          <w14:textFill>
            <w14:solidFill>
              <w14:schemeClr w14:val="accent1"/>
            </w14:solidFill>
          </w14:textFill>
        </w:rPr>
      </w:pPr>
      <w:r>
        <w:rPr>
          <w:rFonts w:cs="Calibri"/>
          <w:color w:val="000000"/>
        </w:rPr>
        <w:t xml:space="preserve">  </w:t>
      </w:r>
      <w:r>
        <w:rPr>
          <w:rFonts w:cs="Calibri"/>
          <w:color w:val="4472C4" w:themeColor="accent1"/>
          <w14:textFill>
            <w14:solidFill>
              <w14:schemeClr w14:val="accent1"/>
            </w14:solidFill>
          </w14:textFill>
        </w:rPr>
        <w:t xml:space="preserve"> </w:t>
      </w:r>
      <w:bookmarkStart w:id="67" w:name="_Toc129698154"/>
      <w:bookmarkStart w:id="68" w:name="_Toc129782126"/>
      <w:bookmarkStart w:id="69" w:name="bookmark28"/>
      <w:bookmarkStart w:id="70" w:name="bookmark27"/>
      <w:bookmarkStart w:id="71" w:name="bookmark26"/>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spacing w:line="300" w:lineRule="auto"/>
        <w:rPr>
          <w:rFonts w:cs="Calibri"/>
          <w:color w:val="4472C4" w:themeColor="accent1"/>
          <w14:textFill>
            <w14:solidFill>
              <w14:schemeClr w14:val="accent1"/>
            </w14:solidFill>
          </w14:textFill>
        </w:rPr>
      </w:pPr>
    </w:p>
    <w:p>
      <w:pPr>
        <w:pStyle w:val="108"/>
        <w:spacing w:before="240" w:after="240"/>
        <w:ind w:left="0"/>
        <w:rPr>
          <w:lang w:bidi="en-US"/>
        </w:rPr>
      </w:pPr>
      <w:bookmarkStart w:id="72" w:name="_Toc129855987"/>
      <w:bookmarkStart w:id="73" w:name="_Toc129855761"/>
      <w:r>
        <w:rPr>
          <w:rFonts w:hint="eastAsia"/>
          <w:lang w:bidi="en-US"/>
        </w:rPr>
        <w:t>室外场地环境检测</w:t>
      </w:r>
      <w:bookmarkEnd w:id="67"/>
      <w:bookmarkEnd w:id="68"/>
      <w:bookmarkEnd w:id="69"/>
      <w:bookmarkEnd w:id="70"/>
      <w:bookmarkEnd w:id="71"/>
      <w:bookmarkEnd w:id="72"/>
      <w:bookmarkEnd w:id="73"/>
    </w:p>
    <w:p>
      <w:pPr>
        <w:pStyle w:val="69"/>
        <w:spacing w:before="120" w:after="120"/>
      </w:pPr>
      <w:bookmarkStart w:id="74" w:name="bookmark31"/>
      <w:bookmarkStart w:id="75" w:name="bookmark30"/>
      <w:bookmarkStart w:id="76" w:name="bookmark29"/>
      <w:r>
        <w:rPr>
          <w:rFonts w:hint="eastAsia"/>
          <w:lang w:bidi="en-US"/>
        </w:rPr>
        <w:t>5.1</w:t>
      </w:r>
      <w:r>
        <w:rPr>
          <w:rFonts w:hint="eastAsia"/>
        </w:rPr>
        <w:t>一般规定</w:t>
      </w:r>
      <w:bookmarkEnd w:id="74"/>
      <w:bookmarkEnd w:id="75"/>
      <w:bookmarkEnd w:id="76"/>
    </w:p>
    <w:p>
      <w:pPr>
        <w:pStyle w:val="236"/>
        <w:spacing w:line="240" w:lineRule="auto"/>
        <w:ind w:firstLine="0"/>
        <w:jc w:val="left"/>
        <w:rPr>
          <w:rFonts w:eastAsia="PMingLiU"/>
          <w:color w:val="000000"/>
          <w:sz w:val="21"/>
          <w:szCs w:val="21"/>
        </w:rPr>
      </w:pPr>
      <w:r>
        <w:rPr>
          <w:rFonts w:hint="eastAsia"/>
          <w:color w:val="000000"/>
          <w:sz w:val="21"/>
          <w:szCs w:val="21"/>
          <w:lang w:val="en-US" w:eastAsia="zh-CN" w:bidi="en-US"/>
        </w:rPr>
        <w:t>5</w:t>
      </w:r>
      <w:r>
        <w:rPr>
          <w:color w:val="000000"/>
          <w:sz w:val="21"/>
          <w:szCs w:val="21"/>
          <w:lang w:val="en-US" w:eastAsia="zh-CN" w:bidi="en-US"/>
        </w:rPr>
        <w:t>.1.1</w:t>
      </w:r>
      <w:r>
        <w:rPr>
          <w:color w:val="000000"/>
          <w:sz w:val="21"/>
          <w:szCs w:val="21"/>
        </w:rPr>
        <w:t>绿色建筑室外环境的检测项目宜包括建筑场地土壤</w:t>
      </w:r>
      <w:r>
        <w:rPr>
          <w:rFonts w:hint="eastAsia"/>
          <w:color w:val="000000"/>
          <w:sz w:val="21"/>
          <w:szCs w:val="21"/>
          <w:lang w:val="en-US" w:eastAsia="zh-CN"/>
        </w:rPr>
        <w:t>氡</w:t>
      </w:r>
      <w:r>
        <w:rPr>
          <w:color w:val="000000"/>
          <w:sz w:val="21"/>
          <w:szCs w:val="21"/>
        </w:rPr>
        <w:t>浓度、电磁环境、</w:t>
      </w:r>
      <w:r>
        <w:rPr>
          <w:rFonts w:hint="eastAsia"/>
          <w:color w:val="000000"/>
          <w:sz w:val="21"/>
          <w:szCs w:val="21"/>
        </w:rPr>
        <w:t>室外照明</w:t>
      </w:r>
      <w:r>
        <w:rPr>
          <w:color w:val="000000"/>
          <w:sz w:val="21"/>
          <w:szCs w:val="21"/>
        </w:rPr>
        <w:t>光污染、</w:t>
      </w:r>
      <w:r>
        <w:rPr>
          <w:rFonts w:hint="eastAsia"/>
          <w:color w:val="000000"/>
          <w:sz w:val="21"/>
          <w:szCs w:val="21"/>
        </w:rPr>
        <w:t>玻璃幕墙可见光反射比，</w:t>
      </w:r>
      <w:r>
        <w:rPr>
          <w:color w:val="000000"/>
          <w:sz w:val="21"/>
          <w:szCs w:val="21"/>
        </w:rPr>
        <w:t>环境噪声及热岛强度等。</w:t>
      </w:r>
    </w:p>
    <w:p>
      <w:pPr>
        <w:pStyle w:val="236"/>
        <w:spacing w:line="240" w:lineRule="auto"/>
        <w:ind w:firstLine="0"/>
        <w:jc w:val="left"/>
        <w:rPr>
          <w:rFonts w:eastAsia="PMingLiU"/>
          <w:color w:val="000000"/>
          <w:sz w:val="21"/>
          <w:szCs w:val="21"/>
          <w:lang w:val="en-US"/>
        </w:rPr>
      </w:pPr>
    </w:p>
    <w:p>
      <w:pPr>
        <w:pStyle w:val="69"/>
        <w:spacing w:before="120" w:after="120"/>
        <w:rPr>
          <w:lang w:bidi="en-US"/>
        </w:rPr>
      </w:pPr>
      <w:bookmarkStart w:id="77" w:name="bookmark33"/>
      <w:bookmarkStart w:id="78" w:name="bookmark32"/>
      <w:bookmarkStart w:id="79" w:name="bookmark34"/>
      <w:r>
        <w:rPr>
          <w:rFonts w:hint="eastAsia"/>
          <w:lang w:bidi="en-US"/>
        </w:rPr>
        <w:t>5.2场地土壤氡浓度检测</w:t>
      </w:r>
      <w:bookmarkEnd w:id="77"/>
      <w:bookmarkEnd w:id="78"/>
      <w:bookmarkEnd w:id="79"/>
    </w:p>
    <w:p>
      <w:pPr>
        <w:widowControl/>
        <w:spacing w:line="240" w:lineRule="auto"/>
        <w:jc w:val="left"/>
        <w:rPr>
          <w:rFonts w:ascii="宋体" w:hAnsi="宋体" w:cs="宋体"/>
          <w:color w:val="000000"/>
          <w:lang w:val="zh-TW" w:eastAsia="zh-TW" w:bidi="zh-TW"/>
        </w:rPr>
      </w:pPr>
      <w:bookmarkStart w:id="80" w:name="bookmark35"/>
      <w:bookmarkStart w:id="81" w:name="bookmark37"/>
      <w:bookmarkStart w:id="82" w:name="bookmark36"/>
      <w:r>
        <w:rPr>
          <w:rFonts w:hint="eastAsia" w:ascii="宋体" w:hAnsi="宋体" w:cs="宋体"/>
          <w:color w:val="000000"/>
          <w:lang w:val="zh-TW" w:eastAsia="zh-TW" w:bidi="zh-TW"/>
        </w:rPr>
        <w:t>5.2.1绿色建筑运行评价，满足下列情况之一时，可不进行场地土壤氡浓度现场测试。</w:t>
      </w:r>
    </w:p>
    <w:p>
      <w:pPr>
        <w:pStyle w:val="178"/>
        <w:numPr>
          <w:ilvl w:val="0"/>
          <w:numId w:val="38"/>
        </w:numPr>
        <w:rPr>
          <w:lang w:val="zh-TW" w:eastAsia="zh-TW" w:bidi="zh-TW"/>
        </w:rPr>
      </w:pPr>
      <w:r>
        <w:rPr>
          <w:rFonts w:eastAsia="PMingLiU"/>
          <w:lang w:val="zh-TW" w:eastAsia="zh-TW" w:bidi="zh-TW"/>
        </w:rPr>
        <w:t xml:space="preserve"> </w:t>
      </w:r>
      <w:r>
        <w:rPr>
          <w:rFonts w:hint="eastAsia"/>
          <w:lang w:val="zh-TW" w:eastAsia="zh-TW" w:bidi="zh-TW"/>
        </w:rPr>
        <w:t>绿色建筑场地土壤中氡浓度或土壤氡析出率测定的结果符合现行国家标准《民用建筑</w:t>
      </w:r>
    </w:p>
    <w:p>
      <w:pPr>
        <w:pStyle w:val="178"/>
        <w:numPr>
          <w:ilvl w:val="0"/>
          <w:numId w:val="0"/>
        </w:numPr>
        <w:rPr>
          <w:lang w:val="zh-TW" w:eastAsia="zh-TW" w:bidi="zh-TW"/>
        </w:rPr>
      </w:pPr>
      <w:r>
        <w:rPr>
          <w:rFonts w:hint="eastAsia"/>
          <w:lang w:val="zh-TW" w:eastAsia="zh-TW" w:bidi="zh-TW"/>
        </w:rPr>
        <w:t>工程室内环境污染控制规范》GB50325 的要求。</w:t>
      </w:r>
    </w:p>
    <w:p>
      <w:pPr>
        <w:pStyle w:val="178"/>
        <w:numPr>
          <w:ilvl w:val="0"/>
          <w:numId w:val="38"/>
        </w:numPr>
        <w:rPr>
          <w:rFonts w:hAnsi="宋体" w:cs="宋体"/>
          <w:color w:val="000000"/>
          <w:lang w:val="zh-TW" w:eastAsia="zh-TW" w:bidi="zh-TW"/>
        </w:rPr>
      </w:pPr>
      <w:r>
        <w:rPr>
          <w:rFonts w:hAnsi="宋体" w:eastAsia="PMingLiU" w:cs="宋体"/>
          <w:color w:val="000000"/>
          <w:lang w:val="zh-TW" w:eastAsia="zh-TW" w:bidi="zh-TW"/>
        </w:rPr>
        <w:t xml:space="preserve"> </w:t>
      </w:r>
      <w:r>
        <w:rPr>
          <w:rFonts w:hint="eastAsia" w:hAnsi="宋体" w:cs="宋体"/>
          <w:color w:val="000000"/>
          <w:lang w:val="zh-TW" w:eastAsia="zh-TW" w:bidi="zh-TW"/>
        </w:rPr>
        <w:t>绿色建筑所在城市区域土壤中氡浓度或土壤表面氡析出率测定结果符合现行国家标</w:t>
      </w:r>
    </w:p>
    <w:p>
      <w:pPr>
        <w:pStyle w:val="178"/>
        <w:numPr>
          <w:ilvl w:val="0"/>
          <w:numId w:val="0"/>
        </w:numPr>
        <w:rPr>
          <w:rFonts w:hAnsi="宋体" w:eastAsia="PMingLiU" w:cs="宋体"/>
          <w:color w:val="000000"/>
          <w:lang w:val="zh-TW" w:eastAsia="zh-TW" w:bidi="zh-TW"/>
        </w:rPr>
      </w:pPr>
      <w:r>
        <w:rPr>
          <w:rFonts w:hint="eastAsia" w:hAnsi="宋体" w:cs="宋体"/>
          <w:color w:val="000000"/>
          <w:lang w:val="zh-TW" w:eastAsia="zh-TW" w:bidi="zh-TW"/>
        </w:rPr>
        <w:t>准《民用建筑工程室内环境污染控制规范》GB50325 的要求。</w:t>
      </w:r>
    </w:p>
    <w:p>
      <w:pPr>
        <w:pStyle w:val="236"/>
        <w:spacing w:line="240" w:lineRule="auto"/>
        <w:rPr>
          <w:rFonts w:ascii="Times New Roman" w:hAnsi="Times New Roman" w:eastAsia="PMingLiU" w:cs="Times New Roman"/>
          <w:color w:val="000000"/>
          <w:sz w:val="21"/>
          <w:szCs w:val="21"/>
        </w:rPr>
      </w:pPr>
      <w:r>
        <w:rPr>
          <w:rFonts w:ascii="Times New Roman" w:hAnsi="Times New Roman" w:cs="Times New Roman"/>
          <w:color w:val="000000"/>
          <w:sz w:val="21"/>
          <w:szCs w:val="21"/>
        </w:rPr>
        <w:t>5.2.2</w:t>
      </w:r>
      <w:r>
        <w:rPr>
          <w:rFonts w:cs="Times New Roman"/>
          <w:color w:val="000000"/>
          <w:sz w:val="21"/>
          <w:szCs w:val="21"/>
        </w:rPr>
        <w:t>建筑场地土壌氡浓度现场检测应符合下列规定：</w:t>
      </w:r>
    </w:p>
    <w:p>
      <w:pPr>
        <w:pStyle w:val="178"/>
        <w:numPr>
          <w:ilvl w:val="0"/>
          <w:numId w:val="39"/>
        </w:numPr>
        <w:rPr>
          <w:rFonts w:ascii="Times New Roman"/>
        </w:rPr>
      </w:pPr>
      <w:r>
        <w:rPr>
          <w:rFonts w:hint="eastAsia" w:ascii="Times New Roman"/>
        </w:rPr>
        <w:t xml:space="preserve"> </w:t>
      </w:r>
      <w:r>
        <w:t>新建及扩建的绿色建筑场地土壤中氡浓度在工程地质勘察范围内布点，应以间距</w:t>
      </w:r>
    </w:p>
    <w:p>
      <w:pPr>
        <w:pStyle w:val="178"/>
        <w:numPr>
          <w:ilvl w:val="0"/>
          <w:numId w:val="0"/>
        </w:numPr>
        <w:rPr>
          <w:rFonts w:ascii="Times New Roman"/>
        </w:rPr>
      </w:pPr>
      <w:r>
        <w:rPr>
          <w:rFonts w:ascii="Times New Roman"/>
        </w:rPr>
        <w:t>10m</w:t>
      </w:r>
      <w:r>
        <w:t>作网格，各网格点即为测试点，当遇较大石块时，可偏离</w:t>
      </w:r>
      <w:r>
        <w:rPr>
          <w:rFonts w:ascii="Times New Roman"/>
        </w:rPr>
        <w:t>±2m</w:t>
      </w:r>
      <w:r>
        <w:t>，但布点数不应少于</w:t>
      </w:r>
      <w:r>
        <w:rPr>
          <w:rFonts w:ascii="Times New Roman"/>
        </w:rPr>
        <w:t>16</w:t>
      </w:r>
      <w:r>
        <w:t>个，测量布点应覆盖单体建筑基础工程范围。土壤表面氡析出率在测量建筑场地</w:t>
      </w:r>
      <w:r>
        <w:rPr>
          <w:rFonts w:hint="eastAsia"/>
        </w:rPr>
        <w:t>按</w:t>
      </w:r>
      <w:r>
        <w:rPr>
          <w:rFonts w:ascii="Times New Roman"/>
        </w:rPr>
        <w:t>20m</w:t>
      </w:r>
      <w:r>
        <w:t>建筑场地网格布点，布点数不应少于</w:t>
      </w:r>
      <w:r>
        <w:rPr>
          <w:rFonts w:ascii="Times New Roman"/>
        </w:rPr>
        <w:t>16</w:t>
      </w:r>
      <w:r>
        <w:t>个。</w:t>
      </w:r>
    </w:p>
    <w:p>
      <w:pPr>
        <w:pStyle w:val="178"/>
        <w:numPr>
          <w:ilvl w:val="0"/>
          <w:numId w:val="39"/>
        </w:numPr>
        <w:rPr>
          <w:rFonts w:eastAsia="PMingLiU"/>
          <w:szCs w:val="21"/>
        </w:rPr>
      </w:pPr>
      <w:r>
        <w:rPr>
          <w:rFonts w:ascii="Times New Roman" w:eastAsia="PMingLiU"/>
          <w:szCs w:val="21"/>
        </w:rPr>
        <w:t xml:space="preserve"> </w:t>
      </w:r>
      <w:r>
        <w:rPr>
          <w:szCs w:val="21"/>
        </w:rPr>
        <w:t>建筑场地土壤中氡浓度或土壤氡析出率进行测定应按现行国家标准《民用建筑工程室</w:t>
      </w:r>
    </w:p>
    <w:p>
      <w:pPr>
        <w:pStyle w:val="178"/>
        <w:numPr>
          <w:ilvl w:val="0"/>
          <w:numId w:val="0"/>
        </w:numPr>
        <w:rPr>
          <w:rFonts w:eastAsia="PMingLiU"/>
          <w:szCs w:val="21"/>
        </w:rPr>
      </w:pPr>
      <w:r>
        <w:rPr>
          <w:szCs w:val="21"/>
        </w:rPr>
        <w:t>内环境污染控制标准》</w:t>
      </w:r>
      <w:r>
        <w:rPr>
          <w:rFonts w:ascii="Times New Roman"/>
          <w:szCs w:val="21"/>
        </w:rPr>
        <w:t>GB 50325</w:t>
      </w:r>
      <w:r>
        <w:rPr>
          <w:szCs w:val="21"/>
        </w:rPr>
        <w:t>规定的方法进行。</w:t>
      </w:r>
    </w:p>
    <w:p>
      <w:pPr>
        <w:pStyle w:val="69"/>
        <w:spacing w:before="120" w:after="120"/>
        <w:rPr>
          <w:lang w:bidi="en-US"/>
        </w:rPr>
      </w:pPr>
      <w:r>
        <w:rPr>
          <w:rFonts w:hint="eastAsia"/>
          <w:lang w:bidi="en-US"/>
        </w:rPr>
        <w:t>5.3建筑周围电磁环境检测</w:t>
      </w:r>
      <w:bookmarkEnd w:id="80"/>
      <w:bookmarkEnd w:id="81"/>
      <w:bookmarkEnd w:id="82"/>
    </w:p>
    <w:p>
      <w:pPr>
        <w:pStyle w:val="236"/>
        <w:spacing w:line="240" w:lineRule="auto"/>
        <w:ind w:firstLine="0"/>
        <w:jc w:val="left"/>
        <w:rPr>
          <w:rFonts w:eastAsia="PMingLiU"/>
          <w:color w:val="000000"/>
          <w:sz w:val="21"/>
          <w:szCs w:val="21"/>
        </w:rPr>
      </w:pPr>
      <w:r>
        <w:rPr>
          <w:rFonts w:hint="eastAsia"/>
          <w:color w:val="000000"/>
          <w:sz w:val="21"/>
          <w:szCs w:val="21"/>
          <w:lang w:val="en-US" w:eastAsia="zh-CN" w:bidi="en-US"/>
        </w:rPr>
        <w:t>5</w:t>
      </w:r>
      <w:r>
        <w:rPr>
          <w:color w:val="000000"/>
          <w:sz w:val="21"/>
          <w:szCs w:val="21"/>
          <w:lang w:val="en-US" w:eastAsia="zh-CN" w:bidi="en-US"/>
        </w:rPr>
        <w:t>.3.1</w:t>
      </w:r>
      <w:r>
        <w:rPr>
          <w:color w:val="000000"/>
          <w:sz w:val="21"/>
          <w:szCs w:val="21"/>
        </w:rPr>
        <w:t>建筑周围工频电磁环境检测项目宜包括工频电场和工频磁场。</w:t>
      </w:r>
    </w:p>
    <w:p>
      <w:pPr>
        <w:pStyle w:val="236"/>
        <w:spacing w:line="240" w:lineRule="auto"/>
        <w:ind w:firstLine="0"/>
        <w:rPr>
          <w:sz w:val="21"/>
          <w:szCs w:val="21"/>
        </w:rPr>
      </w:pPr>
      <w:r>
        <w:rPr>
          <w:rFonts w:hint="eastAsia"/>
          <w:color w:val="000000"/>
          <w:sz w:val="21"/>
          <w:szCs w:val="21"/>
          <w:lang w:val="en-US" w:eastAsia="zh-CN" w:bidi="en-US"/>
        </w:rPr>
        <w:t>5</w:t>
      </w:r>
      <w:r>
        <w:rPr>
          <w:color w:val="000000"/>
          <w:sz w:val="21"/>
          <w:szCs w:val="21"/>
          <w:lang w:val="en-US" w:eastAsia="zh-CN" w:bidi="en-US"/>
        </w:rPr>
        <w:t>.3.2</w:t>
      </w:r>
      <w:r>
        <w:rPr>
          <w:color w:val="000000"/>
          <w:sz w:val="21"/>
          <w:szCs w:val="21"/>
        </w:rPr>
        <w:t>建筑周围的工频电场、工频磁场的检测应根据建筑及周边的主要工频电磁设施的分布状况进行布点。检测点宜布置在建筑周围公众潜在受到的工频电磁曝露且没有遮挡的空旷处，并应符合下列规定：</w:t>
      </w:r>
    </w:p>
    <w:p>
      <w:pPr>
        <w:pStyle w:val="178"/>
        <w:numPr>
          <w:ilvl w:val="0"/>
          <w:numId w:val="40"/>
        </w:numPr>
        <w:rPr>
          <w:rFonts w:eastAsia="PMingLiU"/>
        </w:rPr>
      </w:pPr>
      <w:r>
        <w:rPr>
          <w:rFonts w:hint="eastAsia"/>
        </w:rPr>
        <w:t xml:space="preserve"> </w:t>
      </w:r>
      <w:r>
        <w:t>在距离建筑围墙</w:t>
      </w:r>
      <w:r>
        <w:rPr>
          <w:lang w:bidi="en-US"/>
        </w:rPr>
        <w:t>50m</w:t>
      </w:r>
      <w:r>
        <w:t>范围内有</w:t>
      </w:r>
      <w:r>
        <w:rPr>
          <w:rFonts w:hint="eastAsia"/>
        </w:rPr>
        <w:t>1</w:t>
      </w:r>
      <w:r>
        <w:rPr>
          <w:rFonts w:hint="eastAsia"/>
          <w:lang w:bidi="en-US"/>
        </w:rPr>
        <w:t>1</w:t>
      </w:r>
      <w:r>
        <w:rPr>
          <w:lang w:bidi="en-US"/>
        </w:rPr>
        <w:t>OkV</w:t>
      </w:r>
      <w:r>
        <w:t>及以上电压等级的变电站、高压线以及轨道交通</w:t>
      </w:r>
    </w:p>
    <w:p>
      <w:pPr>
        <w:pStyle w:val="178"/>
        <w:numPr>
          <w:ilvl w:val="0"/>
          <w:numId w:val="0"/>
        </w:numPr>
        <w:rPr>
          <w:rFonts w:eastAsia="PMingLiU"/>
        </w:rPr>
      </w:pPr>
      <w:r>
        <w:t>线路时，应在靠近变电站、高压线以及轨道交通线路最近的一侧围墙外布点检测</w:t>
      </w:r>
      <w:r>
        <w:rPr>
          <w:rFonts w:hint="eastAsia"/>
        </w:rPr>
        <w:t>；</w:t>
      </w:r>
    </w:p>
    <w:p>
      <w:pPr>
        <w:pStyle w:val="178"/>
        <w:numPr>
          <w:ilvl w:val="0"/>
          <w:numId w:val="40"/>
        </w:numPr>
        <w:rPr>
          <w:szCs w:val="21"/>
        </w:rPr>
      </w:pPr>
      <w:r>
        <w:rPr>
          <w:rFonts w:hint="eastAsia"/>
          <w:color w:val="000000"/>
          <w:szCs w:val="21"/>
        </w:rPr>
        <w:t xml:space="preserve"> </w:t>
      </w:r>
      <w:r>
        <w:rPr>
          <w:color w:val="000000"/>
          <w:szCs w:val="21"/>
        </w:rPr>
        <w:t>当建筑物的楼顶平台或阳台是开放式的，且距离变电站、高压线或轨道交通的距离不</w:t>
      </w:r>
    </w:p>
    <w:p>
      <w:pPr>
        <w:pStyle w:val="178"/>
        <w:numPr>
          <w:ilvl w:val="0"/>
          <w:numId w:val="0"/>
        </w:numPr>
        <w:rPr>
          <w:szCs w:val="21"/>
        </w:rPr>
      </w:pPr>
      <w:r>
        <w:rPr>
          <w:color w:val="000000"/>
          <w:szCs w:val="21"/>
        </w:rPr>
        <w:t>大于</w:t>
      </w:r>
      <w:r>
        <w:rPr>
          <w:color w:val="000000"/>
          <w:szCs w:val="21"/>
          <w:lang w:bidi="en-US"/>
        </w:rPr>
        <w:t>50m</w:t>
      </w:r>
      <w:r>
        <w:rPr>
          <w:color w:val="000000"/>
          <w:szCs w:val="21"/>
        </w:rPr>
        <w:t>时，应在楼顶平台或阳台上布点检测；</w:t>
      </w:r>
    </w:p>
    <w:p>
      <w:pPr>
        <w:pStyle w:val="178"/>
        <w:numPr>
          <w:ilvl w:val="0"/>
          <w:numId w:val="40"/>
        </w:numPr>
        <w:rPr>
          <w:szCs w:val="21"/>
        </w:rPr>
      </w:pPr>
      <w:r>
        <w:rPr>
          <w:rFonts w:eastAsia="PMingLiU"/>
          <w:color w:val="000000"/>
          <w:szCs w:val="21"/>
        </w:rPr>
        <w:t xml:space="preserve"> </w:t>
      </w:r>
      <w:r>
        <w:rPr>
          <w:color w:val="000000"/>
          <w:szCs w:val="21"/>
        </w:rPr>
        <w:t>若建筑配有配电站房或大型机房，应在建筑外公众能够到达配电站房、 建筑物供电管</w:t>
      </w:r>
    </w:p>
    <w:p>
      <w:pPr>
        <w:pStyle w:val="178"/>
        <w:numPr>
          <w:ilvl w:val="0"/>
          <w:numId w:val="0"/>
        </w:numPr>
        <w:rPr>
          <w:szCs w:val="21"/>
        </w:rPr>
      </w:pPr>
      <w:r>
        <w:rPr>
          <w:color w:val="000000"/>
          <w:szCs w:val="21"/>
        </w:rPr>
        <w:t>线、大型机房的最近处布点检测</w:t>
      </w:r>
      <w:r>
        <w:rPr>
          <w:rFonts w:hint="eastAsia"/>
          <w:color w:val="000000"/>
          <w:szCs w:val="21"/>
        </w:rPr>
        <w:t>；</w:t>
      </w:r>
    </w:p>
    <w:p>
      <w:pPr>
        <w:pStyle w:val="178"/>
        <w:numPr>
          <w:ilvl w:val="0"/>
          <w:numId w:val="40"/>
        </w:numPr>
        <w:rPr>
          <w:szCs w:val="21"/>
        </w:rPr>
      </w:pPr>
      <w:r>
        <w:rPr>
          <w:rFonts w:eastAsia="PMingLiU"/>
          <w:color w:val="000000"/>
          <w:szCs w:val="21"/>
        </w:rPr>
        <w:t xml:space="preserve"> </w:t>
      </w:r>
      <w:r>
        <w:rPr>
          <w:color w:val="000000"/>
          <w:szCs w:val="21"/>
        </w:rPr>
        <w:t>若建筑地</w:t>
      </w:r>
      <w:r>
        <w:rPr>
          <w:rFonts w:hint="eastAsia"/>
          <w:color w:val="000000"/>
          <w:szCs w:val="21"/>
        </w:rPr>
        <w:t>面</w:t>
      </w:r>
      <w:r>
        <w:rPr>
          <w:color w:val="000000"/>
          <w:szCs w:val="21"/>
        </w:rPr>
        <w:t>停车场配有充电桩，应至少选择1个充电桩，在公众可以到达的最近处布</w:t>
      </w:r>
    </w:p>
    <w:p>
      <w:pPr>
        <w:pStyle w:val="178"/>
        <w:numPr>
          <w:ilvl w:val="0"/>
          <w:numId w:val="0"/>
        </w:numPr>
        <w:rPr>
          <w:szCs w:val="21"/>
        </w:rPr>
      </w:pPr>
      <w:r>
        <w:rPr>
          <w:color w:val="000000"/>
          <w:szCs w:val="21"/>
        </w:rPr>
        <w:t>点，距离不应小于</w:t>
      </w:r>
      <w:r>
        <w:rPr>
          <w:color w:val="000000"/>
          <w:szCs w:val="21"/>
          <w:lang w:bidi="en-US"/>
        </w:rPr>
        <w:t>0.5m,</w:t>
      </w:r>
      <w:r>
        <w:rPr>
          <w:color w:val="000000"/>
          <w:szCs w:val="21"/>
        </w:rPr>
        <w:t>并应在正常充电工作状态下进行检测</w:t>
      </w:r>
      <w:r>
        <w:rPr>
          <w:rFonts w:hint="eastAsia"/>
          <w:color w:val="000000"/>
          <w:szCs w:val="21"/>
        </w:rPr>
        <w:t>；</w:t>
      </w:r>
    </w:p>
    <w:p>
      <w:pPr>
        <w:pStyle w:val="178"/>
        <w:numPr>
          <w:ilvl w:val="0"/>
          <w:numId w:val="40"/>
        </w:numPr>
        <w:rPr>
          <w:szCs w:val="21"/>
        </w:rPr>
      </w:pPr>
      <w:r>
        <w:rPr>
          <w:rFonts w:eastAsia="PMingLiU"/>
          <w:color w:val="000000"/>
          <w:szCs w:val="21"/>
        </w:rPr>
        <w:t xml:space="preserve"> </w:t>
      </w:r>
      <w:r>
        <w:rPr>
          <w:color w:val="000000"/>
          <w:szCs w:val="21"/>
        </w:rPr>
        <w:t>应在建筑的围墙外四个方向各选择1个测点进行检测，检测布点距离建筑物的围墙应</w:t>
      </w:r>
    </w:p>
    <w:p>
      <w:pPr>
        <w:pStyle w:val="178"/>
        <w:numPr>
          <w:ilvl w:val="0"/>
          <w:numId w:val="0"/>
        </w:numPr>
        <w:rPr>
          <w:szCs w:val="21"/>
        </w:rPr>
      </w:pPr>
      <w:r>
        <w:rPr>
          <w:color w:val="000000"/>
          <w:szCs w:val="21"/>
        </w:rPr>
        <w:t>大于</w:t>
      </w:r>
      <w:r>
        <w:rPr>
          <w:color w:val="000000"/>
          <w:szCs w:val="21"/>
          <w:lang w:bidi="en-US"/>
        </w:rPr>
        <w:t>1m</w:t>
      </w:r>
      <w:r>
        <w:rPr>
          <w:color w:val="000000"/>
          <w:szCs w:val="21"/>
        </w:rPr>
        <w:t>且应小于</w:t>
      </w:r>
      <w:r>
        <w:rPr>
          <w:color w:val="000000"/>
          <w:szCs w:val="21"/>
          <w:lang w:bidi="en-US"/>
        </w:rPr>
        <w:t>10m</w:t>
      </w:r>
      <w:r>
        <w:rPr>
          <w:rFonts w:hint="eastAsia"/>
          <w:color w:val="000000"/>
          <w:szCs w:val="21"/>
          <w:lang w:bidi="en-US"/>
        </w:rPr>
        <w:t>；</w:t>
      </w:r>
    </w:p>
    <w:p>
      <w:pPr>
        <w:pStyle w:val="178"/>
        <w:numPr>
          <w:ilvl w:val="0"/>
          <w:numId w:val="40"/>
        </w:numPr>
        <w:rPr>
          <w:szCs w:val="21"/>
        </w:rPr>
      </w:pPr>
      <w:r>
        <w:rPr>
          <w:rFonts w:eastAsia="PMingLiU"/>
          <w:color w:val="000000"/>
          <w:szCs w:val="21"/>
        </w:rPr>
        <w:t xml:space="preserve"> </w:t>
      </w:r>
      <w:r>
        <w:rPr>
          <w:color w:val="000000"/>
          <w:szCs w:val="21"/>
        </w:rPr>
        <w:t>若在建筑围墙内有公众可以到达的非封闭式的场所，应至少选择1个点进行检测。建</w:t>
      </w:r>
    </w:p>
    <w:p>
      <w:pPr>
        <w:pStyle w:val="178"/>
        <w:numPr>
          <w:ilvl w:val="0"/>
          <w:numId w:val="0"/>
        </w:numPr>
        <w:rPr>
          <w:szCs w:val="21"/>
        </w:rPr>
      </w:pPr>
      <w:r>
        <w:rPr>
          <w:color w:val="000000"/>
          <w:szCs w:val="21"/>
        </w:rPr>
        <w:t>筑物围墙内，每</w:t>
      </w:r>
      <w:r>
        <w:rPr>
          <w:color w:val="000000"/>
          <w:szCs w:val="21"/>
          <w:lang w:bidi="en-US"/>
        </w:rPr>
        <w:t>1600m</w:t>
      </w:r>
      <w:r>
        <w:rPr>
          <w:color w:val="000000"/>
          <w:szCs w:val="21"/>
          <w:vertAlign w:val="superscript"/>
          <w:lang w:bidi="en-US"/>
        </w:rPr>
        <w:t>2</w:t>
      </w:r>
      <w:r>
        <w:rPr>
          <w:color w:val="000000"/>
          <w:szCs w:val="21"/>
        </w:rPr>
        <w:t>面积应至少布置1个检测点。</w:t>
      </w:r>
    </w:p>
    <w:p>
      <w:pPr>
        <w:pStyle w:val="236"/>
        <w:spacing w:line="240" w:lineRule="auto"/>
        <w:ind w:firstLine="0"/>
        <w:jc w:val="left"/>
        <w:rPr>
          <w:rFonts w:eastAsia="PMingLiU"/>
          <w:sz w:val="21"/>
          <w:szCs w:val="21"/>
        </w:rPr>
      </w:pPr>
    </w:p>
    <w:p>
      <w:pPr>
        <w:pStyle w:val="236"/>
        <w:spacing w:line="240" w:lineRule="auto"/>
        <w:ind w:firstLine="0"/>
        <w:jc w:val="left"/>
        <w:rPr>
          <w:sz w:val="21"/>
          <w:szCs w:val="21"/>
        </w:rPr>
      </w:pPr>
      <w:r>
        <w:rPr>
          <w:rFonts w:hint="eastAsia"/>
          <w:color w:val="000000"/>
          <w:sz w:val="21"/>
          <w:szCs w:val="21"/>
          <w:lang w:val="en-US" w:eastAsia="zh-CN" w:bidi="en-US"/>
        </w:rPr>
        <w:t>5</w:t>
      </w:r>
      <w:r>
        <w:rPr>
          <w:color w:val="000000"/>
          <w:sz w:val="21"/>
          <w:szCs w:val="21"/>
          <w:lang w:val="en-US" w:eastAsia="zh-CN" w:bidi="en-US"/>
        </w:rPr>
        <w:t>.3.3</w:t>
      </w:r>
      <w:r>
        <w:rPr>
          <w:color w:val="000000"/>
          <w:sz w:val="21"/>
          <w:szCs w:val="21"/>
        </w:rPr>
        <w:t>建筑周围工频电场、工频磁场的检测应符合下列规定：</w:t>
      </w:r>
    </w:p>
    <w:p>
      <w:pPr>
        <w:pStyle w:val="178"/>
        <w:numPr>
          <w:ilvl w:val="0"/>
          <w:numId w:val="41"/>
        </w:numPr>
        <w:rPr>
          <w:szCs w:val="21"/>
        </w:rPr>
      </w:pPr>
      <w:r>
        <w:rPr>
          <w:rFonts w:hint="eastAsia" w:eastAsiaTheme="minorEastAsia"/>
          <w:color w:val="000000"/>
          <w:szCs w:val="21"/>
        </w:rPr>
        <w:t xml:space="preserve"> </w:t>
      </w:r>
      <w:r>
        <w:rPr>
          <w:color w:val="000000"/>
          <w:szCs w:val="21"/>
        </w:rPr>
        <w:t>工频电场和磁场检测仪器的探头应为三维探头，可同时测出空间中某一点</w:t>
      </w:r>
      <w:r>
        <w:rPr>
          <w:rFonts w:hint="eastAsia"/>
          <w:color w:val="000000"/>
          <w:szCs w:val="21"/>
        </w:rPr>
        <w:t>3</w:t>
      </w:r>
      <w:r>
        <w:rPr>
          <w:color w:val="000000"/>
          <w:szCs w:val="21"/>
        </w:rPr>
        <w:t>个互相垂</w:t>
      </w:r>
    </w:p>
    <w:p>
      <w:pPr>
        <w:pStyle w:val="178"/>
        <w:numPr>
          <w:ilvl w:val="0"/>
          <w:numId w:val="0"/>
        </w:numPr>
        <w:rPr>
          <w:szCs w:val="21"/>
        </w:rPr>
      </w:pPr>
      <w:r>
        <w:rPr>
          <w:color w:val="000000"/>
          <w:szCs w:val="21"/>
        </w:rPr>
        <w:t>直方向（X、</w:t>
      </w:r>
      <w:r>
        <w:rPr>
          <w:color w:val="000000"/>
          <w:szCs w:val="21"/>
          <w:lang w:bidi="en-US"/>
        </w:rPr>
        <w:t>Y、Z）</w:t>
      </w:r>
      <w:r>
        <w:rPr>
          <w:color w:val="000000"/>
          <w:szCs w:val="21"/>
        </w:rPr>
        <w:t>的电场、磁场强度分量，得到空间总的工频电 场强度和工频磁场强度；</w:t>
      </w:r>
    </w:p>
    <w:p>
      <w:pPr>
        <w:pStyle w:val="178"/>
        <w:numPr>
          <w:ilvl w:val="0"/>
          <w:numId w:val="41"/>
        </w:numPr>
      </w:pPr>
      <w:r>
        <w:rPr>
          <w:rFonts w:hAnsi="宋体"/>
          <w:color w:val="000000"/>
        </w:rPr>
        <w:t xml:space="preserve"> </w:t>
      </w:r>
      <w:r>
        <w:rPr>
          <w:color w:val="000000"/>
        </w:rPr>
        <w:t>工频电场和磁场检测仪器的频率范围应覆盖</w:t>
      </w:r>
      <w:r>
        <w:rPr>
          <w:rFonts w:ascii="Times New Roman"/>
          <w:color w:val="000000"/>
        </w:rPr>
        <w:t>1Hz</w:t>
      </w:r>
      <w:r>
        <w:rPr>
          <w:rFonts w:hint="eastAsia" w:ascii="微软雅黑" w:hAnsi="微软雅黑" w:eastAsia="微软雅黑" w:cs="微软雅黑"/>
          <w:color w:val="000000"/>
        </w:rPr>
        <w:t>〜</w:t>
      </w:r>
      <w:r>
        <w:rPr>
          <w:rFonts w:ascii="Times New Roman"/>
          <w:color w:val="000000"/>
        </w:rPr>
        <w:t>300GHz</w:t>
      </w:r>
      <w:r>
        <w:rPr>
          <w:rFonts w:hint="eastAsia" w:ascii="Times New Roman"/>
          <w:color w:val="000000"/>
          <w:lang w:bidi="en-US"/>
        </w:rPr>
        <w:t>；</w:t>
      </w:r>
    </w:p>
    <w:p>
      <w:pPr>
        <w:pStyle w:val="178"/>
        <w:numPr>
          <w:ilvl w:val="0"/>
          <w:numId w:val="41"/>
        </w:numPr>
        <w:rPr>
          <w:szCs w:val="21"/>
        </w:rPr>
      </w:pPr>
      <w:r>
        <w:rPr>
          <w:rFonts w:eastAsia="PMingLiU"/>
          <w:color w:val="000000"/>
          <w:szCs w:val="21"/>
        </w:rPr>
        <w:t xml:space="preserve"> </w:t>
      </w:r>
      <w:r>
        <w:rPr>
          <w:color w:val="000000"/>
          <w:szCs w:val="21"/>
        </w:rPr>
        <w:t>工频电场和磁场检测仪器的探头以及电连接部分的最大边长尺寸不应超过</w:t>
      </w:r>
      <w:r>
        <w:rPr>
          <w:color w:val="000000"/>
          <w:szCs w:val="21"/>
          <w:lang w:bidi="en-US"/>
        </w:rPr>
        <w:t>0.2m</w:t>
      </w:r>
      <w:r>
        <w:rPr>
          <w:rFonts w:hint="eastAsia"/>
          <w:color w:val="000000"/>
          <w:szCs w:val="21"/>
          <w:lang w:bidi="en-US"/>
        </w:rPr>
        <w:t>；</w:t>
      </w:r>
    </w:p>
    <w:p>
      <w:pPr>
        <w:pStyle w:val="178"/>
        <w:numPr>
          <w:ilvl w:val="0"/>
          <w:numId w:val="41"/>
        </w:numPr>
        <w:rPr>
          <w:rFonts w:eastAsia="PMingLiU"/>
          <w:color w:val="000000"/>
          <w:szCs w:val="21"/>
        </w:rPr>
      </w:pPr>
      <w:r>
        <w:rPr>
          <w:color w:val="000000"/>
          <w:szCs w:val="21"/>
          <w:lang w:bidi="zh-CN"/>
        </w:rPr>
        <w:t xml:space="preserve"> </w:t>
      </w:r>
      <w:r>
        <w:rPr>
          <w:color w:val="000000"/>
          <w:szCs w:val="21"/>
        </w:rPr>
        <w:t>检测的环境条件应符合仪器的使用要求，检测工作应在无雨、无雾、无雪、环境湿度</w:t>
      </w:r>
    </w:p>
    <w:p>
      <w:pPr>
        <w:pStyle w:val="178"/>
        <w:numPr>
          <w:ilvl w:val="0"/>
          <w:numId w:val="0"/>
        </w:numPr>
        <w:ind w:left="425" w:hanging="425"/>
        <w:rPr>
          <w:rFonts w:eastAsia="PMingLiU"/>
          <w:color w:val="000000"/>
          <w:szCs w:val="21"/>
        </w:rPr>
      </w:pPr>
      <w:r>
        <w:rPr>
          <w:color w:val="000000"/>
          <w:szCs w:val="21"/>
        </w:rPr>
        <w:t>小于80%的天气进行，在环境湿度大于60%时，测量工频电场应使用可将探头水平支撑的支架</w:t>
      </w:r>
      <w:r>
        <w:rPr>
          <w:rFonts w:hint="eastAsia"/>
          <w:color w:val="000000"/>
          <w:szCs w:val="21"/>
        </w:rPr>
        <w:t>；</w:t>
      </w:r>
    </w:p>
    <w:p>
      <w:pPr>
        <w:pStyle w:val="178"/>
        <w:numPr>
          <w:ilvl w:val="0"/>
          <w:numId w:val="41"/>
        </w:numPr>
        <w:rPr>
          <w:szCs w:val="21"/>
        </w:rPr>
      </w:pPr>
      <w:r>
        <w:rPr>
          <w:rFonts w:eastAsia="PMingLiU"/>
          <w:color w:val="000000"/>
          <w:szCs w:val="21"/>
        </w:rPr>
        <w:t xml:space="preserve"> </w:t>
      </w:r>
      <w:r>
        <w:rPr>
          <w:color w:val="000000"/>
          <w:szCs w:val="21"/>
        </w:rPr>
        <w:t>应识别建筑及周围主要的工频电磁设施，并应在主要工频电磁设施正常工作时段进行</w:t>
      </w:r>
    </w:p>
    <w:p>
      <w:pPr>
        <w:pStyle w:val="178"/>
        <w:numPr>
          <w:ilvl w:val="0"/>
          <w:numId w:val="0"/>
        </w:numPr>
        <w:rPr>
          <w:szCs w:val="21"/>
        </w:rPr>
      </w:pPr>
      <w:r>
        <w:rPr>
          <w:color w:val="000000"/>
          <w:szCs w:val="21"/>
        </w:rPr>
        <w:t>检测</w:t>
      </w:r>
      <w:r>
        <w:rPr>
          <w:rFonts w:hint="eastAsia"/>
          <w:color w:val="000000"/>
          <w:szCs w:val="21"/>
        </w:rPr>
        <w:t>；</w:t>
      </w:r>
    </w:p>
    <w:p>
      <w:pPr>
        <w:pStyle w:val="178"/>
        <w:numPr>
          <w:ilvl w:val="0"/>
          <w:numId w:val="41"/>
        </w:numPr>
        <w:rPr>
          <w:color w:val="000000" w:themeColor="text1"/>
          <w:szCs w:val="21"/>
          <w14:textFill>
            <w14:solidFill>
              <w14:schemeClr w14:val="tx1"/>
            </w14:solidFill>
          </w14:textFill>
        </w:rPr>
      </w:pPr>
      <w:r>
        <w:rPr>
          <w:rFonts w:eastAsia="PMingLiU"/>
          <w:color w:val="000000" w:themeColor="text1"/>
          <w:szCs w:val="21"/>
          <w14:textFill>
            <w14:solidFill>
              <w14:schemeClr w14:val="tx1"/>
            </w14:solidFill>
          </w14:textFill>
        </w:rPr>
        <w:t xml:space="preserve"> </w:t>
      </w:r>
      <w:r>
        <w:rPr>
          <w:color w:val="000000" w:themeColor="text1"/>
          <w:szCs w:val="21"/>
          <w14:textFill>
            <w14:solidFill>
              <w14:schemeClr w14:val="tx1"/>
            </w14:solidFill>
          </w14:textFill>
        </w:rPr>
        <w:t>工频电场、工频磁场检测还应符合现行行业标准《交流</w:t>
      </w:r>
      <w:r>
        <w:rPr>
          <w:rFonts w:hint="eastAsia"/>
          <w:color w:val="000000" w:themeColor="text1"/>
          <w:szCs w:val="21"/>
          <w14:textFill>
            <w14:solidFill>
              <w14:schemeClr w14:val="tx1"/>
            </w14:solidFill>
          </w14:textFill>
        </w:rPr>
        <w:t>输</w:t>
      </w:r>
      <w:r>
        <w:rPr>
          <w:color w:val="000000" w:themeColor="text1"/>
          <w:szCs w:val="21"/>
          <w14:textFill>
            <w14:solidFill>
              <w14:schemeClr w14:val="tx1"/>
            </w14:solidFill>
          </w14:textFill>
        </w:rPr>
        <w:t>变电工程电磁环境监测方法</w:t>
      </w:r>
    </w:p>
    <w:p>
      <w:pPr>
        <w:pStyle w:val="178"/>
        <w:numPr>
          <w:ilvl w:val="0"/>
          <w:numId w:val="0"/>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（试行）》</w:t>
      </w:r>
      <w:r>
        <w:rPr>
          <w:color w:val="000000" w:themeColor="text1"/>
          <w:szCs w:val="21"/>
          <w:lang w:bidi="en-US"/>
          <w14:textFill>
            <w14:solidFill>
              <w14:schemeClr w14:val="tx1"/>
            </w14:solidFill>
          </w14:textFill>
        </w:rPr>
        <w:t xml:space="preserve">HJ </w:t>
      </w:r>
      <w:r>
        <w:rPr>
          <w:color w:val="000000" w:themeColor="text1"/>
          <w:szCs w:val="21"/>
          <w14:textFill>
            <w14:solidFill>
              <w14:schemeClr w14:val="tx1"/>
            </w14:solidFill>
          </w14:textFill>
        </w:rPr>
        <w:t>681的有关规定。</w:t>
      </w:r>
    </w:p>
    <w:p>
      <w:pPr>
        <w:pStyle w:val="236"/>
        <w:spacing w:line="240" w:lineRule="auto"/>
        <w:ind w:firstLine="0"/>
        <w:rPr>
          <w:sz w:val="21"/>
          <w:szCs w:val="21"/>
        </w:rPr>
      </w:pPr>
      <w:r>
        <w:rPr>
          <w:rFonts w:hint="eastAsia"/>
          <w:color w:val="000000"/>
          <w:sz w:val="21"/>
          <w:szCs w:val="21"/>
          <w:lang w:val="en-US" w:eastAsia="zh-CN" w:bidi="en-US"/>
        </w:rPr>
        <w:t>5</w:t>
      </w:r>
      <w:r>
        <w:rPr>
          <w:color w:val="000000"/>
          <w:sz w:val="21"/>
          <w:szCs w:val="21"/>
          <w:lang w:val="en-US" w:eastAsia="zh-CN" w:bidi="en-US"/>
        </w:rPr>
        <w:t>.3.4</w:t>
      </w:r>
      <w:r>
        <w:rPr>
          <w:color w:val="000000"/>
          <w:sz w:val="21"/>
          <w:szCs w:val="21"/>
        </w:rPr>
        <w:t>建筑周围射频电磁环境检测项目宜包括射频电场和射频磁场。</w:t>
      </w:r>
    </w:p>
    <w:p>
      <w:pPr>
        <w:pStyle w:val="236"/>
        <w:spacing w:line="240" w:lineRule="auto"/>
        <w:ind w:firstLine="0"/>
        <w:rPr>
          <w:sz w:val="21"/>
          <w:szCs w:val="21"/>
        </w:rPr>
      </w:pPr>
      <w:r>
        <w:rPr>
          <w:rFonts w:hint="eastAsia"/>
          <w:color w:val="000000"/>
          <w:sz w:val="21"/>
          <w:szCs w:val="21"/>
          <w:lang w:val="en-US" w:eastAsia="zh-CN" w:bidi="en-US"/>
        </w:rPr>
        <w:t>5</w:t>
      </w:r>
      <w:r>
        <w:rPr>
          <w:color w:val="000000"/>
          <w:sz w:val="21"/>
          <w:szCs w:val="21"/>
          <w:lang w:val="en-US" w:eastAsia="zh-CN" w:bidi="en-US"/>
        </w:rPr>
        <w:t>.3.5</w:t>
      </w:r>
      <w:r>
        <w:rPr>
          <w:color w:val="000000"/>
          <w:sz w:val="21"/>
          <w:szCs w:val="21"/>
        </w:rPr>
        <w:t>建筑周围射频电磁场的检测应符合下列规定：</w:t>
      </w:r>
    </w:p>
    <w:p>
      <w:pPr>
        <w:pStyle w:val="178"/>
        <w:numPr>
          <w:ilvl w:val="0"/>
          <w:numId w:val="42"/>
        </w:numPr>
        <w:rPr>
          <w:szCs w:val="21"/>
        </w:rPr>
      </w:pPr>
      <w:r>
        <w:rPr>
          <w:rFonts w:eastAsia="PMingLiU"/>
          <w:color w:val="000000"/>
          <w:szCs w:val="21"/>
        </w:rPr>
        <w:t xml:space="preserve"> </w:t>
      </w:r>
      <w:r>
        <w:rPr>
          <w:color w:val="000000"/>
          <w:szCs w:val="21"/>
        </w:rPr>
        <w:t>检测仪器工作性能应满足待测电磁场的要求，能够覆盖所检测的电磁福射源的发射频</w:t>
      </w:r>
    </w:p>
    <w:p>
      <w:pPr>
        <w:pStyle w:val="178"/>
        <w:numPr>
          <w:ilvl w:val="0"/>
          <w:numId w:val="0"/>
        </w:numPr>
        <w:rPr>
          <w:szCs w:val="21"/>
        </w:rPr>
      </w:pPr>
      <w:r>
        <w:rPr>
          <w:color w:val="000000"/>
          <w:szCs w:val="21"/>
        </w:rPr>
        <w:t>率，量程、分辨率等应能满足检测要求。检测频率上限应达到</w:t>
      </w:r>
      <w:r>
        <w:rPr>
          <w:color w:val="000000"/>
          <w:szCs w:val="21"/>
          <w:lang w:bidi="en-US"/>
        </w:rPr>
        <w:t xml:space="preserve">6GHz, </w:t>
      </w:r>
      <w:r>
        <w:rPr>
          <w:color w:val="000000"/>
          <w:szCs w:val="21"/>
        </w:rPr>
        <w:t>频率下限应达到</w:t>
      </w:r>
      <w:r>
        <w:rPr>
          <w:color w:val="000000"/>
          <w:szCs w:val="21"/>
          <w:lang w:bidi="en-US"/>
        </w:rPr>
        <w:t>100kHz</w:t>
      </w:r>
      <w:r>
        <w:rPr>
          <w:rFonts w:hint="eastAsia"/>
          <w:color w:val="000000"/>
          <w:szCs w:val="21"/>
          <w:lang w:bidi="en-US"/>
        </w:rPr>
        <w:t>；</w:t>
      </w:r>
    </w:p>
    <w:p>
      <w:pPr>
        <w:pStyle w:val="178"/>
        <w:numPr>
          <w:ilvl w:val="0"/>
          <w:numId w:val="41"/>
        </w:num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 </w:t>
      </w:r>
      <w:r>
        <w:rPr>
          <w:color w:val="000000" w:themeColor="text1"/>
          <w:szCs w:val="21"/>
          <w14:textFill>
            <w14:solidFill>
              <w14:schemeClr w14:val="tx1"/>
            </w14:solidFill>
          </w14:textFill>
        </w:rPr>
        <w:t>宜使用非选频式宽带电磁辐射检测仪检测，若检测结果超出现行行业标准《</w:t>
      </w:r>
      <w:r>
        <w:rPr>
          <w:rFonts w:hint="eastAsia"/>
          <w:color w:val="000000" w:themeColor="text1"/>
          <w:szCs w:val="21"/>
          <w14:textFill>
            <w14:solidFill>
              <w14:schemeClr w14:val="tx1"/>
            </w14:solidFill>
          </w14:textFill>
        </w:rPr>
        <w:t>辐</w:t>
      </w:r>
      <w:r>
        <w:rPr>
          <w:color w:val="000000" w:themeColor="text1"/>
          <w:szCs w:val="21"/>
          <w14:textFill>
            <w14:solidFill>
              <w14:schemeClr w14:val="tx1"/>
            </w14:solidFill>
          </w14:textFill>
        </w:rPr>
        <w:t>射环境</w:t>
      </w:r>
    </w:p>
    <w:p>
      <w:pPr>
        <w:pStyle w:val="178"/>
        <w:numPr>
          <w:ilvl w:val="0"/>
          <w:numId w:val="0"/>
        </w:numPr>
        <w:ind w:left="425" w:hanging="425"/>
        <w:rPr>
          <w:color w:val="000000" w:themeColor="text1"/>
          <w:szCs w:val="21"/>
          <w14:textFill>
            <w14:solidFill>
              <w14:schemeClr w14:val="tx1"/>
            </w14:solidFill>
          </w14:textFill>
        </w:rPr>
      </w:pPr>
      <w:r>
        <w:rPr>
          <w:color w:val="000000" w:themeColor="text1"/>
          <w:szCs w:val="21"/>
          <w14:textFill>
            <w14:solidFill>
              <w14:schemeClr w14:val="tx1"/>
            </w14:solidFill>
          </w14:textFill>
        </w:rPr>
        <w:t>保护管理导则 电磁辐射环境影响评价方法与标准》</w:t>
      </w:r>
      <w:r>
        <w:rPr>
          <w:color w:val="000000" w:themeColor="text1"/>
          <w:szCs w:val="21"/>
          <w:lang w:bidi="en-US"/>
          <w14:textFill>
            <w14:solidFill>
              <w14:schemeClr w14:val="tx1"/>
            </w14:solidFill>
          </w14:textFill>
        </w:rPr>
        <w:t xml:space="preserve">HJ/T </w:t>
      </w:r>
      <w:r>
        <w:rPr>
          <w:color w:val="000000" w:themeColor="text1"/>
          <w:szCs w:val="21"/>
          <w14:textFill>
            <w14:solidFill>
              <w14:schemeClr w14:val="tx1"/>
            </w14:solidFill>
          </w14:textFill>
        </w:rPr>
        <w:t>10</w:t>
      </w:r>
      <w:r>
        <w:rPr>
          <w:rFonts w:eastAsia="PMingLiU"/>
          <w:color w:val="000000" w:themeColor="text1"/>
          <w:szCs w:val="21"/>
          <w14:textFill>
            <w14:solidFill>
              <w14:schemeClr w14:val="tx1"/>
            </w14:solidFill>
          </w14:textFill>
        </w:rPr>
        <w:t>.</w:t>
      </w:r>
      <w:r>
        <w:rPr>
          <w:color w:val="000000" w:themeColor="text1"/>
          <w:szCs w:val="21"/>
          <w14:textFill>
            <w14:solidFill>
              <w14:schemeClr w14:val="tx1"/>
            </w14:solidFill>
          </w14:textFill>
        </w:rPr>
        <w:t>3规定的单个项目的评价标准时，</w:t>
      </w:r>
    </w:p>
    <w:p>
      <w:pPr>
        <w:pStyle w:val="178"/>
        <w:numPr>
          <w:ilvl w:val="0"/>
          <w:numId w:val="0"/>
        </w:numPr>
        <w:ind w:left="425" w:hanging="425"/>
        <w:rPr>
          <w:color w:val="000000" w:themeColor="text1"/>
          <w:szCs w:val="21"/>
          <w14:textFill>
            <w14:solidFill>
              <w14:schemeClr w14:val="tx1"/>
            </w14:solidFill>
          </w14:textFill>
        </w:rPr>
      </w:pPr>
      <w:r>
        <w:rPr>
          <w:color w:val="000000" w:themeColor="text1"/>
          <w:szCs w:val="21"/>
          <w14:textFill>
            <w14:solidFill>
              <w14:schemeClr w14:val="tx1"/>
            </w14:solidFill>
          </w14:textFill>
        </w:rPr>
        <w:t>应使用选频式电磁辐射监测仪对检测结果超标点位进行选频检测，区分各个电磁辐射源的检</w:t>
      </w:r>
    </w:p>
    <w:p>
      <w:pPr>
        <w:pStyle w:val="178"/>
        <w:numPr>
          <w:ilvl w:val="0"/>
          <w:numId w:val="0"/>
        </w:numPr>
        <w:ind w:left="425" w:hanging="425"/>
        <w:rPr>
          <w:color w:val="000000" w:themeColor="text1"/>
          <w:szCs w:val="21"/>
          <w14:textFill>
            <w14:solidFill>
              <w14:schemeClr w14:val="tx1"/>
            </w14:solidFill>
          </w14:textFill>
        </w:rPr>
      </w:pPr>
      <w:r>
        <w:rPr>
          <w:color w:val="000000" w:themeColor="text1"/>
          <w:szCs w:val="21"/>
          <w14:textFill>
            <w14:solidFill>
              <w14:schemeClr w14:val="tx1"/>
            </w14:solidFill>
          </w14:textFill>
        </w:rPr>
        <w:t>测值</w:t>
      </w:r>
      <w:r>
        <w:rPr>
          <w:rFonts w:hint="eastAsia"/>
          <w:color w:val="000000" w:themeColor="text1"/>
          <w:szCs w:val="21"/>
          <w14:textFill>
            <w14:solidFill>
              <w14:schemeClr w14:val="tx1"/>
            </w14:solidFill>
          </w14:textFill>
        </w:rPr>
        <w:t>；</w:t>
      </w:r>
    </w:p>
    <w:p>
      <w:pPr>
        <w:pStyle w:val="178"/>
        <w:numPr>
          <w:ilvl w:val="0"/>
          <w:numId w:val="41"/>
        </w:numPr>
        <w:rPr>
          <w:color w:val="000000" w:themeColor="text1"/>
          <w:szCs w:val="21"/>
          <w14:textFill>
            <w14:solidFill>
              <w14:schemeClr w14:val="tx1"/>
            </w14:solidFill>
          </w14:textFill>
        </w:rPr>
      </w:pPr>
      <w:r>
        <w:rPr>
          <w:rFonts w:eastAsia="PMingLiU"/>
          <w:color w:val="000000" w:themeColor="text1"/>
          <w:szCs w:val="21"/>
          <w14:textFill>
            <w14:solidFill>
              <w14:schemeClr w14:val="tx1"/>
            </w14:solidFill>
          </w14:textFill>
        </w:rPr>
        <w:t xml:space="preserve"> </w:t>
      </w:r>
      <w:r>
        <w:rPr>
          <w:color w:val="000000" w:themeColor="text1"/>
          <w:szCs w:val="21"/>
          <w14:textFill>
            <w14:solidFill>
              <w14:schemeClr w14:val="tx1"/>
            </w14:solidFill>
          </w14:textFill>
        </w:rPr>
        <w:t>进行射频电场检测前应使用射频电磁校准器对射频电场探头进行校准</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偏差应小于</w:t>
      </w:r>
    </w:p>
    <w:p>
      <w:pPr>
        <w:pStyle w:val="178"/>
        <w:numPr>
          <w:ilvl w:val="0"/>
          <w:numId w:val="0"/>
        </w:numPr>
        <w:ind w:left="425" w:hanging="425"/>
        <w:rPr>
          <w:color w:val="000000" w:themeColor="text1"/>
          <w:szCs w:val="21"/>
          <w14:textFill>
            <w14:solidFill>
              <w14:schemeClr w14:val="tx1"/>
            </w14:solidFill>
          </w14:textFill>
        </w:rPr>
      </w:pPr>
      <w:r>
        <w:rPr>
          <w:color w:val="000000" w:themeColor="text1"/>
          <w:szCs w:val="21"/>
          <w:lang w:bidi="en-US"/>
          <w14:textFill>
            <w14:solidFill>
              <w14:schemeClr w14:val="tx1"/>
            </w14:solidFill>
          </w14:textFill>
        </w:rPr>
        <w:t>3dB,</w:t>
      </w:r>
      <w:r>
        <w:rPr>
          <w:color w:val="000000" w:themeColor="text1"/>
          <w:szCs w:val="21"/>
          <w14:textFill>
            <w14:solidFill>
              <w14:schemeClr w14:val="tx1"/>
            </w14:solidFill>
          </w14:textFill>
        </w:rPr>
        <w:t>校准时，环境场强值不应大于</w:t>
      </w:r>
      <w:r>
        <w:rPr>
          <w:color w:val="000000" w:themeColor="text1"/>
          <w:szCs w:val="21"/>
          <w:lang w:bidi="en-US"/>
          <w14:textFill>
            <w14:solidFill>
              <w14:schemeClr w14:val="tx1"/>
            </w14:solidFill>
          </w14:textFill>
        </w:rPr>
        <w:t>1V/m</w:t>
      </w:r>
      <w:r>
        <w:rPr>
          <w:rFonts w:hint="eastAsia"/>
          <w:color w:val="000000" w:themeColor="text1"/>
          <w:szCs w:val="21"/>
          <w:lang w:bidi="en-US"/>
          <w14:textFill>
            <w14:solidFill>
              <w14:schemeClr w14:val="tx1"/>
            </w14:solidFill>
          </w14:textFill>
        </w:rPr>
        <w:t>；</w:t>
      </w:r>
    </w:p>
    <w:p>
      <w:pPr>
        <w:pStyle w:val="178"/>
        <w:numPr>
          <w:ilvl w:val="0"/>
          <w:numId w:val="41"/>
        </w:numPr>
        <w:rPr>
          <w:color w:val="000000" w:themeColor="text1"/>
          <w:szCs w:val="21"/>
          <w14:textFill>
            <w14:solidFill>
              <w14:schemeClr w14:val="tx1"/>
            </w14:solidFill>
          </w14:textFill>
        </w:rPr>
      </w:pPr>
      <w:r>
        <w:rPr>
          <w:rFonts w:eastAsia="PMingLiU"/>
          <w:color w:val="000000" w:themeColor="text1"/>
          <w:szCs w:val="21"/>
          <w14:textFill>
            <w14:solidFill>
              <w14:schemeClr w14:val="tx1"/>
            </w14:solidFill>
          </w14:textFill>
        </w:rPr>
        <w:t xml:space="preserve"> </w:t>
      </w:r>
      <w:r>
        <w:rPr>
          <w:color w:val="000000" w:themeColor="text1"/>
          <w:szCs w:val="21"/>
          <w14:textFill>
            <w14:solidFill>
              <w14:schemeClr w14:val="tx1"/>
            </w14:solidFill>
          </w14:textFill>
        </w:rPr>
        <w:t>应在建筑及周围的主要射频电磁设施正常工作时段进行检测</w:t>
      </w:r>
      <w:r>
        <w:rPr>
          <w:rFonts w:hint="eastAsia"/>
          <w:color w:val="000000" w:themeColor="text1"/>
          <w:szCs w:val="21"/>
          <w14:textFill>
            <w14:solidFill>
              <w14:schemeClr w14:val="tx1"/>
            </w14:solidFill>
          </w14:textFill>
        </w:rPr>
        <w:t>；</w:t>
      </w:r>
    </w:p>
    <w:p>
      <w:pPr>
        <w:pStyle w:val="178"/>
        <w:numPr>
          <w:ilvl w:val="0"/>
          <w:numId w:val="41"/>
        </w:numPr>
        <w:rPr>
          <w:color w:val="000000" w:themeColor="text1"/>
          <w:szCs w:val="21"/>
          <w14:textFill>
            <w14:solidFill>
              <w14:schemeClr w14:val="tx1"/>
            </w14:solidFill>
          </w14:textFill>
        </w:rPr>
      </w:pPr>
      <w:r>
        <w:rPr>
          <w:rFonts w:eastAsia="PMingLiU"/>
          <w:color w:val="000000" w:themeColor="text1"/>
          <w:szCs w:val="21"/>
          <w14:textFill>
            <w14:solidFill>
              <w14:schemeClr w14:val="tx1"/>
            </w14:solidFill>
          </w14:textFill>
        </w:rPr>
        <w:t xml:space="preserve"> </w:t>
      </w:r>
      <w:r>
        <w:rPr>
          <w:color w:val="000000" w:themeColor="text1"/>
          <w:szCs w:val="21"/>
          <w14:textFill>
            <w14:solidFill>
              <w14:schemeClr w14:val="tx1"/>
            </w14:solidFill>
          </w14:textFill>
        </w:rPr>
        <w:t>建筑周围射频电磁场的检测还应符合现行行业标准《移动通信基站电磁</w:t>
      </w:r>
      <w:r>
        <w:rPr>
          <w:rFonts w:hint="eastAsia"/>
          <w:color w:val="000000" w:themeColor="text1"/>
          <w:szCs w:val="21"/>
          <w14:textFill>
            <w14:solidFill>
              <w14:schemeClr w14:val="tx1"/>
            </w14:solidFill>
          </w14:textFill>
        </w:rPr>
        <w:t>辐</w:t>
      </w:r>
      <w:r>
        <w:rPr>
          <w:color w:val="000000" w:themeColor="text1"/>
          <w:szCs w:val="21"/>
          <w14:textFill>
            <w14:solidFill>
              <w14:schemeClr w14:val="tx1"/>
            </w14:solidFill>
          </w14:textFill>
        </w:rPr>
        <w:t>射环境监测</w:t>
      </w:r>
    </w:p>
    <w:p>
      <w:pPr>
        <w:pStyle w:val="178"/>
        <w:numPr>
          <w:ilvl w:val="0"/>
          <w:numId w:val="0"/>
        </w:numPr>
        <w:ind w:left="425" w:hanging="425"/>
        <w:rPr>
          <w:color w:val="000000" w:themeColor="text1"/>
          <w:szCs w:val="21"/>
          <w14:textFill>
            <w14:solidFill>
              <w14:schemeClr w14:val="tx1"/>
            </w14:solidFill>
          </w14:textFill>
        </w:rPr>
      </w:pPr>
      <w:r>
        <w:rPr>
          <w:color w:val="000000" w:themeColor="text1"/>
          <w:szCs w:val="21"/>
          <w14:textFill>
            <w14:solidFill>
              <w14:schemeClr w14:val="tx1"/>
            </w14:solidFill>
          </w14:textFill>
        </w:rPr>
        <w:t>方法》</w:t>
      </w:r>
      <w:r>
        <w:rPr>
          <w:color w:val="000000" w:themeColor="text1"/>
          <w:szCs w:val="21"/>
          <w:lang w:bidi="en-US"/>
          <w14:textFill>
            <w14:solidFill>
              <w14:schemeClr w14:val="tx1"/>
            </w14:solidFill>
          </w14:textFill>
        </w:rPr>
        <w:t>HJ 972</w:t>
      </w:r>
      <w:r>
        <w:rPr>
          <w:color w:val="000000" w:themeColor="text1"/>
          <w:szCs w:val="21"/>
          <w14:textFill>
            <w14:solidFill>
              <w14:schemeClr w14:val="tx1"/>
            </w14:solidFill>
          </w14:textFill>
        </w:rPr>
        <w:t>的有关规定。</w:t>
      </w:r>
    </w:p>
    <w:p>
      <w:pPr>
        <w:pStyle w:val="236"/>
        <w:spacing w:line="240" w:lineRule="auto"/>
        <w:ind w:firstLine="0"/>
        <w:rPr>
          <w:sz w:val="21"/>
          <w:szCs w:val="21"/>
        </w:rPr>
      </w:pPr>
      <w:r>
        <w:rPr>
          <w:rFonts w:hint="eastAsia"/>
          <w:color w:val="000000"/>
          <w:sz w:val="21"/>
          <w:szCs w:val="21"/>
          <w:lang w:val="en-US" w:eastAsia="zh-CN" w:bidi="en-US"/>
        </w:rPr>
        <w:t>5</w:t>
      </w:r>
      <w:r>
        <w:rPr>
          <w:color w:val="000000"/>
          <w:sz w:val="21"/>
          <w:szCs w:val="21"/>
          <w:lang w:val="en-US" w:eastAsia="zh-CN" w:bidi="en-US"/>
        </w:rPr>
        <w:t>.3.6</w:t>
      </w:r>
      <w:r>
        <w:rPr>
          <w:color w:val="000000"/>
          <w:sz w:val="21"/>
          <w:szCs w:val="21"/>
        </w:rPr>
        <w:t>建筑周围射频电磁场的检测应根据建筑及周边的主要射频电磁设施的分布状况进行布点。检测点宜布置在建筑周围公众潜在受到的射频电磁曝露且没有遮挡的空旷处，并应符合下列规定：</w:t>
      </w:r>
    </w:p>
    <w:p>
      <w:pPr>
        <w:pStyle w:val="178"/>
        <w:numPr>
          <w:ilvl w:val="0"/>
          <w:numId w:val="43"/>
        </w:numPr>
        <w:rPr>
          <w:szCs w:val="21"/>
        </w:rPr>
      </w:pPr>
      <w:r>
        <w:rPr>
          <w:color w:val="000000"/>
          <w:szCs w:val="21"/>
        </w:rPr>
        <w:t xml:space="preserve"> 当在距离建筑围墙</w:t>
      </w:r>
      <w:r>
        <w:rPr>
          <w:color w:val="000000"/>
          <w:szCs w:val="21"/>
          <w:lang w:bidi="en-US"/>
        </w:rPr>
        <w:t>50m</w:t>
      </w:r>
      <w:r>
        <w:rPr>
          <w:color w:val="000000"/>
          <w:szCs w:val="21"/>
        </w:rPr>
        <w:t>范围内有</w:t>
      </w:r>
      <w:r>
        <w:rPr>
          <w:color w:val="000000"/>
          <w:szCs w:val="21"/>
          <w:lang w:bidi="en-US"/>
        </w:rPr>
        <w:t>2G、3G</w:t>
      </w:r>
      <w:r>
        <w:rPr>
          <w:color w:val="000000"/>
          <w:szCs w:val="21"/>
        </w:rPr>
        <w:t>或</w:t>
      </w:r>
      <w:r>
        <w:rPr>
          <w:color w:val="000000"/>
          <w:szCs w:val="21"/>
          <w:lang w:bidi="en-US"/>
        </w:rPr>
        <w:t>4G</w:t>
      </w:r>
      <w:r>
        <w:rPr>
          <w:color w:val="000000"/>
          <w:szCs w:val="21"/>
        </w:rPr>
        <w:t>基站，或在</w:t>
      </w:r>
      <w:r>
        <w:rPr>
          <w:color w:val="000000"/>
          <w:szCs w:val="21"/>
          <w:lang w:bidi="en-US"/>
        </w:rPr>
        <w:t>150m</w:t>
      </w:r>
      <w:r>
        <w:rPr>
          <w:color w:val="000000"/>
          <w:szCs w:val="21"/>
        </w:rPr>
        <w:t>范围内有</w:t>
      </w:r>
      <w:r>
        <w:rPr>
          <w:color w:val="000000"/>
          <w:szCs w:val="21"/>
          <w:lang w:bidi="en-US"/>
        </w:rPr>
        <w:t>5G</w:t>
      </w:r>
      <w:r>
        <w:rPr>
          <w:color w:val="000000"/>
          <w:szCs w:val="21"/>
        </w:rPr>
        <w:t>基站，或</w:t>
      </w:r>
    </w:p>
    <w:p>
      <w:pPr>
        <w:pStyle w:val="178"/>
        <w:numPr>
          <w:ilvl w:val="0"/>
          <w:numId w:val="0"/>
        </w:numPr>
        <w:ind w:left="425" w:hanging="425"/>
        <w:rPr>
          <w:color w:val="000000"/>
          <w:szCs w:val="21"/>
        </w:rPr>
      </w:pPr>
      <w:r>
        <w:rPr>
          <w:color w:val="000000"/>
          <w:szCs w:val="21"/>
        </w:rPr>
        <w:t>在</w:t>
      </w:r>
      <w:r>
        <w:rPr>
          <w:color w:val="000000"/>
          <w:szCs w:val="21"/>
          <w:lang w:bidi="en-US"/>
        </w:rPr>
        <w:t>1km</w:t>
      </w:r>
      <w:r>
        <w:rPr>
          <w:color w:val="000000"/>
          <w:szCs w:val="21"/>
        </w:rPr>
        <w:t>范围内有雷达站、导航台、卫星地球站，或在</w:t>
      </w:r>
      <w:r>
        <w:rPr>
          <w:color w:val="000000"/>
          <w:szCs w:val="21"/>
          <w:lang w:bidi="en-US"/>
        </w:rPr>
        <w:t>2km</w:t>
      </w:r>
      <w:r>
        <w:rPr>
          <w:color w:val="000000"/>
          <w:szCs w:val="21"/>
        </w:rPr>
        <w:t>范围内有短波台、</w:t>
      </w:r>
      <w:r>
        <w:rPr>
          <w:color w:val="000000"/>
          <w:szCs w:val="21"/>
          <w:lang w:bidi="en-US"/>
        </w:rPr>
        <w:t>FM</w:t>
      </w:r>
      <w:r>
        <w:rPr>
          <w:color w:val="000000"/>
          <w:szCs w:val="21"/>
        </w:rPr>
        <w:t>广播及电视发</w:t>
      </w:r>
    </w:p>
    <w:p>
      <w:pPr>
        <w:pStyle w:val="178"/>
        <w:numPr>
          <w:ilvl w:val="0"/>
          <w:numId w:val="0"/>
        </w:numPr>
        <w:ind w:left="425" w:hanging="425"/>
        <w:rPr>
          <w:color w:val="000000"/>
          <w:szCs w:val="21"/>
        </w:rPr>
      </w:pPr>
      <w:r>
        <w:rPr>
          <w:color w:val="000000"/>
          <w:szCs w:val="21"/>
        </w:rPr>
        <w:t>射塔时，应在靠近电磁设施最近的一侧围墙外布点监测，对于移动通信基站应将监测点布设在</w:t>
      </w:r>
    </w:p>
    <w:p>
      <w:pPr>
        <w:pStyle w:val="178"/>
        <w:numPr>
          <w:ilvl w:val="0"/>
          <w:numId w:val="0"/>
        </w:numPr>
        <w:ind w:left="425" w:hanging="425"/>
        <w:rPr>
          <w:szCs w:val="21"/>
        </w:rPr>
      </w:pPr>
      <w:r>
        <w:rPr>
          <w:color w:val="000000"/>
          <w:szCs w:val="21"/>
        </w:rPr>
        <w:t>天线的主射方向上；</w:t>
      </w:r>
    </w:p>
    <w:p>
      <w:pPr>
        <w:pStyle w:val="178"/>
        <w:numPr>
          <w:ilvl w:val="0"/>
          <w:numId w:val="41"/>
        </w:numPr>
        <w:rPr>
          <w:szCs w:val="21"/>
        </w:rPr>
      </w:pPr>
      <w:r>
        <w:rPr>
          <w:rFonts w:eastAsia="PMingLiU"/>
          <w:color w:val="000000"/>
          <w:szCs w:val="21"/>
        </w:rPr>
        <w:t xml:space="preserve"> </w:t>
      </w:r>
      <w:r>
        <w:rPr>
          <w:color w:val="000000"/>
          <w:szCs w:val="21"/>
        </w:rPr>
        <w:t>当建筑物的楼顶平台或阳台是开放式的，且靠近雷达站、导航台、卫星地球站时，应</w:t>
      </w:r>
    </w:p>
    <w:p>
      <w:pPr>
        <w:pStyle w:val="178"/>
        <w:numPr>
          <w:ilvl w:val="0"/>
          <w:numId w:val="0"/>
        </w:numPr>
        <w:ind w:left="425" w:hanging="425"/>
        <w:rPr>
          <w:szCs w:val="21"/>
        </w:rPr>
      </w:pPr>
      <w:r>
        <w:rPr>
          <w:color w:val="000000"/>
          <w:szCs w:val="21"/>
        </w:rPr>
        <w:t>在楼顶平台或阳台上布点检测</w:t>
      </w:r>
      <w:r>
        <w:rPr>
          <w:rFonts w:hint="eastAsia"/>
          <w:color w:val="000000"/>
          <w:szCs w:val="21"/>
        </w:rPr>
        <w:t>；</w:t>
      </w:r>
    </w:p>
    <w:p>
      <w:pPr>
        <w:pStyle w:val="178"/>
        <w:numPr>
          <w:ilvl w:val="0"/>
          <w:numId w:val="41"/>
        </w:numPr>
        <w:rPr>
          <w:szCs w:val="21"/>
        </w:rPr>
      </w:pPr>
      <w:r>
        <w:rPr>
          <w:rFonts w:eastAsia="PMingLiU"/>
          <w:color w:val="000000"/>
          <w:szCs w:val="21"/>
        </w:rPr>
        <w:t xml:space="preserve"> </w:t>
      </w:r>
      <w:r>
        <w:rPr>
          <w:color w:val="000000"/>
          <w:szCs w:val="21"/>
        </w:rPr>
        <w:t>当建筑围墙内建设有移动通信基站时，应在建筑室外，包括开放式楼顶平台及阳台，</w:t>
      </w:r>
    </w:p>
    <w:p>
      <w:pPr>
        <w:pStyle w:val="178"/>
        <w:numPr>
          <w:ilvl w:val="0"/>
          <w:numId w:val="0"/>
        </w:numPr>
        <w:rPr>
          <w:szCs w:val="21"/>
        </w:rPr>
      </w:pPr>
      <w:r>
        <w:rPr>
          <w:color w:val="000000"/>
          <w:szCs w:val="21"/>
        </w:rPr>
        <w:t>公众能够到达的地方，在基站天线主射方向上布点检测，并可多处布点</w:t>
      </w:r>
      <w:r>
        <w:rPr>
          <w:rFonts w:hint="eastAsia"/>
          <w:color w:val="000000"/>
          <w:szCs w:val="21"/>
        </w:rPr>
        <w:t>；</w:t>
      </w:r>
    </w:p>
    <w:p>
      <w:pPr>
        <w:pStyle w:val="178"/>
        <w:numPr>
          <w:ilvl w:val="0"/>
          <w:numId w:val="41"/>
        </w:numPr>
        <w:rPr>
          <w:szCs w:val="21"/>
        </w:rPr>
      </w:pPr>
      <w:r>
        <w:rPr>
          <w:rFonts w:eastAsia="PMingLiU"/>
          <w:color w:val="000000"/>
          <w:szCs w:val="21"/>
        </w:rPr>
        <w:t xml:space="preserve"> </w:t>
      </w:r>
      <w:r>
        <w:rPr>
          <w:color w:val="000000"/>
          <w:szCs w:val="21"/>
        </w:rPr>
        <w:t>应在建筑的围墙外四个方向各选择1个点进行监测。监测布点距离建筑物的围墙应大</w:t>
      </w:r>
    </w:p>
    <w:p>
      <w:pPr>
        <w:pStyle w:val="178"/>
        <w:numPr>
          <w:ilvl w:val="0"/>
          <w:numId w:val="0"/>
        </w:numPr>
        <w:rPr>
          <w:szCs w:val="21"/>
        </w:rPr>
      </w:pPr>
      <w:r>
        <w:rPr>
          <w:color w:val="000000"/>
          <w:szCs w:val="21"/>
        </w:rPr>
        <w:t>于</w:t>
      </w:r>
      <w:r>
        <w:rPr>
          <w:color w:val="000000"/>
          <w:szCs w:val="21"/>
          <w:lang w:bidi="en-US"/>
        </w:rPr>
        <w:t>1m,</w:t>
      </w:r>
      <w:r>
        <w:rPr>
          <w:color w:val="000000"/>
          <w:szCs w:val="21"/>
        </w:rPr>
        <w:t>且小于</w:t>
      </w:r>
      <w:r>
        <w:rPr>
          <w:color w:val="000000"/>
          <w:szCs w:val="21"/>
          <w:lang w:bidi="en-US"/>
        </w:rPr>
        <w:t>10m</w:t>
      </w:r>
      <w:r>
        <w:rPr>
          <w:rFonts w:hint="eastAsia"/>
          <w:color w:val="000000"/>
          <w:szCs w:val="21"/>
          <w:lang w:bidi="en-US"/>
        </w:rPr>
        <w:t>；</w:t>
      </w:r>
    </w:p>
    <w:p>
      <w:pPr>
        <w:pStyle w:val="178"/>
        <w:numPr>
          <w:ilvl w:val="0"/>
          <w:numId w:val="41"/>
        </w:numPr>
        <w:rPr>
          <w:rFonts w:eastAsia="PMingLiU"/>
          <w:color w:val="000000"/>
          <w:szCs w:val="21"/>
        </w:rPr>
      </w:pPr>
      <w:r>
        <w:rPr>
          <w:rFonts w:eastAsia="PMingLiU"/>
          <w:color w:val="000000"/>
          <w:szCs w:val="21"/>
        </w:rPr>
        <w:t xml:space="preserve"> </w:t>
      </w:r>
      <w:r>
        <w:rPr>
          <w:color w:val="000000"/>
          <w:szCs w:val="21"/>
        </w:rPr>
        <w:t>在建筑围墙内，如果有公众可以到达的非封闭式的场所，应至少选择1个点进行布点</w:t>
      </w:r>
    </w:p>
    <w:p>
      <w:pPr>
        <w:pStyle w:val="178"/>
        <w:numPr>
          <w:ilvl w:val="0"/>
          <w:numId w:val="0"/>
        </w:numPr>
        <w:ind w:left="425" w:hanging="425"/>
        <w:rPr>
          <w:rFonts w:eastAsia="PMingLiU"/>
          <w:color w:val="000000"/>
          <w:szCs w:val="21"/>
        </w:rPr>
      </w:pPr>
      <w:r>
        <w:rPr>
          <w:color w:val="000000"/>
          <w:szCs w:val="21"/>
        </w:rPr>
        <w:t>监测。建筑物围墙内，每</w:t>
      </w:r>
      <w:r>
        <w:rPr>
          <w:color w:val="000000"/>
          <w:szCs w:val="21"/>
          <w:lang w:bidi="en-US"/>
        </w:rPr>
        <w:t>1600m</w:t>
      </w:r>
      <w:r>
        <w:rPr>
          <w:color w:val="000000"/>
          <w:szCs w:val="21"/>
          <w:vertAlign w:val="superscript"/>
          <w:lang w:bidi="en-US"/>
        </w:rPr>
        <w:t>2</w:t>
      </w:r>
      <w:r>
        <w:rPr>
          <w:color w:val="000000"/>
          <w:szCs w:val="21"/>
        </w:rPr>
        <w:t>而积应至少布置1个监测点。</w:t>
      </w:r>
    </w:p>
    <w:p>
      <w:pPr>
        <w:pStyle w:val="236"/>
        <w:autoSpaceDE w:val="0"/>
        <w:ind w:firstLine="0"/>
        <w:rPr>
          <w:rFonts w:ascii="Times New Roman" w:hAnsi="Times New Roman" w:eastAsia="PMingLiU"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 xml:space="preserve">5.3.7 </w:t>
      </w:r>
      <w:r>
        <w:rPr>
          <w:rFonts w:cs="Times New Roman"/>
          <w:color w:val="000000" w:themeColor="text1"/>
          <w:sz w:val="21"/>
          <w:szCs w:val="21"/>
          <w14:textFill>
            <w14:solidFill>
              <w14:schemeClr w14:val="tx1"/>
            </w14:solidFill>
          </w14:textFill>
        </w:rPr>
        <w:t>公众电场、磁场暴露控制限值应符合《电磁环境控制限值》</w:t>
      </w:r>
      <w:r>
        <w:rPr>
          <w:rFonts w:ascii="Times New Roman" w:hAnsi="Times New Roman" w:cs="Times New Roman"/>
          <w:color w:val="000000" w:themeColor="text1"/>
          <w:sz w:val="21"/>
          <w:szCs w:val="21"/>
          <w14:textFill>
            <w14:solidFill>
              <w14:schemeClr w14:val="tx1"/>
            </w14:solidFill>
          </w14:textFill>
        </w:rPr>
        <w:t>GB</w:t>
      </w:r>
      <w:r>
        <w:rPr>
          <w:rFonts w:ascii="Times New Roman" w:hAnsi="Times New Roman" w:eastAsia="PMingLiU" w:cs="Times New Roman"/>
          <w:color w:val="000000" w:themeColor="text1"/>
          <w:sz w:val="21"/>
          <w:szCs w:val="21"/>
          <w14:textFill>
            <w14:solidFill>
              <w14:schemeClr w14:val="tx1"/>
            </w14:solidFill>
          </w14:textFill>
        </w:rPr>
        <w:t xml:space="preserve"> </w:t>
      </w:r>
      <w:r>
        <w:rPr>
          <w:rFonts w:ascii="Times New Roman" w:hAnsi="Times New Roman" w:cs="Times New Roman"/>
          <w:color w:val="000000" w:themeColor="text1"/>
          <w:sz w:val="21"/>
          <w:szCs w:val="21"/>
          <w14:textFill>
            <w14:solidFill>
              <w14:schemeClr w14:val="tx1"/>
            </w14:solidFill>
          </w14:textFill>
        </w:rPr>
        <w:t>870</w:t>
      </w:r>
      <w:r>
        <w:rPr>
          <w:rFonts w:ascii="Times New Roman" w:hAnsi="Times New Roman" w:eastAsia="PMingLiU" w:cs="Times New Roman"/>
          <w:color w:val="000000" w:themeColor="text1"/>
          <w:sz w:val="21"/>
          <w:szCs w:val="21"/>
          <w14:textFill>
            <w14:solidFill>
              <w14:schemeClr w14:val="tx1"/>
            </w14:solidFill>
          </w14:textFill>
        </w:rPr>
        <w:t>2</w:t>
      </w:r>
      <w:r>
        <w:rPr>
          <w:rFonts w:cs="Times New Roman"/>
          <w:color w:val="000000" w:themeColor="text1"/>
          <w:sz w:val="21"/>
          <w:szCs w:val="21"/>
          <w14:textFill>
            <w14:solidFill>
              <w14:schemeClr w14:val="tx1"/>
            </w14:solidFill>
          </w14:textFill>
        </w:rPr>
        <w:t>标准要求。</w:t>
      </w:r>
    </w:p>
    <w:p>
      <w:pPr>
        <w:pStyle w:val="69"/>
        <w:spacing w:before="120" w:after="120"/>
        <w:rPr>
          <w:color w:val="000000" w:themeColor="text1"/>
          <w:lang w:bidi="en-US"/>
          <w14:textFill>
            <w14:solidFill>
              <w14:schemeClr w14:val="tx1"/>
            </w14:solidFill>
          </w14:textFill>
        </w:rPr>
      </w:pPr>
      <w:bookmarkStart w:id="83" w:name="bookmark38"/>
      <w:bookmarkStart w:id="84" w:name="bookmark40"/>
      <w:bookmarkStart w:id="85" w:name="bookmark39"/>
      <w:r>
        <w:rPr>
          <w:rFonts w:hint="eastAsia"/>
          <w:lang w:bidi="en-US"/>
        </w:rPr>
        <w:t>5.4</w:t>
      </w:r>
      <w:r>
        <w:rPr>
          <w:lang w:bidi="en-US"/>
        </w:rPr>
        <w:t xml:space="preserve"> </w:t>
      </w:r>
      <w:r>
        <w:rPr>
          <w:rFonts w:hint="eastAsia"/>
          <w:color w:val="000000" w:themeColor="text1"/>
          <w:lang w:bidi="en-US"/>
          <w14:textFill>
            <w14:solidFill>
              <w14:schemeClr w14:val="tx1"/>
            </w14:solidFill>
          </w14:textFill>
        </w:rPr>
        <w:t>室外夜景照明光污染检测</w:t>
      </w:r>
      <w:bookmarkEnd w:id="83"/>
      <w:bookmarkEnd w:id="84"/>
      <w:bookmarkEnd w:id="85"/>
    </w:p>
    <w:p>
      <w:pPr>
        <w:pStyle w:val="236"/>
        <w:spacing w:line="240" w:lineRule="auto"/>
        <w:ind w:firstLine="0"/>
        <w:rPr>
          <w:rFonts w:eastAsia="PMingLiU"/>
          <w:color w:val="000000" w:themeColor="text1"/>
          <w:sz w:val="21"/>
          <w:szCs w:val="21"/>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5</w:t>
      </w:r>
      <w:r>
        <w:rPr>
          <w:color w:val="000000" w:themeColor="text1"/>
          <w:sz w:val="21"/>
          <w:szCs w:val="21"/>
          <w:lang w:val="en-US" w:eastAsia="zh-CN" w:bidi="en-US"/>
          <w14:textFill>
            <w14:solidFill>
              <w14:schemeClr w14:val="tx1"/>
            </w14:solidFill>
          </w14:textFill>
        </w:rPr>
        <w:t>.4.1</w:t>
      </w:r>
      <w:r>
        <w:rPr>
          <w:color w:val="000000" w:themeColor="text1"/>
          <w:sz w:val="21"/>
          <w:szCs w:val="21"/>
          <w14:textFill>
            <w14:solidFill>
              <w14:schemeClr w14:val="tx1"/>
            </w14:solidFill>
          </w14:textFill>
        </w:rPr>
        <w:t>室外</w:t>
      </w:r>
      <w:r>
        <w:rPr>
          <w:rFonts w:hint="eastAsia"/>
          <w:color w:val="000000" w:themeColor="text1"/>
          <w:sz w:val="21"/>
          <w:szCs w:val="21"/>
          <w14:textFill>
            <w14:solidFill>
              <w14:schemeClr w14:val="tx1"/>
            </w14:solidFill>
          </w14:textFill>
        </w:rPr>
        <w:t>夜景</w:t>
      </w:r>
      <w:r>
        <w:rPr>
          <w:color w:val="000000" w:themeColor="text1"/>
          <w:sz w:val="21"/>
          <w:szCs w:val="21"/>
          <w14:textFill>
            <w14:solidFill>
              <w14:schemeClr w14:val="tx1"/>
            </w14:solidFill>
          </w14:textFill>
        </w:rPr>
        <w:t>照明光污染检测项目宜包括：住宅建筑居室窗户外表面上垂直照度、广告标识发光表面的平均亮度、媒体立面墙面平均亮度和最大亮度、LED显示屏或媒体墙表面的平均亮度。</w:t>
      </w:r>
    </w:p>
    <w:p>
      <w:pPr>
        <w:spacing w:line="240" w:lineRule="auto"/>
        <w:rPr>
          <w:color w:val="000000" w:themeColor="text1"/>
          <w:sz w:val="24"/>
          <w14:textFill>
            <w14:solidFill>
              <w14:schemeClr w14:val="tx1"/>
            </w14:solidFill>
          </w14:textFill>
        </w:rPr>
      </w:pPr>
      <w:r>
        <w:rPr>
          <w:rFonts w:hint="eastAsia" w:ascii="宋体" w:hAnsi="宋体" w:cs="宋体"/>
          <w:color w:val="000000" w:themeColor="text1"/>
          <w:lang w:bidi="en-US"/>
          <w14:textFill>
            <w14:solidFill>
              <w14:schemeClr w14:val="tx1"/>
            </w14:solidFill>
          </w14:textFill>
        </w:rPr>
        <w:t>5.</w:t>
      </w:r>
      <w:r>
        <w:rPr>
          <w:rFonts w:ascii="宋体" w:hAnsi="宋体" w:cs="宋体"/>
          <w:color w:val="000000" w:themeColor="text1"/>
          <w:lang w:bidi="en-US"/>
          <w14:textFill>
            <w14:solidFill>
              <w14:schemeClr w14:val="tx1"/>
            </w14:solidFill>
          </w14:textFill>
        </w:rPr>
        <w:t>4.2</w:t>
      </w:r>
      <w:r>
        <w:rPr>
          <w:rFonts w:hint="eastAsia" w:ascii="宋体" w:hAnsi="宋体" w:cs="宋体"/>
          <w:color w:val="000000" w:themeColor="text1"/>
          <w:lang w:bidi="en-US"/>
          <w14:textFill>
            <w14:solidFill>
              <w14:schemeClr w14:val="tx1"/>
            </w14:solidFill>
          </w14:textFill>
        </w:rPr>
        <w:t xml:space="preserve"> </w:t>
      </w:r>
      <w:r>
        <w:rPr>
          <w:rFonts w:ascii="宋体" w:hAnsi="宋体" w:cs="宋体"/>
          <w:color w:val="000000" w:themeColor="text1"/>
          <w:lang w:val="zh-TW" w:eastAsia="zh-TW" w:bidi="zh-TW"/>
          <w14:textFill>
            <w14:solidFill>
              <w14:schemeClr w14:val="tx1"/>
            </w14:solidFill>
          </w14:textFill>
        </w:rPr>
        <w:t>室外</w:t>
      </w:r>
      <w:r>
        <w:rPr>
          <w:rFonts w:hint="eastAsia" w:ascii="宋体" w:hAnsi="宋体" w:cs="宋体"/>
          <w:color w:val="000000" w:themeColor="text1"/>
          <w:lang w:val="zh-TW" w:eastAsia="zh-TW" w:bidi="zh-TW"/>
          <w14:textFill>
            <w14:solidFill>
              <w14:schemeClr w14:val="tx1"/>
            </w14:solidFill>
          </w14:textFill>
        </w:rPr>
        <w:t>夜景</w:t>
      </w:r>
      <w:r>
        <w:rPr>
          <w:rFonts w:ascii="宋体" w:hAnsi="宋体" w:cs="宋体"/>
          <w:color w:val="000000" w:themeColor="text1"/>
          <w:lang w:val="zh-TW" w:eastAsia="zh-TW" w:bidi="zh-TW"/>
          <w14:textFill>
            <w14:solidFill>
              <w14:schemeClr w14:val="tx1"/>
            </w14:solidFill>
          </w14:textFill>
        </w:rPr>
        <w:t>照明光污染的检测数量应符合下列规定：</w:t>
      </w:r>
    </w:p>
    <w:p>
      <w:pPr>
        <w:pStyle w:val="178"/>
        <w:numPr>
          <w:ilvl w:val="0"/>
          <w:numId w:val="44"/>
        </w:numPr>
        <w:rPr>
          <w:rFonts w:ascii="Times New Roman"/>
          <w:color w:val="000000" w:themeColor="text1"/>
          <w:lang w:val="zh-TW" w:eastAsia="zh-TW" w:bidi="zh-TW"/>
          <w14:textFill>
            <w14:solidFill>
              <w14:schemeClr w14:val="tx1"/>
            </w14:solidFill>
          </w14:textFill>
        </w:rPr>
      </w:pPr>
      <w:r>
        <w:rPr>
          <w:rFonts w:ascii="Times New Roman" w:eastAsia="PMingLiU"/>
          <w:color w:val="000000" w:themeColor="text1"/>
          <w:lang w:val="zh-TW" w:eastAsia="zh-TW" w:bidi="zh-TW"/>
          <w14:textFill>
            <w14:solidFill>
              <w14:schemeClr w14:val="tx1"/>
            </w14:solidFill>
          </w14:textFill>
        </w:rPr>
        <w:t xml:space="preserve"> </w:t>
      </w:r>
      <w:r>
        <w:rPr>
          <w:rFonts w:ascii="Times New Roman"/>
          <w:color w:val="000000" w:themeColor="text1"/>
          <w:lang w:val="zh-TW" w:eastAsia="zh-TW" w:bidi="zh-TW"/>
          <w14:textFill>
            <w14:solidFill>
              <w14:schemeClr w14:val="tx1"/>
            </w14:solidFill>
          </w14:textFill>
        </w:rPr>
        <w:t>住宅建筑居室窗户外表面上垂直照度测量，应根据建筑室外照明灯具实际布置情况，</w:t>
      </w:r>
    </w:p>
    <w:p>
      <w:pPr>
        <w:pStyle w:val="178"/>
        <w:numPr>
          <w:ilvl w:val="0"/>
          <w:numId w:val="0"/>
        </w:numPr>
        <w:ind w:left="425" w:hanging="425"/>
        <w:rPr>
          <w:rFonts w:ascii="Times New Roman" w:eastAsia="PMingLiU"/>
          <w:color w:val="000000" w:themeColor="text1"/>
          <w:lang w:val="zh-TW" w:eastAsia="zh-TW" w:bidi="zh-TW"/>
          <w14:textFill>
            <w14:solidFill>
              <w14:schemeClr w14:val="tx1"/>
            </w14:solidFill>
          </w14:textFill>
        </w:rPr>
      </w:pPr>
      <w:r>
        <w:rPr>
          <w:rFonts w:ascii="Times New Roman"/>
          <w:color w:val="000000" w:themeColor="text1"/>
          <w:lang w:val="zh-TW" w:eastAsia="zh-TW" w:bidi="zh-TW"/>
          <w14:textFill>
            <w14:solidFill>
              <w14:schemeClr w14:val="tx1"/>
            </w14:solidFill>
          </w14:textFill>
        </w:rPr>
        <w:t>选取至少2个光污染最不利建筑外立面，每个外立面至少选取高、低楼层各1个居室外窗洞</w:t>
      </w:r>
    </w:p>
    <w:p>
      <w:pPr>
        <w:pStyle w:val="178"/>
        <w:numPr>
          <w:ilvl w:val="0"/>
          <w:numId w:val="0"/>
        </w:numPr>
        <w:ind w:left="425" w:hanging="425"/>
        <w:rPr>
          <w:rFonts w:ascii="Times New Roman"/>
          <w:color w:val="000000" w:themeColor="text1"/>
          <w:lang w:val="zh-TW" w:eastAsia="zh-TW" w:bidi="zh-TW"/>
          <w14:textFill>
            <w14:solidFill>
              <w14:schemeClr w14:val="tx1"/>
            </w14:solidFill>
          </w14:textFill>
        </w:rPr>
      </w:pPr>
      <w:r>
        <w:rPr>
          <w:rFonts w:ascii="Times New Roman"/>
          <w:color w:val="000000" w:themeColor="text1"/>
          <w:lang w:val="zh-TW" w:eastAsia="zh-TW" w:bidi="zh-TW"/>
          <w14:textFill>
            <w14:solidFill>
              <w14:schemeClr w14:val="tx1"/>
            </w14:solidFill>
          </w14:textFill>
        </w:rPr>
        <w:t>面；每个居室外窗洞面上均匀选择6~9个测点，取其平均值作为该窗测量结果；</w:t>
      </w:r>
    </w:p>
    <w:p>
      <w:pPr>
        <w:pStyle w:val="178"/>
        <w:numPr>
          <w:ilvl w:val="0"/>
          <w:numId w:val="41"/>
        </w:numPr>
        <w:rPr>
          <w:rFonts w:ascii="Times New Roman"/>
          <w:color w:val="000000" w:themeColor="text1"/>
          <w:lang w:val="zh-TW" w:eastAsia="zh-TW" w:bidi="zh-TW"/>
          <w14:textFill>
            <w14:solidFill>
              <w14:schemeClr w14:val="tx1"/>
            </w14:solidFill>
          </w14:textFill>
        </w:rPr>
      </w:pPr>
      <w:r>
        <w:rPr>
          <w:rFonts w:ascii="Times New Roman" w:eastAsia="PMingLiU"/>
          <w:color w:val="000000" w:themeColor="text1"/>
          <w:lang w:val="zh-TW" w:eastAsia="zh-TW" w:bidi="zh-TW"/>
          <w14:textFill>
            <w14:solidFill>
              <w14:schemeClr w14:val="tx1"/>
            </w14:solidFill>
          </w14:textFill>
        </w:rPr>
        <w:t xml:space="preserve"> </w:t>
      </w:r>
      <w:r>
        <w:rPr>
          <w:rFonts w:ascii="Times New Roman"/>
          <w:color w:val="000000" w:themeColor="text1"/>
          <w:lang w:val="zh-TW" w:eastAsia="zh-TW" w:bidi="zh-TW"/>
          <w14:textFill>
            <w14:solidFill>
              <w14:schemeClr w14:val="tx1"/>
            </w14:solidFill>
          </w14:textFill>
        </w:rPr>
        <w:t>广告标识发光表面的平均亮度、媒体立面墙面平均亮度和最大亮度、LED显示屏或媒</w:t>
      </w:r>
    </w:p>
    <w:p>
      <w:pPr>
        <w:pStyle w:val="178"/>
        <w:numPr>
          <w:ilvl w:val="0"/>
          <w:numId w:val="0"/>
        </w:numPr>
        <w:ind w:left="425" w:hanging="425"/>
        <w:rPr>
          <w:rFonts w:ascii="Times New Roman"/>
          <w:color w:val="000000" w:themeColor="text1"/>
          <w:lang w:val="zh-TW" w:eastAsia="zh-TW" w:bidi="zh-TW"/>
          <w14:textFill>
            <w14:solidFill>
              <w14:schemeClr w14:val="tx1"/>
            </w14:solidFill>
          </w14:textFill>
        </w:rPr>
      </w:pPr>
      <w:r>
        <w:rPr>
          <w:rFonts w:ascii="Times New Roman"/>
          <w:color w:val="000000" w:themeColor="text1"/>
          <w:lang w:val="zh-TW" w:eastAsia="zh-TW" w:bidi="zh-TW"/>
          <w14:textFill>
            <w14:solidFill>
              <w14:schemeClr w14:val="tx1"/>
            </w14:solidFill>
          </w14:textFill>
        </w:rPr>
        <w:t>体墙表面的平均亮度，应选择代表建筑特征的表面，同一代表面上的测点不得少于3点。</w:t>
      </w:r>
    </w:p>
    <w:p>
      <w:pPr>
        <w:pStyle w:val="236"/>
        <w:spacing w:line="240" w:lineRule="auto"/>
        <w:ind w:firstLine="0"/>
        <w:rPr>
          <w:color w:val="000000" w:themeColor="text1"/>
          <w:sz w:val="21"/>
          <w:szCs w:val="21"/>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5</w:t>
      </w:r>
      <w:r>
        <w:rPr>
          <w:color w:val="000000" w:themeColor="text1"/>
          <w:sz w:val="21"/>
          <w:szCs w:val="21"/>
          <w:lang w:val="en-US" w:eastAsia="zh-CN" w:bidi="en-US"/>
          <w14:textFill>
            <w14:solidFill>
              <w14:schemeClr w14:val="tx1"/>
            </w14:solidFill>
          </w14:textFill>
        </w:rPr>
        <w:t xml:space="preserve">.4.3 </w:t>
      </w:r>
      <w:r>
        <w:rPr>
          <w:rFonts w:ascii="Times New Roman" w:hAnsi="Times New Roman" w:cs="Times New Roman"/>
          <w:color w:val="000000" w:themeColor="text1"/>
          <w:sz w:val="21"/>
          <w:szCs w:val="21"/>
          <w14:textFill>
            <w14:solidFill>
              <w14:schemeClr w14:val="tx1"/>
            </w14:solidFill>
          </w14:textFill>
        </w:rPr>
        <w:t>室外</w:t>
      </w:r>
      <w:r>
        <w:rPr>
          <w:rFonts w:hint="eastAsia" w:ascii="Times New Roman" w:hAnsi="Times New Roman" w:cs="Times New Roman"/>
          <w:color w:val="000000" w:themeColor="text1"/>
          <w:sz w:val="21"/>
          <w:szCs w:val="21"/>
          <w:lang w:eastAsia="zh-CN"/>
          <w14:textFill>
            <w14:solidFill>
              <w14:schemeClr w14:val="tx1"/>
            </w14:solidFill>
          </w14:textFill>
        </w:rPr>
        <w:t>夜景</w:t>
      </w:r>
      <w:r>
        <w:rPr>
          <w:rFonts w:ascii="Times New Roman" w:hAnsi="Times New Roman" w:cs="Times New Roman"/>
          <w:color w:val="000000" w:themeColor="text1"/>
          <w:sz w:val="21"/>
          <w:szCs w:val="21"/>
          <w14:textFill>
            <w14:solidFill>
              <w14:schemeClr w14:val="tx1"/>
            </w14:solidFill>
          </w14:textFill>
        </w:rPr>
        <w:t>照明光污染的检测方法应符合现行国家标准《照明测量方法》GB/T 5700与《LED显示屏干扰光现场测量方法》GB/T 34973的规定。</w:t>
      </w:r>
    </w:p>
    <w:p>
      <w:pPr>
        <w:pStyle w:val="236"/>
        <w:autoSpaceDE w:val="0"/>
        <w:spacing w:line="240" w:lineRule="auto"/>
        <w:ind w:firstLine="0"/>
        <w:rPr>
          <w:rFonts w:ascii="Times New Roman" w:hAnsi="Times New Roman" w:cs="Times New Roman"/>
          <w:color w:val="000000"/>
          <w:sz w:val="21"/>
          <w:szCs w:val="21"/>
        </w:rPr>
      </w:pPr>
      <w:r>
        <w:rPr>
          <w:rFonts w:ascii="Times New Roman" w:hAnsi="Times New Roman" w:cs="Times New Roman"/>
          <w:color w:val="000000"/>
          <w:sz w:val="21"/>
          <w:szCs w:val="21"/>
        </w:rPr>
        <w:t>5.4.4</w:t>
      </w:r>
      <w:r>
        <w:rPr>
          <w:rFonts w:cs="Times New Roman"/>
          <w:color w:val="000000"/>
          <w:sz w:val="21"/>
          <w:szCs w:val="21"/>
        </w:rPr>
        <w:t>根据城市区位的功能性质，按其环境亮度进行划分如下表所示。</w:t>
      </w:r>
    </w:p>
    <w:p>
      <w:pPr>
        <w:pStyle w:val="236"/>
        <w:autoSpaceDE w:val="0"/>
        <w:spacing w:line="240" w:lineRule="auto"/>
        <w:ind w:firstLine="0"/>
        <w:jc w:val="center"/>
        <w:rPr>
          <w:rFonts w:ascii="Times New Roman" w:hAnsi="Times New Roman" w:cs="Times New Roman"/>
          <w:color w:val="000000"/>
          <w:sz w:val="21"/>
          <w:szCs w:val="21"/>
        </w:rPr>
      </w:pPr>
      <w:r>
        <w:rPr>
          <w:rFonts w:ascii="黑体" w:hAnsi="黑体" w:eastAsia="黑体" w:cs="Times New Roman"/>
          <w:color w:val="000000"/>
          <w:sz w:val="18"/>
          <w:szCs w:val="18"/>
        </w:rPr>
        <w:t>表</w:t>
      </w:r>
      <w:r>
        <w:rPr>
          <w:rFonts w:ascii="Times New Roman" w:hAnsi="Times New Roman" w:eastAsia="黑体" w:cs="Times New Roman"/>
          <w:color w:val="000000"/>
          <w:sz w:val="18"/>
          <w:szCs w:val="18"/>
        </w:rPr>
        <w:t xml:space="preserve">5.4.4.1  </w:t>
      </w:r>
      <w:r>
        <w:rPr>
          <w:rFonts w:ascii="黑体" w:hAnsi="黑体" w:eastAsia="黑体" w:cs="Times New Roman"/>
          <w:color w:val="000000"/>
          <w:sz w:val="18"/>
          <w:szCs w:val="18"/>
        </w:rPr>
        <w:t>根据环境亮度的城市区位的功能性质分区表</w:t>
      </w:r>
    </w:p>
    <w:tbl>
      <w:tblPr>
        <w:tblStyle w:val="3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04"/>
        <w:gridCol w:w="1704"/>
        <w:gridCol w:w="1704"/>
        <w:gridCol w:w="1705"/>
        <w:gridCol w:w="1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环境亮度类型</w:t>
            </w: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天然暗环境区域</w:t>
            </w: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低亮度区域</w:t>
            </w:r>
          </w:p>
        </w:tc>
        <w:tc>
          <w:tcPr>
            <w:tcW w:w="1705"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中等亮度区域</w:t>
            </w:r>
          </w:p>
        </w:tc>
        <w:tc>
          <w:tcPr>
            <w:tcW w:w="1705"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高亮度区域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区域代号</w:t>
            </w: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E1</w:t>
            </w: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E2</w:t>
            </w:r>
          </w:p>
        </w:tc>
        <w:tc>
          <w:tcPr>
            <w:tcW w:w="1705"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E3</w:t>
            </w:r>
          </w:p>
        </w:tc>
        <w:tc>
          <w:tcPr>
            <w:tcW w:w="1705"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对应的区域</w:t>
            </w: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自然保护区、森林、天文台周边</w:t>
            </w: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乡村居住区、乡村工业区等</w:t>
            </w:r>
          </w:p>
        </w:tc>
        <w:tc>
          <w:tcPr>
            <w:tcW w:w="1705"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一般公共区、城郊居住区、城郊工业区等</w:t>
            </w:r>
          </w:p>
        </w:tc>
        <w:tc>
          <w:tcPr>
            <w:tcW w:w="1705" w:type="dxa"/>
            <w:tcBorders>
              <w:top w:val="single" w:color="000000" w:sz="4" w:space="0"/>
              <w:left w:val="single" w:color="000000" w:sz="4" w:space="0"/>
              <w:bottom w:val="single" w:color="000000" w:sz="4" w:space="0"/>
              <w:right w:val="single" w:color="000000" w:sz="4" w:space="0"/>
            </w:tcBorders>
            <w:vAlign w:val="center"/>
          </w:tcPr>
          <w:p>
            <w:pPr>
              <w:pStyle w:val="236"/>
              <w:spacing w:line="240" w:lineRule="auto"/>
              <w:ind w:firstLine="0"/>
              <w:jc w:val="center"/>
              <w:rPr>
                <w:rFonts w:ascii="Times New Roman" w:hAnsi="Times New Roman" w:cs="Times New Roman"/>
                <w:color w:val="000000"/>
                <w:sz w:val="18"/>
                <w:szCs w:val="18"/>
              </w:rPr>
            </w:pPr>
            <w:r>
              <w:rPr>
                <w:rFonts w:cs="Times New Roman"/>
                <w:color w:val="000000"/>
                <w:sz w:val="18"/>
                <w:szCs w:val="18"/>
              </w:rPr>
              <w:t>城市中心区、商业区、景观亮化区</w:t>
            </w:r>
          </w:p>
        </w:tc>
      </w:tr>
    </w:tbl>
    <w:p>
      <w:pPr>
        <w:pStyle w:val="236"/>
        <w:spacing w:line="240" w:lineRule="auto"/>
        <w:ind w:firstLine="0"/>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 xml:space="preserve">5.4.5 </w:t>
      </w:r>
      <w:r>
        <w:rPr>
          <w:rFonts w:cs="Times New Roman"/>
          <w:color w:val="000000" w:themeColor="text1"/>
          <w:sz w:val="21"/>
          <w:szCs w:val="21"/>
          <w14:textFill>
            <w14:solidFill>
              <w14:schemeClr w14:val="tx1"/>
            </w14:solidFill>
          </w14:textFill>
        </w:rPr>
        <w:t>室外</w:t>
      </w:r>
      <w:r>
        <w:rPr>
          <w:rFonts w:hint="eastAsia" w:cs="Times New Roman"/>
          <w:color w:val="000000" w:themeColor="text1"/>
          <w:sz w:val="21"/>
          <w:szCs w:val="21"/>
          <w14:textFill>
            <w14:solidFill>
              <w14:schemeClr w14:val="tx1"/>
            </w14:solidFill>
          </w14:textFill>
        </w:rPr>
        <w:t>夜景</w:t>
      </w:r>
      <w:r>
        <w:rPr>
          <w:rFonts w:cs="Times New Roman"/>
          <w:color w:val="000000" w:themeColor="text1"/>
          <w:sz w:val="21"/>
          <w:szCs w:val="21"/>
          <w14:textFill>
            <w14:solidFill>
              <w14:schemeClr w14:val="tx1"/>
            </w14:solidFill>
          </w14:textFill>
        </w:rPr>
        <w:t>照明光污染各推荐限度见下列表格。</w:t>
      </w:r>
    </w:p>
    <w:p>
      <w:pPr>
        <w:pStyle w:val="236"/>
        <w:autoSpaceDE w:val="0"/>
        <w:spacing w:line="240" w:lineRule="auto"/>
        <w:ind w:firstLine="0"/>
        <w:jc w:val="center"/>
        <w:rPr>
          <w:rFonts w:ascii="Times New Roman" w:hAnsi="Times New Roman" w:eastAsia="黑体" w:cs="Times New Roman"/>
          <w:color w:val="000000" w:themeColor="text1"/>
          <w:sz w:val="18"/>
          <w:szCs w:val="18"/>
          <w14:textFill>
            <w14:solidFill>
              <w14:schemeClr w14:val="tx1"/>
            </w14:solidFill>
          </w14:textFill>
        </w:rPr>
      </w:pPr>
      <w:r>
        <w:rPr>
          <w:rFonts w:ascii="黑体" w:hAnsi="黑体" w:eastAsia="黑体" w:cs="Times New Roman"/>
          <w:color w:val="000000" w:themeColor="text1"/>
          <w:sz w:val="18"/>
          <w:szCs w:val="18"/>
          <w14:textFill>
            <w14:solidFill>
              <w14:schemeClr w14:val="tx1"/>
            </w14:solidFill>
          </w14:textFill>
        </w:rPr>
        <w:t>表</w:t>
      </w:r>
      <w:r>
        <w:rPr>
          <w:rFonts w:ascii="Times New Roman" w:hAnsi="Times New Roman" w:eastAsia="黑体" w:cs="Times New Roman"/>
          <w:color w:val="000000" w:themeColor="text1"/>
          <w:sz w:val="18"/>
          <w:szCs w:val="18"/>
          <w14:textFill>
            <w14:solidFill>
              <w14:schemeClr w14:val="tx1"/>
            </w14:solidFill>
          </w14:textFill>
        </w:rPr>
        <w:t xml:space="preserve">5.4.5.1  </w:t>
      </w:r>
      <w:r>
        <w:rPr>
          <w:rFonts w:ascii="黑体" w:hAnsi="黑体" w:eastAsia="黑体" w:cs="Times New Roman"/>
          <w:color w:val="000000" w:themeColor="text1"/>
          <w:sz w:val="18"/>
          <w:szCs w:val="18"/>
          <w14:textFill>
            <w14:solidFill>
              <w14:schemeClr w14:val="tx1"/>
            </w14:solidFill>
          </w14:textFill>
        </w:rPr>
        <w:t>住宅建筑居室窗户外表面的垂直照度限度</w:t>
      </w:r>
    </w:p>
    <w:tbl>
      <w:tblPr>
        <w:tblStyle w:val="3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技术参数</w:t>
            </w:r>
          </w:p>
        </w:tc>
        <w:tc>
          <w:tcPr>
            <w:tcW w:w="142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时段</w:t>
            </w:r>
          </w:p>
        </w:tc>
        <w:tc>
          <w:tcPr>
            <w:tcW w:w="5682" w:type="dxa"/>
            <w:gridSpan w:val="4"/>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环境区域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sz w:val="18"/>
                <w:szCs w:val="18"/>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sz w:val="18"/>
                <w:szCs w:val="18"/>
              </w:rPr>
            </w:pPr>
          </w:p>
        </w:tc>
        <w:tc>
          <w:tcPr>
            <w:tcW w:w="1420"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E1</w:t>
            </w:r>
          </w:p>
        </w:tc>
        <w:tc>
          <w:tcPr>
            <w:tcW w:w="1420"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E2</w:t>
            </w:r>
          </w:p>
        </w:tc>
        <w:tc>
          <w:tcPr>
            <w:tcW w:w="1421"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E3</w:t>
            </w:r>
          </w:p>
        </w:tc>
        <w:tc>
          <w:tcPr>
            <w:tcW w:w="1421"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Merge w:val="restart"/>
            <w:tcBorders>
              <w:top w:val="nil"/>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垂直照度</w:t>
            </w:r>
          </w:p>
          <w:p>
            <w:pPr>
              <w:autoSpaceDE w:val="0"/>
              <w:spacing w:line="240" w:lineRule="auto"/>
              <w:jc w:val="center"/>
              <w:rPr>
                <w:rFonts w:ascii="Times New Roman" w:hAnsi="Times New Roman"/>
                <w:sz w:val="18"/>
                <w:szCs w:val="18"/>
                <w:vertAlign w:val="subscript"/>
              </w:rPr>
            </w:pPr>
            <w:r>
              <w:rPr>
                <w:rFonts w:ascii="Times New Roman" w:hAnsi="Times New Roman"/>
                <w:sz w:val="18"/>
                <w:szCs w:val="18"/>
              </w:rPr>
              <w:t>E</w:t>
            </w:r>
            <w:r>
              <w:rPr>
                <w:rFonts w:ascii="Times New Roman" w:hAnsi="Times New Roman"/>
                <w:sz w:val="18"/>
                <w:szCs w:val="18"/>
                <w:vertAlign w:val="subscript"/>
              </w:rPr>
              <w:t>v</w:t>
            </w:r>
            <w:r>
              <w:rPr>
                <w:rFonts w:ascii="Times New Roman" w:hAnsi="Times New Roman"/>
                <w:sz w:val="18"/>
                <w:szCs w:val="18"/>
              </w:rPr>
              <w:t>(lx)</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熄灯时段前</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≤2</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≤5</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≤10</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0" w:type="auto"/>
            <w:vMerge w:val="continue"/>
            <w:tcBorders>
              <w:top w:val="nil"/>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sz w:val="18"/>
                <w:szCs w:val="18"/>
                <w:vertAlign w:val="subscript"/>
              </w:rPr>
            </w:pP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熄灯时段</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≤0</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≤1</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≤2</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≤5</w:t>
            </w:r>
          </w:p>
        </w:tc>
      </w:tr>
    </w:tbl>
    <w:p>
      <w:pPr>
        <w:spacing w:line="240" w:lineRule="auto"/>
        <w:jc w:val="center"/>
        <w:rPr>
          <w:rFonts w:ascii="Times New Roman" w:hAnsi="Times New Roman" w:eastAsia="黑体"/>
          <w:color w:val="000000"/>
          <w:sz w:val="18"/>
          <w:szCs w:val="18"/>
        </w:rPr>
      </w:pPr>
      <w:r>
        <w:rPr>
          <w:rFonts w:ascii="黑体" w:hAnsi="黑体" w:eastAsia="黑体"/>
          <w:color w:val="000000"/>
          <w:sz w:val="18"/>
          <w:szCs w:val="18"/>
        </w:rPr>
        <w:t>表</w:t>
      </w:r>
      <w:r>
        <w:rPr>
          <w:rFonts w:ascii="Times New Roman" w:hAnsi="Times New Roman" w:eastAsia="黑体"/>
          <w:color w:val="000000"/>
          <w:sz w:val="18"/>
          <w:szCs w:val="18"/>
        </w:rPr>
        <w:t xml:space="preserve">5.4.5.2  </w:t>
      </w:r>
      <w:r>
        <w:rPr>
          <w:rFonts w:ascii="黑体" w:hAnsi="黑体" w:eastAsia="黑体"/>
          <w:color w:val="000000"/>
          <w:sz w:val="18"/>
          <w:szCs w:val="18"/>
        </w:rPr>
        <w:t>建筑立面、广告标识面的平均亮度限度</w:t>
      </w:r>
    </w:p>
    <w:tbl>
      <w:tblPr>
        <w:tblStyle w:val="3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40"/>
        <w:gridCol w:w="1420"/>
        <w:gridCol w:w="1420"/>
        <w:gridCol w:w="1421"/>
        <w:gridCol w:w="1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技术参数</w:t>
            </w:r>
          </w:p>
        </w:tc>
        <w:tc>
          <w:tcPr>
            <w:tcW w:w="5682" w:type="dxa"/>
            <w:gridSpan w:val="4"/>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环境区域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sz w:val="18"/>
                <w:szCs w:val="18"/>
              </w:rPr>
            </w:pPr>
          </w:p>
        </w:tc>
        <w:tc>
          <w:tcPr>
            <w:tcW w:w="1420"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E1</w:t>
            </w:r>
          </w:p>
        </w:tc>
        <w:tc>
          <w:tcPr>
            <w:tcW w:w="1420"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E2</w:t>
            </w:r>
          </w:p>
        </w:tc>
        <w:tc>
          <w:tcPr>
            <w:tcW w:w="1421"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E3</w:t>
            </w:r>
          </w:p>
        </w:tc>
        <w:tc>
          <w:tcPr>
            <w:tcW w:w="1421" w:type="dxa"/>
            <w:tcBorders>
              <w:top w:val="single" w:color="000000" w:sz="4" w:space="0"/>
              <w:left w:val="single" w:color="000000" w:sz="4" w:space="0"/>
              <w:bottom w:val="single" w:color="000000" w:sz="4" w:space="0"/>
              <w:right w:val="single" w:color="000000" w:sz="4" w:space="0"/>
            </w:tcBorders>
            <w:vAlign w:val="center"/>
          </w:tcPr>
          <w:p>
            <w:pPr>
              <w:pStyle w:val="236"/>
              <w:autoSpaceDE w:val="0"/>
              <w:spacing w:line="240" w:lineRule="auto"/>
              <w:ind w:firstLine="0"/>
              <w:jc w:val="center"/>
              <w:rPr>
                <w:rFonts w:ascii="Times New Roman" w:hAnsi="Times New Roman" w:cs="Times New Roman"/>
                <w:color w:val="000000"/>
                <w:sz w:val="18"/>
                <w:szCs w:val="18"/>
              </w:rPr>
            </w:pPr>
            <w:r>
              <w:rPr>
                <w:rFonts w:ascii="Times New Roman" w:hAnsi="Times New Roman" w:cs="Times New Roman"/>
                <w:color w:val="000000"/>
                <w:sz w:val="18"/>
                <w:szCs w:val="18"/>
              </w:rPr>
              <w:t>E4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建筑立面亮度（</w:t>
            </w:r>
            <w:r>
              <w:rPr>
                <w:rFonts w:ascii="Times New Roman" w:hAnsi="Times New Roman"/>
                <w:sz w:val="18"/>
                <w:szCs w:val="18"/>
              </w:rPr>
              <w:t>cd/</w:t>
            </w:r>
            <w:r>
              <w:rPr>
                <w:rFonts w:ascii="宋体" w:hAnsi="宋体"/>
                <w:sz w:val="18"/>
                <w:szCs w:val="18"/>
              </w:rPr>
              <w:t>㎡）</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≤0</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≤5</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≤10</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宋体" w:hAnsi="宋体"/>
                <w:sz w:val="18"/>
                <w:szCs w:val="18"/>
              </w:rPr>
              <w:t>广告标识面亮度（</w:t>
            </w:r>
            <w:r>
              <w:rPr>
                <w:rFonts w:ascii="Times New Roman" w:hAnsi="Times New Roman"/>
                <w:sz w:val="18"/>
                <w:szCs w:val="18"/>
              </w:rPr>
              <w:t>cd/</w:t>
            </w:r>
            <w:r>
              <w:rPr>
                <w:rFonts w:ascii="宋体" w:hAnsi="宋体"/>
                <w:sz w:val="18"/>
                <w:szCs w:val="18"/>
              </w:rPr>
              <w:t>㎡）</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≤50</w:t>
            </w:r>
          </w:p>
        </w:tc>
        <w:tc>
          <w:tcPr>
            <w:tcW w:w="1420"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≤400</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≤800</w:t>
            </w:r>
          </w:p>
        </w:tc>
        <w:tc>
          <w:tcPr>
            <w:tcW w:w="1421" w:type="dxa"/>
            <w:tcBorders>
              <w:top w:val="single" w:color="000000" w:sz="4" w:space="0"/>
              <w:left w:val="single" w:color="000000" w:sz="4" w:space="0"/>
              <w:bottom w:val="single" w:color="000000" w:sz="4" w:space="0"/>
              <w:right w:val="single" w:color="000000" w:sz="4" w:space="0"/>
            </w:tcBorders>
            <w:vAlign w:val="center"/>
          </w:tcPr>
          <w:p>
            <w:pPr>
              <w:autoSpaceDE w:val="0"/>
              <w:spacing w:line="240" w:lineRule="auto"/>
              <w:jc w:val="center"/>
              <w:rPr>
                <w:rFonts w:ascii="Times New Roman" w:hAnsi="Times New Roman"/>
                <w:sz w:val="18"/>
                <w:szCs w:val="18"/>
              </w:rPr>
            </w:pPr>
            <w:r>
              <w:rPr>
                <w:rFonts w:ascii="Times New Roman" w:hAnsi="Times New Roman"/>
                <w:sz w:val="18"/>
                <w:szCs w:val="18"/>
              </w:rPr>
              <w:t>≤1000</w:t>
            </w:r>
          </w:p>
        </w:tc>
      </w:tr>
    </w:tbl>
    <w:p>
      <w:pPr>
        <w:pStyle w:val="236"/>
        <w:spacing w:line="240" w:lineRule="auto"/>
        <w:ind w:firstLine="0"/>
        <w:rPr>
          <w:sz w:val="21"/>
          <w:szCs w:val="21"/>
        </w:rPr>
      </w:pPr>
    </w:p>
    <w:p>
      <w:pPr>
        <w:pStyle w:val="69"/>
        <w:spacing w:before="120" w:after="120"/>
        <w:rPr>
          <w:lang w:bidi="en-US"/>
        </w:rPr>
      </w:pPr>
      <w:bookmarkStart w:id="86" w:name="bookmark43"/>
      <w:bookmarkStart w:id="87" w:name="bookmark42"/>
      <w:bookmarkStart w:id="88" w:name="bookmark41"/>
      <w:r>
        <w:rPr>
          <w:rFonts w:hint="eastAsia"/>
          <w:lang w:bidi="en-US"/>
        </w:rPr>
        <w:t>5.5</w:t>
      </w:r>
      <w:r>
        <w:rPr>
          <w:lang w:bidi="en-US"/>
        </w:rPr>
        <w:t xml:space="preserve"> </w:t>
      </w:r>
      <w:r>
        <w:rPr>
          <w:rFonts w:hint="eastAsia"/>
          <w:lang w:bidi="en-US"/>
        </w:rPr>
        <w:t>建筑外立面玻璃幕墙的可见光反射比检测</w:t>
      </w:r>
      <w:bookmarkEnd w:id="86"/>
      <w:bookmarkEnd w:id="87"/>
      <w:bookmarkEnd w:id="88"/>
    </w:p>
    <w:p>
      <w:pPr>
        <w:pStyle w:val="236"/>
        <w:spacing w:line="240" w:lineRule="auto"/>
        <w:ind w:firstLine="0"/>
        <w:rPr>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5</w:t>
      </w:r>
      <w:r>
        <w:rPr>
          <w:color w:val="000000" w:themeColor="text1"/>
          <w:sz w:val="21"/>
          <w:szCs w:val="21"/>
          <w:lang w:val="en-US" w:eastAsia="zh-CN" w:bidi="en-US"/>
          <w14:textFill>
            <w14:solidFill>
              <w14:schemeClr w14:val="tx1"/>
            </w14:solidFill>
          </w14:textFill>
        </w:rPr>
        <w:t xml:space="preserve">.5.1 </w:t>
      </w:r>
      <w:r>
        <w:rPr>
          <w:color w:val="000000" w:themeColor="text1"/>
          <w:sz w:val="21"/>
          <w:szCs w:val="21"/>
          <w14:textFill>
            <w14:solidFill>
              <w14:schemeClr w14:val="tx1"/>
            </w14:solidFill>
          </w14:textFill>
        </w:rPr>
        <w:t>玻璃幕墙</w:t>
      </w:r>
      <w:r>
        <w:rPr>
          <w:rFonts w:hint="eastAsia"/>
          <w:color w:val="000000" w:themeColor="text1"/>
          <w:sz w:val="21"/>
          <w:szCs w:val="21"/>
          <w14:textFill>
            <w14:solidFill>
              <w14:schemeClr w14:val="tx1"/>
            </w14:solidFill>
          </w14:textFill>
        </w:rPr>
        <w:t>的</w:t>
      </w:r>
      <w:r>
        <w:rPr>
          <w:color w:val="000000" w:themeColor="text1"/>
          <w:sz w:val="21"/>
          <w:szCs w:val="21"/>
          <w14:textFill>
            <w14:solidFill>
              <w14:schemeClr w14:val="tx1"/>
            </w14:solidFill>
          </w14:textFill>
        </w:rPr>
        <w:t>每种玻璃</w:t>
      </w:r>
      <w:r>
        <w:rPr>
          <w:rFonts w:hint="eastAsia"/>
          <w:color w:val="000000" w:themeColor="text1"/>
          <w:sz w:val="21"/>
          <w:szCs w:val="21"/>
          <w14:textFill>
            <w14:solidFill>
              <w14:schemeClr w14:val="tx1"/>
            </w14:solidFill>
          </w14:textFill>
        </w:rPr>
        <w:t>现场</w:t>
      </w:r>
      <w:r>
        <w:rPr>
          <w:color w:val="000000" w:themeColor="text1"/>
          <w:sz w:val="21"/>
          <w:szCs w:val="21"/>
          <w14:textFill>
            <w14:solidFill>
              <w14:schemeClr w14:val="tx1"/>
            </w14:solidFill>
          </w14:textFill>
        </w:rPr>
        <w:t>应</w:t>
      </w:r>
      <w:r>
        <w:rPr>
          <w:rFonts w:hint="eastAsia"/>
          <w:color w:val="000000" w:themeColor="text1"/>
          <w:sz w:val="21"/>
          <w:szCs w:val="21"/>
          <w14:textFill>
            <w14:solidFill>
              <w14:schemeClr w14:val="tx1"/>
            </w14:solidFill>
          </w14:textFill>
        </w:rPr>
        <w:t>选</w:t>
      </w:r>
      <w:r>
        <w:rPr>
          <w:color w:val="000000" w:themeColor="text1"/>
          <w:sz w:val="21"/>
          <w:szCs w:val="21"/>
          <w14:textFill>
            <w14:solidFill>
              <w14:schemeClr w14:val="tx1"/>
            </w14:solidFill>
          </w14:textFill>
        </w:rPr>
        <w:t>取一组进行</w:t>
      </w:r>
      <w:r>
        <w:rPr>
          <w:rFonts w:hint="eastAsia"/>
          <w:color w:val="000000" w:themeColor="text1"/>
          <w:sz w:val="21"/>
          <w:szCs w:val="21"/>
          <w14:textFill>
            <w14:solidFill>
              <w14:schemeClr w14:val="tx1"/>
            </w14:solidFill>
          </w14:textFill>
        </w:rPr>
        <w:t>可见光反射比</w:t>
      </w:r>
      <w:r>
        <w:rPr>
          <w:color w:val="000000" w:themeColor="text1"/>
          <w:sz w:val="21"/>
          <w:szCs w:val="21"/>
          <w14:textFill>
            <w14:solidFill>
              <w14:schemeClr w14:val="tx1"/>
            </w14:solidFill>
          </w14:textFill>
        </w:rPr>
        <w:t>检测。</w:t>
      </w:r>
    </w:p>
    <w:p>
      <w:pPr>
        <w:spacing w:line="240" w:lineRule="auto"/>
        <w:rPr>
          <w:rFonts w:ascii="Times New Roman" w:hAnsi="Times New Roman"/>
          <w:color w:val="000000" w:themeColor="text1"/>
          <w14:textFill>
            <w14:solidFill>
              <w14:schemeClr w14:val="tx1"/>
            </w14:solidFill>
          </w14:textFill>
        </w:rPr>
      </w:pPr>
      <w:r>
        <w:rPr>
          <w:rFonts w:ascii="宋体" w:hAnsi="宋体" w:cs="宋体"/>
          <w:color w:val="000000" w:themeColor="text1"/>
          <w:lang w:bidi="en-US"/>
          <w14:textFill>
            <w14:solidFill>
              <w14:schemeClr w14:val="tx1"/>
            </w14:solidFill>
          </w14:textFill>
        </w:rPr>
        <w:t>5.5.2</w:t>
      </w:r>
      <w:r>
        <w:rPr>
          <w:rFonts w:hint="eastAsia" w:ascii="Times New Roman" w:hAnsi="Times New Roman"/>
          <w:color w:val="000000" w:themeColor="text1"/>
          <w14:textFill>
            <w14:solidFill>
              <w14:schemeClr w14:val="tx1"/>
            </w14:solidFill>
          </w14:textFill>
        </w:rPr>
        <w:t>玻璃幕墙可见光反射比检测</w:t>
      </w:r>
      <w:r>
        <w:rPr>
          <w:rFonts w:ascii="Times New Roman" w:hAnsi="Times New Roman"/>
          <w:color w:val="000000" w:themeColor="text1"/>
          <w14:textFill>
            <w14:solidFill>
              <w14:schemeClr w14:val="tx1"/>
            </w14:solidFill>
          </w14:textFill>
        </w:rPr>
        <w:t>应按现行国家标准</w:t>
      </w:r>
      <w:r>
        <w:rPr>
          <w:rFonts w:hint="eastAsia" w:ascii="Times New Roman" w:hAnsi="Times New Roman"/>
          <w:color w:val="000000" w:themeColor="text1"/>
          <w14:textFill>
            <w14:solidFill>
              <w14:schemeClr w14:val="tx1"/>
            </w14:solidFill>
          </w14:textFill>
        </w:rPr>
        <w:t>《建筑用节能玻璃光学及热工参数现场测量技术条件与计算方法》G</w:t>
      </w:r>
      <w:r>
        <w:rPr>
          <w:rFonts w:ascii="Times New Roman" w:hAnsi="Times New Roman"/>
          <w:color w:val="000000" w:themeColor="text1"/>
          <w14:textFill>
            <w14:solidFill>
              <w14:schemeClr w14:val="tx1"/>
            </w14:solidFill>
          </w14:textFill>
        </w:rPr>
        <w:t>B/T 36261的有关规定执行。</w:t>
      </w:r>
    </w:p>
    <w:p>
      <w:pPr>
        <w:pStyle w:val="69"/>
        <w:spacing w:before="120" w:after="120"/>
        <w:rPr>
          <w:lang w:bidi="en-US"/>
        </w:rPr>
      </w:pPr>
      <w:bookmarkStart w:id="89" w:name="bookmark44"/>
      <w:bookmarkStart w:id="90" w:name="bookmark46"/>
      <w:bookmarkStart w:id="91" w:name="bookmark45"/>
      <w:r>
        <w:rPr>
          <w:rFonts w:hint="eastAsia"/>
          <w:lang w:bidi="en-US"/>
        </w:rPr>
        <w:t>5.6</w:t>
      </w:r>
      <w:r>
        <w:rPr>
          <w:lang w:bidi="en-US"/>
        </w:rPr>
        <w:t xml:space="preserve"> </w:t>
      </w:r>
      <w:r>
        <w:rPr>
          <w:rFonts w:hint="eastAsia"/>
          <w:lang w:bidi="en-US"/>
        </w:rPr>
        <w:t>环境噪声检测</w:t>
      </w:r>
      <w:bookmarkEnd w:id="89"/>
      <w:bookmarkEnd w:id="90"/>
      <w:bookmarkEnd w:id="91"/>
    </w:p>
    <w:p>
      <w:pPr>
        <w:pStyle w:val="236"/>
        <w:spacing w:line="240" w:lineRule="auto"/>
        <w:ind w:firstLine="0"/>
        <w:jc w:val="left"/>
        <w:rPr>
          <w:rFonts w:eastAsia="PMingLiU"/>
          <w:color w:val="000000"/>
          <w:sz w:val="21"/>
          <w:szCs w:val="21"/>
        </w:rPr>
      </w:pPr>
      <w:r>
        <w:rPr>
          <w:rFonts w:hint="eastAsia"/>
          <w:color w:val="000000"/>
          <w:sz w:val="21"/>
          <w:szCs w:val="21"/>
          <w:lang w:val="en-US" w:eastAsia="zh-CN" w:bidi="en-US"/>
        </w:rPr>
        <w:t>5</w:t>
      </w:r>
      <w:r>
        <w:rPr>
          <w:color w:val="000000"/>
          <w:sz w:val="21"/>
          <w:szCs w:val="21"/>
          <w:lang w:val="en-US" w:eastAsia="zh-CN" w:bidi="en-US"/>
        </w:rPr>
        <w:t>.6.</w:t>
      </w:r>
      <w:r>
        <w:rPr>
          <w:rFonts w:hint="eastAsia"/>
          <w:color w:val="000000"/>
          <w:sz w:val="21"/>
          <w:szCs w:val="21"/>
          <w:lang w:val="en-US" w:eastAsia="zh-CN" w:bidi="en-US"/>
        </w:rPr>
        <w:t>1</w:t>
      </w:r>
      <w:r>
        <w:rPr>
          <w:color w:val="000000"/>
          <w:sz w:val="21"/>
          <w:szCs w:val="21"/>
        </w:rPr>
        <w:t>建筑周围环境噪声现场检测应按现行国家标准《声环境质量标准</w:t>
      </w:r>
      <w:r>
        <w:rPr>
          <w:rFonts w:hint="eastAsia"/>
          <w:color w:val="000000"/>
          <w:sz w:val="21"/>
          <w:szCs w:val="21"/>
          <w:lang w:val="en-US" w:eastAsia="zh-CN" w:bidi="en-US"/>
        </w:rPr>
        <w:t>》</w:t>
      </w:r>
      <w:r>
        <w:rPr>
          <w:color w:val="000000"/>
          <w:sz w:val="21"/>
          <w:szCs w:val="21"/>
          <w:lang w:val="en-US" w:eastAsia="zh-CN" w:bidi="en-US"/>
        </w:rPr>
        <w:t xml:space="preserve">GB </w:t>
      </w:r>
      <w:r>
        <w:rPr>
          <w:color w:val="000000"/>
          <w:sz w:val="21"/>
          <w:szCs w:val="21"/>
        </w:rPr>
        <w:t>3096 的有关规定执行。</w:t>
      </w:r>
    </w:p>
    <w:p>
      <w:pPr>
        <w:pStyle w:val="236"/>
        <w:spacing w:line="240" w:lineRule="auto"/>
        <w:ind w:firstLine="0"/>
        <w:jc w:val="left"/>
        <w:rPr>
          <w:rFonts w:eastAsia="PMingLiU"/>
          <w:color w:val="000000"/>
          <w:sz w:val="21"/>
          <w:szCs w:val="21"/>
        </w:rPr>
      </w:pPr>
      <w:r>
        <w:rPr>
          <w:rFonts w:hint="eastAsia"/>
          <w:color w:val="000000"/>
          <w:sz w:val="21"/>
          <w:szCs w:val="21"/>
          <w:lang w:val="en-US" w:eastAsia="zh-CN" w:bidi="en-US"/>
        </w:rPr>
        <w:t>5</w:t>
      </w:r>
      <w:r>
        <w:rPr>
          <w:color w:val="000000"/>
          <w:sz w:val="21"/>
          <w:szCs w:val="21"/>
          <w:lang w:val="en-US" w:eastAsia="zh-CN" w:bidi="en-US"/>
        </w:rPr>
        <w:t>.6.</w:t>
      </w:r>
      <w:r>
        <w:rPr>
          <w:rFonts w:hint="eastAsia"/>
          <w:color w:val="000000"/>
          <w:sz w:val="21"/>
          <w:szCs w:val="21"/>
          <w:lang w:val="en-US" w:eastAsia="zh-CN" w:bidi="en-US"/>
        </w:rPr>
        <w:t>2</w:t>
      </w:r>
      <w:r>
        <w:rPr>
          <w:color w:val="000000"/>
          <w:sz w:val="21"/>
          <w:szCs w:val="21"/>
        </w:rPr>
        <w:t>建筑周围环境噪声现场检测数量应根据建筑周边噪声源的特点进行</w:t>
      </w:r>
      <w:r>
        <w:rPr>
          <w:rFonts w:hint="eastAsia"/>
          <w:color w:val="000000"/>
          <w:sz w:val="21"/>
          <w:szCs w:val="21"/>
        </w:rPr>
        <w:t>确定</w:t>
      </w:r>
      <w:r>
        <w:rPr>
          <w:color w:val="000000"/>
          <w:sz w:val="21"/>
          <w:szCs w:val="21"/>
        </w:rPr>
        <w:t>， 其中单栋建筑不应少于4个测点，建筑群不应少于8个测点。当建筑物对噪声敏感时，应在离建筑物最近的方位增加不少于2个噪声检测点。</w:t>
      </w:r>
    </w:p>
    <w:p>
      <w:pPr>
        <w:pStyle w:val="69"/>
        <w:spacing w:before="120" w:after="120"/>
        <w:rPr>
          <w:lang w:bidi="en-US"/>
        </w:rPr>
      </w:pPr>
      <w:bookmarkStart w:id="92" w:name="bookmark50"/>
      <w:bookmarkStart w:id="93" w:name="bookmark52"/>
      <w:bookmarkStart w:id="94" w:name="bookmark51"/>
      <w:r>
        <w:rPr>
          <w:rFonts w:hint="eastAsia"/>
          <w:lang w:bidi="en-US"/>
        </w:rPr>
        <w:t>5.7</w:t>
      </w:r>
      <w:r>
        <w:rPr>
          <w:lang w:bidi="en-US"/>
        </w:rPr>
        <w:t xml:space="preserve"> </w:t>
      </w:r>
      <w:r>
        <w:rPr>
          <w:rFonts w:hint="eastAsia"/>
          <w:lang w:bidi="en-US"/>
        </w:rPr>
        <w:t>建筑周围热岛强度检测</w:t>
      </w:r>
      <w:bookmarkEnd w:id="92"/>
      <w:bookmarkEnd w:id="93"/>
      <w:bookmarkEnd w:id="94"/>
    </w:p>
    <w:p>
      <w:pPr>
        <w:pStyle w:val="236"/>
        <w:spacing w:line="240" w:lineRule="auto"/>
        <w:ind w:firstLine="0"/>
        <w:rPr>
          <w:rFonts w:eastAsia="PMingLiU"/>
          <w:color w:val="000000"/>
          <w:sz w:val="21"/>
          <w:szCs w:val="21"/>
        </w:rPr>
      </w:pPr>
      <w:r>
        <w:rPr>
          <w:rFonts w:hint="eastAsia"/>
          <w:color w:val="000000"/>
          <w:sz w:val="21"/>
          <w:szCs w:val="21"/>
          <w:lang w:val="en-US" w:eastAsia="zh-CN" w:bidi="en-US"/>
        </w:rPr>
        <w:t>5</w:t>
      </w:r>
      <w:r>
        <w:rPr>
          <w:color w:val="000000"/>
          <w:sz w:val="21"/>
          <w:szCs w:val="21"/>
          <w:lang w:val="en-US" w:eastAsia="zh-CN" w:bidi="en-US"/>
        </w:rPr>
        <w:t>.</w:t>
      </w:r>
      <w:r>
        <w:rPr>
          <w:rFonts w:hint="eastAsia"/>
          <w:color w:val="000000"/>
          <w:sz w:val="21"/>
          <w:szCs w:val="21"/>
          <w:lang w:val="en-US" w:eastAsia="zh-CN" w:bidi="en-US"/>
        </w:rPr>
        <w:t>7</w:t>
      </w:r>
      <w:r>
        <w:rPr>
          <w:color w:val="000000"/>
          <w:sz w:val="21"/>
          <w:szCs w:val="21"/>
          <w:lang w:val="en-US" w:eastAsia="zh-CN" w:bidi="en-US"/>
        </w:rPr>
        <w:t>.1</w:t>
      </w:r>
      <w:r>
        <w:rPr>
          <w:color w:val="000000"/>
          <w:sz w:val="21"/>
          <w:szCs w:val="21"/>
        </w:rPr>
        <w:t>绿色建筑检测过程中，宜对建筑周围热岛强度进行现场检测。</w:t>
      </w:r>
    </w:p>
    <w:p>
      <w:pPr>
        <w:pStyle w:val="236"/>
        <w:spacing w:line="240" w:lineRule="auto"/>
        <w:ind w:firstLine="0"/>
        <w:rPr>
          <w:color w:val="000000"/>
          <w:sz w:val="21"/>
          <w:szCs w:val="21"/>
        </w:rPr>
      </w:pPr>
      <w:r>
        <w:rPr>
          <w:rFonts w:hint="eastAsia"/>
          <w:color w:val="000000"/>
          <w:sz w:val="21"/>
          <w:szCs w:val="21"/>
          <w:lang w:val="en-US" w:eastAsia="zh-CN" w:bidi="en-US"/>
        </w:rPr>
        <w:t>5</w:t>
      </w:r>
      <w:r>
        <w:rPr>
          <w:color w:val="000000"/>
          <w:sz w:val="21"/>
          <w:szCs w:val="21"/>
          <w:lang w:val="en-US" w:eastAsia="zh-CN" w:bidi="en-US"/>
        </w:rPr>
        <w:t>.</w:t>
      </w:r>
      <w:r>
        <w:rPr>
          <w:rFonts w:hint="eastAsia"/>
          <w:color w:val="000000"/>
          <w:sz w:val="21"/>
          <w:szCs w:val="21"/>
          <w:lang w:val="en-US" w:eastAsia="zh-CN" w:bidi="en-US"/>
        </w:rPr>
        <w:t>7</w:t>
      </w:r>
      <w:r>
        <w:rPr>
          <w:color w:val="000000"/>
          <w:sz w:val="21"/>
          <w:szCs w:val="21"/>
          <w:lang w:val="en-US" w:eastAsia="zh-CN" w:bidi="en-US"/>
        </w:rPr>
        <w:t>.2</w:t>
      </w:r>
      <w:r>
        <w:rPr>
          <w:color w:val="000000"/>
          <w:sz w:val="21"/>
          <w:szCs w:val="21"/>
        </w:rPr>
        <w:t xml:space="preserve">建筑周围热岛强度现场检测可釆用温度测量方法或热成像测量方法进行。 </w:t>
      </w:r>
    </w:p>
    <w:p>
      <w:pPr>
        <w:pStyle w:val="236"/>
        <w:spacing w:line="240" w:lineRule="auto"/>
        <w:ind w:firstLine="0"/>
        <w:rPr>
          <w:rFonts w:ascii="Times New Roman" w:hAnsi="Times New Roman" w:cs="Times New Roman"/>
          <w:sz w:val="21"/>
          <w:szCs w:val="21"/>
        </w:rPr>
      </w:pPr>
      <w:r>
        <w:rPr>
          <w:color w:val="000000"/>
          <w:sz w:val="21"/>
          <w:szCs w:val="21"/>
          <w:lang w:val="en-US" w:eastAsia="zh-CN" w:bidi="en-US"/>
        </w:rPr>
        <w:t>5.</w:t>
      </w:r>
      <w:r>
        <w:rPr>
          <w:rFonts w:hint="eastAsia"/>
          <w:color w:val="000000"/>
          <w:sz w:val="21"/>
          <w:szCs w:val="21"/>
          <w:lang w:val="en-US" w:eastAsia="zh-CN" w:bidi="en-US"/>
        </w:rPr>
        <w:t>7</w:t>
      </w:r>
      <w:r>
        <w:rPr>
          <w:color w:val="000000"/>
          <w:sz w:val="21"/>
          <w:szCs w:val="21"/>
          <w:lang w:val="en-US" w:eastAsia="zh-CN" w:bidi="en-US"/>
        </w:rPr>
        <w:t>.3</w:t>
      </w:r>
      <w:r>
        <w:rPr>
          <w:rFonts w:ascii="Times New Roman" w:hAnsi="Times New Roman" w:cs="Times New Roman"/>
          <w:color w:val="000000"/>
          <w:sz w:val="21"/>
          <w:szCs w:val="21"/>
        </w:rPr>
        <w:t>建筑周围热岛强度温度测量方法应符合下列规定：</w:t>
      </w:r>
    </w:p>
    <w:p>
      <w:pPr>
        <w:pStyle w:val="178"/>
        <w:numPr>
          <w:ilvl w:val="0"/>
          <w:numId w:val="45"/>
        </w:numPr>
        <w:rPr>
          <w:rFonts w:ascii="Times New Roman"/>
          <w:szCs w:val="21"/>
        </w:rPr>
      </w:pPr>
      <w:r>
        <w:rPr>
          <w:rFonts w:hint="eastAsia" w:ascii="Times New Roman"/>
          <w:color w:val="000000"/>
          <w:szCs w:val="21"/>
        </w:rPr>
        <w:t xml:space="preserve"> </w:t>
      </w:r>
      <w:r>
        <w:rPr>
          <w:rFonts w:ascii="Times New Roman"/>
          <w:color w:val="000000"/>
          <w:szCs w:val="21"/>
        </w:rPr>
        <w:t>在建筑周围宜根据下垫面类型、面积，有代表性、均匀地设置测点，超过10层的建筑</w:t>
      </w:r>
    </w:p>
    <w:p>
      <w:pPr>
        <w:pStyle w:val="178"/>
        <w:numPr>
          <w:ilvl w:val="0"/>
          <w:numId w:val="0"/>
        </w:numPr>
        <w:ind w:left="425" w:hanging="425"/>
        <w:rPr>
          <w:rFonts w:ascii="Times New Roman"/>
          <w:szCs w:val="21"/>
        </w:rPr>
      </w:pPr>
      <w:r>
        <w:rPr>
          <w:rFonts w:ascii="Times New Roman"/>
          <w:color w:val="000000"/>
          <w:szCs w:val="21"/>
        </w:rPr>
        <w:t>宜在屋顶加设1个或2个测点</w:t>
      </w:r>
      <w:r>
        <w:rPr>
          <w:rFonts w:hint="eastAsia" w:ascii="Times New Roman"/>
          <w:color w:val="000000"/>
          <w:szCs w:val="21"/>
        </w:rPr>
        <w:t>；</w:t>
      </w:r>
    </w:p>
    <w:p>
      <w:pPr>
        <w:pStyle w:val="178"/>
        <w:numPr>
          <w:ilvl w:val="0"/>
          <w:numId w:val="45"/>
        </w:numPr>
        <w:rPr>
          <w:rFonts w:ascii="Times New Roman"/>
          <w:szCs w:val="21"/>
        </w:rPr>
      </w:pPr>
      <w:r>
        <w:rPr>
          <w:rFonts w:ascii="Times New Roman" w:eastAsia="PMingLiU"/>
          <w:color w:val="000000"/>
          <w:szCs w:val="21"/>
        </w:rPr>
        <w:t xml:space="preserve"> </w:t>
      </w:r>
      <w:r>
        <w:rPr>
          <w:rFonts w:ascii="Times New Roman"/>
          <w:color w:val="000000"/>
          <w:szCs w:val="21"/>
        </w:rPr>
        <w:t>室外空气温度测量应按现行行业标准《居住建筑节能检测标准》</w:t>
      </w:r>
      <w:r>
        <w:rPr>
          <w:rFonts w:ascii="Times New Roman"/>
          <w:color w:val="000000"/>
          <w:szCs w:val="21"/>
          <w:lang w:bidi="en-US"/>
        </w:rPr>
        <w:t xml:space="preserve">JGJ/T </w:t>
      </w:r>
      <w:r>
        <w:rPr>
          <w:rFonts w:ascii="Times New Roman"/>
          <w:color w:val="000000"/>
          <w:szCs w:val="21"/>
        </w:rPr>
        <w:t>132 的有关规</w:t>
      </w:r>
    </w:p>
    <w:p>
      <w:pPr>
        <w:pStyle w:val="178"/>
        <w:numPr>
          <w:ilvl w:val="0"/>
          <w:numId w:val="0"/>
        </w:numPr>
        <w:rPr>
          <w:rFonts w:ascii="Times New Roman"/>
          <w:szCs w:val="21"/>
        </w:rPr>
      </w:pPr>
      <w:r>
        <w:rPr>
          <w:rFonts w:ascii="Times New Roman"/>
          <w:color w:val="000000"/>
          <w:szCs w:val="21"/>
        </w:rPr>
        <w:t>定执行</w:t>
      </w:r>
      <w:r>
        <w:rPr>
          <w:rFonts w:hint="eastAsia" w:ascii="Times New Roman"/>
          <w:color w:val="000000"/>
          <w:szCs w:val="21"/>
        </w:rPr>
        <w:t>；</w:t>
      </w:r>
    </w:p>
    <w:p>
      <w:pPr>
        <w:pStyle w:val="178"/>
        <w:numPr>
          <w:ilvl w:val="0"/>
          <w:numId w:val="45"/>
        </w:numPr>
        <w:rPr>
          <w:rFonts w:ascii="Times New Roman"/>
          <w:szCs w:val="21"/>
        </w:rPr>
      </w:pPr>
      <w:r>
        <w:rPr>
          <w:rFonts w:ascii="Times New Roman" w:eastAsia="PMingLiU"/>
          <w:color w:val="000000"/>
          <w:szCs w:val="21"/>
        </w:rPr>
        <w:t xml:space="preserve"> </w:t>
      </w:r>
      <w:r>
        <w:rPr>
          <w:rFonts w:ascii="Times New Roman"/>
          <w:color w:val="000000"/>
          <w:szCs w:val="21"/>
        </w:rPr>
        <w:t>建筑周边温度可取夏季典型晴朗天气条件下连续</w:t>
      </w:r>
      <w:r>
        <w:rPr>
          <w:rFonts w:ascii="Times New Roman"/>
          <w:color w:val="000000"/>
          <w:szCs w:val="21"/>
          <w:lang w:bidi="en-US"/>
        </w:rPr>
        <w:t>3d</w:t>
      </w:r>
      <w:r>
        <w:rPr>
          <w:rFonts w:ascii="Times New Roman"/>
          <w:color w:val="000000"/>
          <w:szCs w:val="21"/>
        </w:rPr>
        <w:t>的8:00</w:t>
      </w:r>
      <w:r>
        <w:rPr>
          <w:rFonts w:hint="eastAsia" w:ascii="Times New Roman"/>
          <w:color w:val="000000"/>
          <w:szCs w:val="21"/>
        </w:rPr>
        <w:t>~</w:t>
      </w:r>
      <w:r>
        <w:rPr>
          <w:rFonts w:ascii="Times New Roman"/>
          <w:color w:val="000000"/>
          <w:szCs w:val="21"/>
        </w:rPr>
        <w:t>18:00之间的气温平均值</w:t>
      </w:r>
      <w:r>
        <w:rPr>
          <w:rFonts w:hint="eastAsia" w:ascii="Times New Roman"/>
          <w:color w:val="000000"/>
          <w:szCs w:val="21"/>
        </w:rPr>
        <w:t>；</w:t>
      </w:r>
    </w:p>
    <w:p>
      <w:pPr>
        <w:pStyle w:val="178"/>
        <w:numPr>
          <w:ilvl w:val="0"/>
          <w:numId w:val="45"/>
        </w:numPr>
        <w:rPr>
          <w:rFonts w:ascii="Times New Roman"/>
          <w:szCs w:val="21"/>
        </w:rPr>
      </w:pPr>
      <w:r>
        <w:rPr>
          <w:rFonts w:ascii="Times New Roman" w:eastAsia="PMingLiU"/>
          <w:color w:val="000000"/>
          <w:szCs w:val="21"/>
        </w:rPr>
        <w:t xml:space="preserve"> </w:t>
      </w:r>
      <w:r>
        <w:rPr>
          <w:rFonts w:ascii="Times New Roman"/>
          <w:color w:val="000000"/>
          <w:szCs w:val="21"/>
        </w:rPr>
        <w:t>郊区气象测点温度可从气象观测部门获取。</w:t>
      </w:r>
    </w:p>
    <w:p>
      <w:pPr>
        <w:pStyle w:val="236"/>
        <w:spacing w:line="240" w:lineRule="auto"/>
        <w:ind w:firstLine="0"/>
        <w:rPr>
          <w:sz w:val="21"/>
          <w:szCs w:val="21"/>
        </w:rPr>
      </w:pPr>
      <w:r>
        <w:rPr>
          <w:rFonts w:hint="eastAsia"/>
          <w:color w:val="000000"/>
          <w:sz w:val="21"/>
          <w:szCs w:val="21"/>
          <w:lang w:val="en-US" w:eastAsia="zh-CN" w:bidi="en-US"/>
        </w:rPr>
        <w:t>5</w:t>
      </w:r>
      <w:r>
        <w:rPr>
          <w:color w:val="000000"/>
          <w:sz w:val="21"/>
          <w:szCs w:val="21"/>
          <w:lang w:val="en-US" w:eastAsia="zh-CN" w:bidi="en-US"/>
        </w:rPr>
        <w:t>.</w:t>
      </w:r>
      <w:r>
        <w:rPr>
          <w:rFonts w:hint="eastAsia"/>
          <w:color w:val="000000"/>
          <w:sz w:val="21"/>
          <w:szCs w:val="21"/>
          <w:lang w:val="en-US" w:eastAsia="zh-CN" w:bidi="en-US"/>
        </w:rPr>
        <w:t>7</w:t>
      </w:r>
      <w:r>
        <w:rPr>
          <w:color w:val="000000"/>
          <w:sz w:val="21"/>
          <w:szCs w:val="21"/>
          <w:lang w:val="en-US" w:eastAsia="zh-CN" w:bidi="en-US"/>
        </w:rPr>
        <w:t>.4</w:t>
      </w:r>
      <w:r>
        <w:rPr>
          <w:color w:val="000000"/>
          <w:sz w:val="21"/>
          <w:szCs w:val="21"/>
        </w:rPr>
        <w:t>建筑周围热岛强度热成像测量方法应符合下列规定：</w:t>
      </w:r>
    </w:p>
    <w:p>
      <w:pPr>
        <w:pStyle w:val="178"/>
        <w:numPr>
          <w:ilvl w:val="0"/>
          <w:numId w:val="46"/>
        </w:numPr>
        <w:rPr>
          <w:szCs w:val="21"/>
        </w:rPr>
      </w:pPr>
      <w:r>
        <w:rPr>
          <w:rFonts w:eastAsia="PMingLiU"/>
          <w:color w:val="000000"/>
          <w:szCs w:val="21"/>
        </w:rPr>
        <w:t xml:space="preserve"> </w:t>
      </w:r>
      <w:r>
        <w:rPr>
          <w:color w:val="000000"/>
          <w:szCs w:val="21"/>
        </w:rPr>
        <w:t>核查热岛模拟分析报告，应根据热岛分析报告确定热岛强度测试范围</w:t>
      </w:r>
      <w:r>
        <w:rPr>
          <w:rFonts w:hint="eastAsia"/>
          <w:color w:val="000000"/>
          <w:szCs w:val="21"/>
        </w:rPr>
        <w:t>；</w:t>
      </w:r>
    </w:p>
    <w:p>
      <w:pPr>
        <w:pStyle w:val="178"/>
        <w:numPr>
          <w:ilvl w:val="0"/>
          <w:numId w:val="46"/>
        </w:numPr>
        <w:rPr>
          <w:szCs w:val="21"/>
        </w:rPr>
      </w:pPr>
      <w:r>
        <w:rPr>
          <w:rFonts w:eastAsia="PMingLiU"/>
          <w:color w:val="000000"/>
          <w:szCs w:val="21"/>
        </w:rPr>
        <w:t xml:space="preserve"> </w:t>
      </w:r>
      <w:r>
        <w:rPr>
          <w:color w:val="000000"/>
          <w:szCs w:val="21"/>
        </w:rPr>
        <w:t>可利用无人机搭载的热成像仪对建筑物或小区进行航拍，同时应在地面设置用于测量</w:t>
      </w:r>
    </w:p>
    <w:p>
      <w:pPr>
        <w:pStyle w:val="178"/>
        <w:numPr>
          <w:ilvl w:val="0"/>
          <w:numId w:val="0"/>
        </w:numPr>
        <w:rPr>
          <w:szCs w:val="21"/>
        </w:rPr>
      </w:pPr>
      <w:r>
        <w:rPr>
          <w:color w:val="000000"/>
          <w:szCs w:val="21"/>
        </w:rPr>
        <w:t>地表温度、空气温度、湿度、风速等的靶标传感器，地面靶标温度的检测应按现行行业标准《建筑热环境测试方法标准</w:t>
      </w:r>
      <w:r>
        <w:rPr>
          <w:rFonts w:hint="eastAsia" w:asciiTheme="minorEastAsia" w:hAnsiTheme="minorEastAsia" w:eastAsiaTheme="minorEastAsia"/>
          <w:color w:val="000000"/>
          <w:szCs w:val="21"/>
        </w:rPr>
        <w:t>》</w:t>
      </w:r>
      <w:r>
        <w:rPr>
          <w:color w:val="000000"/>
          <w:szCs w:val="21"/>
          <w:lang w:bidi="en-US"/>
        </w:rPr>
        <w:t xml:space="preserve">JGJ/T </w:t>
      </w:r>
      <w:r>
        <w:rPr>
          <w:color w:val="000000"/>
          <w:szCs w:val="21"/>
        </w:rPr>
        <w:t>347的有关规定进行</w:t>
      </w:r>
      <w:r>
        <w:rPr>
          <w:rFonts w:hint="eastAsia"/>
          <w:color w:val="000000"/>
          <w:szCs w:val="21"/>
        </w:rPr>
        <w:t>；</w:t>
      </w:r>
    </w:p>
    <w:p>
      <w:pPr>
        <w:pStyle w:val="178"/>
        <w:numPr>
          <w:ilvl w:val="0"/>
          <w:numId w:val="46"/>
        </w:numPr>
        <w:rPr>
          <w:szCs w:val="21"/>
        </w:rPr>
      </w:pPr>
      <w:r>
        <w:rPr>
          <w:rFonts w:eastAsia="PMingLiU"/>
          <w:color w:val="000000"/>
          <w:szCs w:val="21"/>
        </w:rPr>
        <w:t xml:space="preserve"> </w:t>
      </w:r>
      <w:r>
        <w:rPr>
          <w:color w:val="000000"/>
          <w:szCs w:val="21"/>
        </w:rPr>
        <w:t>测试应选取当地夏季典型晴朗天气，在</w:t>
      </w:r>
      <w:r>
        <w:rPr>
          <w:rFonts w:ascii="Times New Roman"/>
          <w:color w:val="000000"/>
          <w:szCs w:val="21"/>
        </w:rPr>
        <w:t>12:00</w:t>
      </w:r>
      <w:r>
        <w:rPr>
          <w:rFonts w:hint="eastAsia" w:ascii="Times New Roman"/>
          <w:color w:val="000000"/>
          <w:szCs w:val="21"/>
        </w:rPr>
        <w:t>~</w:t>
      </w:r>
      <w:r>
        <w:rPr>
          <w:rFonts w:ascii="Times New Roman"/>
          <w:color w:val="000000"/>
          <w:szCs w:val="21"/>
        </w:rPr>
        <w:t>14:00</w:t>
      </w:r>
      <w:r>
        <w:rPr>
          <w:color w:val="000000"/>
          <w:szCs w:val="21"/>
        </w:rPr>
        <w:t>时段内进行，无人机搭载的热成</w:t>
      </w:r>
    </w:p>
    <w:p>
      <w:pPr>
        <w:pStyle w:val="178"/>
        <w:numPr>
          <w:ilvl w:val="0"/>
          <w:numId w:val="0"/>
        </w:numPr>
        <w:rPr>
          <w:szCs w:val="21"/>
        </w:rPr>
      </w:pPr>
      <w:r>
        <w:rPr>
          <w:color w:val="000000"/>
          <w:szCs w:val="21"/>
        </w:rPr>
        <w:t>像仪航拍和地</w:t>
      </w:r>
      <w:r>
        <w:rPr>
          <w:rFonts w:hint="eastAsia"/>
          <w:color w:val="000000"/>
          <w:szCs w:val="21"/>
        </w:rPr>
        <w:t>面</w:t>
      </w:r>
      <w:r>
        <w:rPr>
          <w:color w:val="000000"/>
          <w:szCs w:val="21"/>
        </w:rPr>
        <w:t>靶标检测应同时进行</w:t>
      </w:r>
      <w:r>
        <w:rPr>
          <w:rFonts w:hint="eastAsia"/>
          <w:color w:val="000000"/>
          <w:szCs w:val="21"/>
        </w:rPr>
        <w:t>；</w:t>
      </w:r>
    </w:p>
    <w:p>
      <w:pPr>
        <w:pStyle w:val="178"/>
        <w:numPr>
          <w:ilvl w:val="0"/>
          <w:numId w:val="46"/>
        </w:numPr>
        <w:rPr>
          <w:szCs w:val="21"/>
        </w:rPr>
      </w:pPr>
      <w:r>
        <w:rPr>
          <w:rFonts w:eastAsia="PMingLiU"/>
          <w:color w:val="000000"/>
          <w:szCs w:val="21"/>
        </w:rPr>
        <w:t xml:space="preserve"> </w:t>
      </w:r>
      <w:r>
        <w:rPr>
          <w:color w:val="000000"/>
          <w:szCs w:val="21"/>
        </w:rPr>
        <w:t>利用无人机获得航拍影像应采用专业图像处理系统进行处理，正投影影像失真率应低</w:t>
      </w:r>
    </w:p>
    <w:p>
      <w:pPr>
        <w:pStyle w:val="178"/>
        <w:numPr>
          <w:ilvl w:val="0"/>
          <w:numId w:val="0"/>
        </w:numPr>
        <w:ind w:left="425" w:hanging="425"/>
        <w:rPr>
          <w:szCs w:val="21"/>
        </w:rPr>
      </w:pPr>
      <w:r>
        <w:rPr>
          <w:color w:val="000000"/>
          <w:szCs w:val="21"/>
        </w:rPr>
        <w:t>于5%</w:t>
      </w:r>
      <w:r>
        <w:rPr>
          <w:rFonts w:hint="eastAsia"/>
          <w:color w:val="000000"/>
          <w:szCs w:val="21"/>
        </w:rPr>
        <w:t>；</w:t>
      </w:r>
    </w:p>
    <w:p>
      <w:pPr>
        <w:pStyle w:val="178"/>
        <w:numPr>
          <w:ilvl w:val="0"/>
          <w:numId w:val="46"/>
        </w:numPr>
        <w:rPr>
          <w:color w:val="000000"/>
          <w:szCs w:val="21"/>
        </w:rPr>
      </w:pPr>
      <w:r>
        <w:rPr>
          <w:rFonts w:eastAsia="PMingLiU"/>
          <w:color w:val="000000"/>
          <w:szCs w:val="21"/>
        </w:rPr>
        <w:t xml:space="preserve"> </w:t>
      </w:r>
      <w:r>
        <w:rPr>
          <w:color w:val="000000"/>
          <w:szCs w:val="21"/>
        </w:rPr>
        <w:t>应利用地面靶标温度对影像进行校正，并计算热岛强度。</w:t>
      </w:r>
    </w:p>
    <w:p>
      <w:pPr>
        <w:pStyle w:val="236"/>
        <w:spacing w:line="240" w:lineRule="auto"/>
        <w:ind w:firstLine="0"/>
        <w:rPr>
          <w:color w:val="000000"/>
          <w:sz w:val="21"/>
          <w:szCs w:val="21"/>
        </w:rPr>
      </w:pPr>
    </w:p>
    <w:p>
      <w:pPr>
        <w:pStyle w:val="69"/>
        <w:spacing w:before="120" w:after="120"/>
        <w:rPr>
          <w:lang w:bidi="en-US"/>
        </w:rPr>
      </w:pPr>
      <w:r>
        <w:rPr>
          <w:rFonts w:hint="eastAsia"/>
          <w:lang w:bidi="en-US"/>
        </w:rPr>
        <w:t>5.8 人行及非机动车道路照明检测</w:t>
      </w:r>
    </w:p>
    <w:p>
      <w:pPr>
        <w:pStyle w:val="236"/>
        <w:spacing w:line="240" w:lineRule="auto"/>
        <w:ind w:firstLine="0"/>
        <w:rPr>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w:t>
      </w:r>
      <w:r>
        <w:rPr>
          <w:color w:val="000000" w:themeColor="text1"/>
          <w:sz w:val="21"/>
          <w:szCs w:val="21"/>
          <w:lang w:val="en-US" w:eastAsia="zh-CN"/>
          <w14:textFill>
            <w14:solidFill>
              <w14:schemeClr w14:val="tx1"/>
            </w14:solidFill>
          </w14:textFill>
        </w:rPr>
        <w:t>.8.1 人行</w:t>
      </w:r>
      <w:r>
        <w:rPr>
          <w:rFonts w:hint="eastAsia"/>
          <w:color w:val="000000" w:themeColor="text1"/>
          <w:sz w:val="21"/>
          <w:szCs w:val="21"/>
          <w:lang w:val="en-US" w:eastAsia="zh-CN"/>
          <w14:textFill>
            <w14:solidFill>
              <w14:schemeClr w14:val="tx1"/>
            </w14:solidFill>
          </w14:textFill>
        </w:rPr>
        <w:t>及非机动车</w:t>
      </w:r>
      <w:r>
        <w:rPr>
          <w:color w:val="000000" w:themeColor="text1"/>
          <w:sz w:val="21"/>
          <w:szCs w:val="21"/>
          <w:lang w:val="en-US" w:eastAsia="zh-CN"/>
          <w14:textFill>
            <w14:solidFill>
              <w14:schemeClr w14:val="tx1"/>
            </w14:solidFill>
          </w14:textFill>
        </w:rPr>
        <w:t>道路照明检测项目应包括：路面平均照度、路面最小照度、最小垂直照度。</w:t>
      </w:r>
    </w:p>
    <w:p>
      <w:pPr>
        <w:pStyle w:val="236"/>
        <w:spacing w:line="240" w:lineRule="auto"/>
        <w:ind w:firstLine="0"/>
        <w:rPr>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w:t>
      </w:r>
      <w:r>
        <w:rPr>
          <w:color w:val="000000" w:themeColor="text1"/>
          <w:sz w:val="21"/>
          <w:szCs w:val="21"/>
          <w:lang w:val="en-US" w:eastAsia="zh-CN"/>
          <w14:textFill>
            <w14:solidFill>
              <w14:schemeClr w14:val="tx1"/>
            </w14:solidFill>
          </w14:textFill>
        </w:rPr>
        <w:t>.8.2 人行</w:t>
      </w:r>
      <w:r>
        <w:rPr>
          <w:rFonts w:hint="eastAsia"/>
          <w:color w:val="000000" w:themeColor="text1"/>
          <w:sz w:val="21"/>
          <w:szCs w:val="21"/>
          <w:lang w:val="en-US" w:eastAsia="zh-CN"/>
          <w14:textFill>
            <w14:solidFill>
              <w14:schemeClr w14:val="tx1"/>
            </w14:solidFill>
          </w14:textFill>
        </w:rPr>
        <w:t>及非机动车</w:t>
      </w:r>
      <w:r>
        <w:rPr>
          <w:color w:val="000000" w:themeColor="text1"/>
          <w:sz w:val="21"/>
          <w:szCs w:val="21"/>
          <w:lang w:val="en-US" w:eastAsia="zh-CN"/>
          <w14:textFill>
            <w14:solidFill>
              <w14:schemeClr w14:val="tx1"/>
            </w14:solidFill>
          </w14:textFill>
        </w:rPr>
        <w:t>道路照明检测</w:t>
      </w:r>
      <w:r>
        <w:rPr>
          <w:rFonts w:hint="eastAsia"/>
          <w:color w:val="000000" w:themeColor="text1"/>
          <w:sz w:val="21"/>
          <w:szCs w:val="21"/>
          <w:lang w:val="en-US" w:eastAsia="zh-CN"/>
          <w14:textFill>
            <w14:solidFill>
              <w14:schemeClr w14:val="tx1"/>
            </w14:solidFill>
          </w14:textFill>
        </w:rPr>
        <w:t>的</w:t>
      </w:r>
      <w:r>
        <w:rPr>
          <w:color w:val="000000" w:themeColor="text1"/>
          <w:sz w:val="21"/>
          <w:szCs w:val="21"/>
          <w:lang w:val="en-US" w:eastAsia="zh-CN"/>
          <w14:textFill>
            <w14:solidFill>
              <w14:schemeClr w14:val="tx1"/>
            </w14:solidFill>
          </w14:textFill>
        </w:rPr>
        <w:t>检测数量与检测方法应符合现行国家标准《照明测量方法》GB/T 5700的规定。</w:t>
      </w:r>
    </w:p>
    <w:p>
      <w:pPr>
        <w:pStyle w:val="236"/>
        <w:spacing w:line="240" w:lineRule="auto"/>
        <w:ind w:firstLine="0"/>
        <w:outlineLvl w:val="2"/>
        <w:rPr>
          <w:lang w:bidi="en-US"/>
        </w:rPr>
      </w:pPr>
      <w:r>
        <w:rPr>
          <w:rFonts w:hint="eastAsia"/>
          <w:lang w:bidi="en-US"/>
        </w:rPr>
        <w:t>5.9 地面防滑性能检测</w:t>
      </w:r>
    </w:p>
    <w:p>
      <w:pPr>
        <w:pStyle w:val="236"/>
        <w:spacing w:line="240" w:lineRule="auto"/>
        <w:ind w:firstLine="0"/>
        <w:rPr>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5.9.1 地面防滑性能的抽样数量应符合现行行业标准《建筑地面工程防滑技术规程》JGJ/T 331的规定：</w:t>
      </w:r>
    </w:p>
    <w:p>
      <w:pPr>
        <w:pStyle w:val="236"/>
        <w:spacing w:line="240" w:lineRule="auto"/>
        <w:ind w:firstLine="0"/>
        <w:rPr>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5.9.2 地面防滑性能的检测方法应符合下列规定：</w:t>
      </w:r>
    </w:p>
    <w:p>
      <w:pPr>
        <w:pStyle w:val="178"/>
        <w:numPr>
          <w:ilvl w:val="0"/>
          <w:numId w:val="47"/>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潮湿地面的防滑性能以防滑值表示，应采用摆式防滑性能检测方法，且应符合现行国</w:t>
      </w:r>
    </w:p>
    <w:p>
      <w:pPr>
        <w:pStyle w:val="178"/>
        <w:numPr>
          <w:ilvl w:val="0"/>
          <w:numId w:val="0"/>
        </w:numPr>
        <w:ind w:left="425" w:hanging="425"/>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家标准《混凝土路面砖》G</w:t>
      </w:r>
      <w:r>
        <w:rPr>
          <w:color w:val="000000" w:themeColor="text1"/>
          <w:szCs w:val="21"/>
          <w14:textFill>
            <w14:solidFill>
              <w14:schemeClr w14:val="tx1"/>
            </w14:solidFill>
          </w14:textFill>
        </w:rPr>
        <w:t>B/T 28635</w:t>
      </w:r>
      <w:r>
        <w:rPr>
          <w:rFonts w:hint="eastAsia"/>
          <w:color w:val="000000" w:themeColor="text1"/>
          <w:szCs w:val="21"/>
          <w14:textFill>
            <w14:solidFill>
              <w14:schemeClr w14:val="tx1"/>
            </w14:solidFill>
          </w14:textFill>
        </w:rPr>
        <w:t>的规定，检测时，地面不应太潮湿，不得有明水；</w:t>
      </w:r>
    </w:p>
    <w:p>
      <w:pPr>
        <w:pStyle w:val="178"/>
        <w:numPr>
          <w:ilvl w:val="0"/>
          <w:numId w:val="46"/>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干态防滑地面的防滑性能以静摩擦系数表示，应采用卧式拉力计防滑性能检测方法，</w:t>
      </w:r>
    </w:p>
    <w:p>
      <w:pPr>
        <w:pStyle w:val="178"/>
        <w:numPr>
          <w:ilvl w:val="0"/>
          <w:numId w:val="0"/>
        </w:numPr>
        <w:ind w:left="425" w:hanging="425"/>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且应符合现行行业标准《地面石材防滑性能等级划分及试验方法》J</w:t>
      </w:r>
      <w:r>
        <w:rPr>
          <w:color w:val="000000" w:themeColor="text1"/>
          <w:szCs w:val="21"/>
          <w14:textFill>
            <w14:solidFill>
              <w14:schemeClr w14:val="tx1"/>
            </w14:solidFill>
          </w14:textFill>
        </w:rPr>
        <w:t>C/T 1050</w:t>
      </w:r>
      <w:r>
        <w:rPr>
          <w:rFonts w:hint="eastAsia"/>
          <w:color w:val="000000" w:themeColor="text1"/>
          <w:szCs w:val="21"/>
          <w14:textFill>
            <w14:solidFill>
              <w14:schemeClr w14:val="tx1"/>
            </w14:solidFill>
          </w14:textFill>
        </w:rPr>
        <w:t>的规定；</w:t>
      </w:r>
    </w:p>
    <w:p>
      <w:pPr>
        <w:pStyle w:val="178"/>
        <w:numPr>
          <w:ilvl w:val="0"/>
          <w:numId w:val="46"/>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地面防滑性能的防滑值，以及地面防滑性能的静摩擦系数，应按照现行行业标准《建</w:t>
      </w:r>
    </w:p>
    <w:p>
      <w:pPr>
        <w:pStyle w:val="178"/>
        <w:numPr>
          <w:ilvl w:val="0"/>
          <w:numId w:val="0"/>
        </w:num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筑地面工程防滑技术规程》J</w:t>
      </w:r>
      <w:r>
        <w:rPr>
          <w:color w:val="000000" w:themeColor="text1"/>
          <w:szCs w:val="21"/>
          <w14:textFill>
            <w14:solidFill>
              <w14:schemeClr w14:val="tx1"/>
            </w14:solidFill>
          </w14:textFill>
        </w:rPr>
        <w:t>GJ/T 331</w:t>
      </w:r>
      <w:r>
        <w:rPr>
          <w:rFonts w:hint="eastAsia"/>
          <w:color w:val="000000" w:themeColor="text1"/>
          <w:szCs w:val="21"/>
          <w14:textFill>
            <w14:solidFill>
              <w14:schemeClr w14:val="tx1"/>
            </w14:solidFill>
          </w14:textFill>
        </w:rPr>
        <w:t>的规定，换算为对应的防滑等级。</w:t>
      </w:r>
    </w:p>
    <w:p>
      <w:pPr>
        <w:pStyle w:val="69"/>
        <w:spacing w:before="120" w:after="120"/>
        <w:rPr>
          <w:lang w:bidi="en-US"/>
        </w:rPr>
      </w:pPr>
      <w:r>
        <w:rPr>
          <w:lang w:bidi="en-US"/>
        </w:rPr>
        <w:t xml:space="preserve">5.10  </w:t>
      </w:r>
      <w:r>
        <w:rPr>
          <w:rFonts w:hint="eastAsia"/>
          <w:lang w:bidi="en-US"/>
        </w:rPr>
        <w:t>透水铺装渗透系数检测</w:t>
      </w:r>
    </w:p>
    <w:p>
      <w:pPr>
        <w:spacing w:line="240" w:lineRule="auto"/>
        <w:rPr>
          <w:rFonts w:ascii="宋体" w:hAnsi="宋体"/>
        </w:rPr>
      </w:pPr>
      <w:r>
        <w:rPr>
          <w:rFonts w:ascii="宋体" w:hAnsi="宋体"/>
        </w:rPr>
        <w:t xml:space="preserve">5.10.1 </w:t>
      </w:r>
      <w:r>
        <w:rPr>
          <w:rFonts w:hint="eastAsia" w:ascii="宋体" w:hAnsi="宋体"/>
        </w:rPr>
        <w:t>同一类型的透水铺装设施抽检不应少于2处。</w:t>
      </w:r>
    </w:p>
    <w:p>
      <w:pPr>
        <w:spacing w:line="240" w:lineRule="auto"/>
        <w:rPr>
          <w:rFonts w:ascii="Times New Roman" w:hAnsi="Times New Roman"/>
          <w:sz w:val="24"/>
          <w:szCs w:val="24"/>
        </w:rPr>
      </w:pPr>
      <w:r>
        <w:rPr>
          <w:rFonts w:hint="eastAsia" w:ascii="宋体" w:hAnsi="宋体"/>
        </w:rPr>
        <w:t>5</w:t>
      </w:r>
      <w:r>
        <w:rPr>
          <w:rFonts w:ascii="宋体" w:hAnsi="宋体"/>
        </w:rPr>
        <w:t xml:space="preserve">.10.2 </w:t>
      </w:r>
      <w:r>
        <w:rPr>
          <w:rFonts w:hint="eastAsia" w:ascii="宋体" w:hAnsi="宋体"/>
        </w:rPr>
        <w:t>透水铺装设施中的透水沥青路面的渗透系数应按现行行业标准《公路路基路面现场测试规程》J</w:t>
      </w:r>
      <w:r>
        <w:rPr>
          <w:rFonts w:ascii="宋体" w:hAnsi="宋体"/>
        </w:rPr>
        <w:t>TG 3450</w:t>
      </w:r>
      <w:r>
        <w:rPr>
          <w:rFonts w:hint="eastAsia" w:ascii="宋体" w:hAnsi="宋体"/>
        </w:rPr>
        <w:t>的相关规定进行现场测试</w:t>
      </w:r>
      <w:r>
        <w:rPr>
          <w:rFonts w:ascii="宋体" w:hAnsi="宋体"/>
        </w:rPr>
        <w:t>。</w:t>
      </w:r>
    </w:p>
    <w:p>
      <w:pPr>
        <w:spacing w:line="240" w:lineRule="auto"/>
        <w:ind w:left="840" w:hanging="840" w:hangingChars="400"/>
        <w:rPr>
          <w:rFonts w:ascii="宋体" w:hAnsi="宋体"/>
        </w:rPr>
      </w:pPr>
      <w:r>
        <w:rPr>
          <w:rFonts w:ascii="宋体" w:hAnsi="宋体"/>
        </w:rPr>
        <w:t>5.10.3</w:t>
      </w:r>
      <w:r>
        <w:rPr>
          <w:rFonts w:hint="eastAsia" w:ascii="宋体" w:hAnsi="宋体"/>
        </w:rPr>
        <w:t>透水铺装设施中的透水混凝土的渗透系数检测方法应符合本文件附录</w:t>
      </w:r>
      <w:r>
        <w:rPr>
          <w:rFonts w:ascii="宋体" w:hAnsi="宋体"/>
        </w:rPr>
        <w:t>A</w:t>
      </w:r>
      <w:r>
        <w:rPr>
          <w:rFonts w:hint="eastAsia" w:ascii="宋体" w:hAnsi="宋体"/>
        </w:rPr>
        <w:t>的规定。</w:t>
      </w:r>
    </w:p>
    <w:p>
      <w:pPr>
        <w:spacing w:line="240" w:lineRule="auto"/>
        <w:rPr>
          <w:rFonts w:ascii="宋体" w:hAnsi="宋体"/>
        </w:rPr>
      </w:pPr>
      <w:r>
        <w:rPr>
          <w:rFonts w:hint="eastAsia" w:ascii="宋体" w:hAnsi="宋体"/>
        </w:rPr>
        <w:t>5</w:t>
      </w:r>
      <w:r>
        <w:rPr>
          <w:rFonts w:ascii="宋体" w:hAnsi="宋体"/>
        </w:rPr>
        <w:t>.10.4</w:t>
      </w:r>
      <w:r>
        <w:rPr>
          <w:rFonts w:hint="eastAsia" w:ascii="宋体" w:hAnsi="宋体"/>
        </w:rPr>
        <w:t xml:space="preserve"> 透水铺装设施中的透水砖、植草砖、鹅卵石和碎石等铺装设施的渗透性能检测分两种情况：若铺装设施的面层和找平层或砂垫层一下的结构层为混凝土等坚固基层，则采用本标规程附录</w:t>
      </w:r>
      <w:r>
        <w:rPr>
          <w:rFonts w:ascii="宋体" w:hAnsi="宋体"/>
        </w:rPr>
        <w:t>A</w:t>
      </w:r>
      <w:r>
        <w:rPr>
          <w:rFonts w:hint="eastAsia" w:ascii="宋体" w:hAnsi="宋体"/>
        </w:rPr>
        <w:t>的方法检测其渗透系数，并用该渗透系数表征透水铺装设施的渗透性能；若铺装设施的面层和找平层或砂垫层一下的结构层为松散的碎石、砂砾等基层，则采用本文件附录</w:t>
      </w:r>
      <w:r>
        <w:rPr>
          <w:rFonts w:ascii="宋体" w:hAnsi="宋体"/>
        </w:rPr>
        <w:t>B</w:t>
      </w:r>
      <w:r>
        <w:rPr>
          <w:rFonts w:hint="eastAsia" w:ascii="宋体" w:hAnsi="宋体"/>
        </w:rPr>
        <w:t>的方法检测其渗透系数，并用该渗透系数表征透水铺装设施的渗透性能。</w:t>
      </w:r>
    </w:p>
    <w:p>
      <w:pPr>
        <w:pStyle w:val="69"/>
        <w:spacing w:before="120" w:after="120"/>
      </w:pPr>
      <w:r>
        <w:rPr>
          <w:rFonts w:hint="eastAsia"/>
        </w:rPr>
        <w:t>5</w:t>
      </w:r>
      <w:r>
        <w:t xml:space="preserve">.11 </w:t>
      </w:r>
      <w:r>
        <w:rPr>
          <w:rFonts w:hint="eastAsia"/>
        </w:rPr>
        <w:t>土壤渗透系数检测</w:t>
      </w:r>
    </w:p>
    <w:p>
      <w:pPr>
        <w:pStyle w:val="98"/>
        <w:spacing w:before="0" w:beforeLines="0" w:after="0" w:afterLines="0"/>
        <w:outlineLvl w:val="9"/>
        <w:rPr>
          <w:rFonts w:ascii="宋体" w:hAnsi="宋体" w:eastAsia="宋体"/>
        </w:rPr>
      </w:pPr>
      <w:r>
        <w:rPr>
          <w:rFonts w:hint="eastAsia" w:ascii="宋体" w:hAnsi="宋体" w:eastAsia="宋体"/>
        </w:rPr>
        <w:t>5</w:t>
      </w:r>
      <w:r>
        <w:rPr>
          <w:rFonts w:ascii="宋体" w:hAnsi="宋体" w:eastAsia="宋体"/>
        </w:rPr>
        <w:t xml:space="preserve">.11.1 </w:t>
      </w:r>
      <w:r>
        <w:rPr>
          <w:rFonts w:hint="eastAsia" w:ascii="宋体" w:hAnsi="宋体" w:eastAsia="宋体"/>
        </w:rPr>
        <w:t>土壤渗透系数的检测对象应包括下凹绿地和生物滞留设施等。</w:t>
      </w:r>
    </w:p>
    <w:p>
      <w:pPr>
        <w:pStyle w:val="98"/>
        <w:spacing w:before="0" w:beforeLines="0" w:after="0" w:afterLines="0"/>
        <w:outlineLvl w:val="9"/>
        <w:rPr>
          <w:rFonts w:ascii="宋体" w:hAnsi="宋体" w:eastAsia="宋体"/>
        </w:rPr>
      </w:pPr>
      <w:r>
        <w:rPr>
          <w:rFonts w:ascii="宋体" w:hAnsi="宋体" w:eastAsia="宋体"/>
        </w:rPr>
        <w:t xml:space="preserve">5.11.2 </w:t>
      </w:r>
      <w:r>
        <w:rPr>
          <w:rFonts w:hint="eastAsia" w:ascii="宋体" w:hAnsi="宋体" w:eastAsia="宋体"/>
        </w:rPr>
        <w:t>同一类型的设施抽检不应少于2处。</w:t>
      </w:r>
    </w:p>
    <w:p>
      <w:pPr>
        <w:pStyle w:val="60"/>
        <w:ind w:firstLine="0" w:firstLineChars="0"/>
        <w:rPr>
          <w:rFonts w:hAnsi="宋体"/>
        </w:rPr>
      </w:pPr>
      <w:r>
        <w:rPr>
          <w:rFonts w:hint="eastAsia" w:hAnsi="宋体"/>
        </w:rPr>
        <w:t>5</w:t>
      </w:r>
      <w:r>
        <w:rPr>
          <w:rFonts w:hAnsi="宋体"/>
        </w:rPr>
        <w:t xml:space="preserve">.11.3 </w:t>
      </w:r>
      <w:r>
        <w:rPr>
          <w:rFonts w:hint="eastAsia" w:hAnsi="宋体"/>
        </w:rPr>
        <w:t>土壤渗透系数的检测方法应符合本文件附录</w:t>
      </w:r>
      <w:r>
        <w:rPr>
          <w:rFonts w:hAnsi="宋体"/>
        </w:rPr>
        <w:t>B</w:t>
      </w:r>
      <w:r>
        <w:rPr>
          <w:rFonts w:hint="eastAsia" w:hAnsi="宋体"/>
        </w:rPr>
        <w:t>的规定。</w:t>
      </w:r>
    </w:p>
    <w:p>
      <w:pPr>
        <w:pStyle w:val="236"/>
        <w:spacing w:line="240" w:lineRule="auto"/>
        <w:ind w:firstLine="0"/>
        <w:rPr>
          <w:rFonts w:eastAsia="PMingLiU"/>
          <w:color w:val="000000"/>
          <w:sz w:val="21"/>
          <w:szCs w:val="21"/>
          <w:lang w:val="en-US"/>
        </w:rPr>
      </w:pPr>
    </w:p>
    <w:p>
      <w:pPr>
        <w:pStyle w:val="69"/>
        <w:spacing w:before="120" w:after="120"/>
      </w:pPr>
      <w:r>
        <w:rPr>
          <w:rFonts w:hint="eastAsia"/>
        </w:rPr>
        <w:t>5</w:t>
      </w:r>
      <w:r>
        <w:t xml:space="preserve">.12 </w:t>
      </w:r>
      <w:r>
        <w:rPr>
          <w:rFonts w:hint="eastAsia"/>
        </w:rPr>
        <w:t>路面</w:t>
      </w:r>
      <w:r>
        <w:rPr>
          <w:rFonts w:hint="eastAsia"/>
          <w:color w:val="000000" w:themeColor="text1"/>
          <w14:textFill>
            <w14:solidFill>
              <w14:schemeClr w14:val="tx1"/>
            </w14:solidFill>
          </w14:textFill>
        </w:rPr>
        <w:t>/屋面</w:t>
      </w:r>
      <w:r>
        <w:rPr>
          <w:rFonts w:hint="eastAsia"/>
        </w:rPr>
        <w:t>太阳辐射反射系数检测</w:t>
      </w:r>
    </w:p>
    <w:p>
      <w:pPr>
        <w:pStyle w:val="98"/>
        <w:spacing w:before="0" w:beforeLines="0" w:after="0" w:afterLines="0"/>
        <w:outlineLvl w:val="9"/>
        <w:rPr>
          <w:rFonts w:ascii="宋体" w:hAnsi="宋体" w:eastAsia="宋体"/>
        </w:rPr>
      </w:pPr>
      <w:r>
        <w:rPr>
          <w:rFonts w:hint="eastAsia" w:ascii="宋体" w:hAnsi="宋体" w:eastAsia="宋体"/>
        </w:rPr>
        <w:t>5</w:t>
      </w:r>
      <w:r>
        <w:rPr>
          <w:rFonts w:ascii="宋体" w:hAnsi="宋体" w:eastAsia="宋体"/>
        </w:rPr>
        <w:t xml:space="preserve">.12.1 </w:t>
      </w:r>
      <w:r>
        <w:rPr>
          <w:rFonts w:hint="eastAsia" w:ascii="宋体" w:hAnsi="宋体" w:eastAsia="宋体"/>
        </w:rPr>
        <w:t>处于建筑阴影区域外的机动车道，应全数进行路面太阳辐射反射系数检测。</w:t>
      </w:r>
    </w:p>
    <w:p>
      <w:pPr>
        <w:pStyle w:val="60"/>
        <w:ind w:firstLine="0" w:firstLineChars="0"/>
      </w:pPr>
      <w:r>
        <w:t xml:space="preserve">5.12.2 </w:t>
      </w:r>
      <w:r>
        <w:rPr>
          <w:rFonts w:hint="eastAsia"/>
        </w:rPr>
        <w:t>路面/屋面太阳辐射反射系数的检测方法应符合本文件附录</w:t>
      </w:r>
      <w:r>
        <w:t>C</w:t>
      </w:r>
      <w:r>
        <w:rPr>
          <w:rFonts w:hint="eastAsia"/>
        </w:rPr>
        <w:t>的规定。</w:t>
      </w:r>
    </w:p>
    <w:p>
      <w:pPr>
        <w:pStyle w:val="60"/>
        <w:ind w:firstLine="0" w:firstLineChars="0"/>
        <w:sectPr>
          <w:footerReference r:id="rId17" w:type="default"/>
          <w:footerReference r:id="rId18" w:type="even"/>
          <w:pgSz w:w="11900" w:h="16840"/>
          <w:pgMar w:top="1303" w:right="1673" w:bottom="1328" w:left="1723" w:header="875" w:footer="3" w:gutter="0"/>
          <w:cols w:space="720" w:num="1"/>
          <w:docGrid w:linePitch="360" w:charSpace="0"/>
        </w:sectPr>
      </w:pPr>
    </w:p>
    <w:p>
      <w:pPr>
        <w:pStyle w:val="108"/>
        <w:spacing w:before="240" w:after="240"/>
        <w:ind w:left="0"/>
      </w:pPr>
      <w:bookmarkStart w:id="95" w:name="bookmark55"/>
      <w:bookmarkStart w:id="96" w:name="_Toc129855762"/>
      <w:bookmarkStart w:id="97" w:name="bookmark54"/>
      <w:bookmarkStart w:id="98" w:name="bookmark53"/>
      <w:bookmarkStart w:id="99" w:name="_Toc129698155"/>
      <w:bookmarkStart w:id="100" w:name="_Toc129782127"/>
      <w:bookmarkStart w:id="101" w:name="_Toc129855988"/>
      <w:r>
        <w:rPr>
          <w:rFonts w:hint="eastAsia"/>
        </w:rPr>
        <w:t>室内环境检测</w:t>
      </w:r>
      <w:bookmarkEnd w:id="95"/>
      <w:bookmarkEnd w:id="96"/>
      <w:bookmarkEnd w:id="97"/>
      <w:bookmarkEnd w:id="98"/>
      <w:bookmarkEnd w:id="99"/>
      <w:bookmarkEnd w:id="100"/>
      <w:bookmarkEnd w:id="101"/>
    </w:p>
    <w:p>
      <w:pPr>
        <w:pStyle w:val="69"/>
        <w:spacing w:before="120" w:after="120"/>
      </w:pPr>
      <w:bookmarkStart w:id="102" w:name="bookmark56"/>
      <w:bookmarkStart w:id="103" w:name="bookmark57"/>
      <w:bookmarkStart w:id="104" w:name="bookmark58"/>
      <w:r>
        <w:rPr>
          <w:rFonts w:hint="eastAsia"/>
          <w:b/>
          <w:bCs/>
          <w:lang w:bidi="en-US"/>
        </w:rPr>
        <w:t xml:space="preserve">6.1 </w:t>
      </w:r>
      <w:r>
        <w:rPr>
          <w:rFonts w:hint="eastAsia"/>
        </w:rPr>
        <w:t>一般规定</w:t>
      </w:r>
      <w:bookmarkEnd w:id="102"/>
      <w:bookmarkEnd w:id="103"/>
      <w:bookmarkEnd w:id="104"/>
    </w:p>
    <w:p>
      <w:pPr>
        <w:pStyle w:val="236"/>
        <w:spacing w:line="240" w:lineRule="auto"/>
        <w:ind w:firstLine="0"/>
        <w:rPr>
          <w:color w:val="000000"/>
          <w:sz w:val="21"/>
          <w:szCs w:val="21"/>
        </w:rPr>
      </w:pPr>
      <w:r>
        <w:rPr>
          <w:rFonts w:hint="eastAsia"/>
          <w:color w:val="000000"/>
          <w:sz w:val="21"/>
          <w:szCs w:val="21"/>
          <w:lang w:val="en-US" w:eastAsia="zh-CN" w:bidi="en-US"/>
        </w:rPr>
        <w:t>6</w:t>
      </w:r>
      <w:r>
        <w:rPr>
          <w:color w:val="000000"/>
          <w:sz w:val="21"/>
          <w:szCs w:val="21"/>
          <w:lang w:val="en-US" w:eastAsia="zh-CN" w:bidi="en-US"/>
        </w:rPr>
        <w:t xml:space="preserve">.1.1 </w:t>
      </w:r>
      <w:r>
        <w:rPr>
          <w:color w:val="000000"/>
          <w:sz w:val="21"/>
          <w:szCs w:val="21"/>
        </w:rPr>
        <w:t>绿色建筑室内环境检测项目宜包括声环境、光环境、热湿环境、室内空气质量等。</w:t>
      </w:r>
    </w:p>
    <w:p>
      <w:pPr>
        <w:spacing w:line="240" w:lineRule="auto"/>
        <w:rPr>
          <w:rFonts w:ascii="宋体" w:hAnsi="宋体"/>
          <w:color w:val="000000"/>
        </w:rPr>
      </w:pPr>
      <w:r>
        <w:rPr>
          <w:rFonts w:hint="eastAsia" w:ascii="宋体" w:hAnsi="宋体" w:cs="宋体"/>
          <w:color w:val="000000"/>
          <w:lang w:bidi="en-US"/>
        </w:rPr>
        <w:t>6</w:t>
      </w:r>
      <w:r>
        <w:rPr>
          <w:rFonts w:ascii="宋体" w:hAnsi="宋体" w:cs="宋体"/>
          <w:color w:val="000000"/>
          <w:lang w:bidi="en-US"/>
        </w:rPr>
        <w:t>.1.2</w:t>
      </w:r>
      <w:r>
        <w:rPr>
          <w:color w:val="000000"/>
        </w:rPr>
        <w:t>对建筑群体进行绿色建筑室内环境检测时，应抽取</w:t>
      </w:r>
      <w:r>
        <w:rPr>
          <w:rFonts w:hint="eastAsia" w:ascii="宋体" w:hAnsi="宋体"/>
          <w:color w:val="000000"/>
        </w:rPr>
        <w:t>每个建筑单体有代表性的房间进行检测。</w:t>
      </w:r>
    </w:p>
    <w:p>
      <w:pPr>
        <w:pStyle w:val="69"/>
        <w:spacing w:before="120" w:after="120"/>
        <w:rPr>
          <w:lang w:val="zh-CN" w:bidi="zh-CN"/>
        </w:rPr>
      </w:pPr>
      <w:bookmarkStart w:id="105" w:name="bookmark59"/>
      <w:bookmarkStart w:id="106" w:name="bookmark60"/>
      <w:bookmarkStart w:id="107" w:name="bookmark61"/>
      <w:r>
        <w:rPr>
          <w:rFonts w:hint="eastAsia"/>
          <w:lang w:bidi="zh-CN"/>
        </w:rPr>
        <w:t>6.2</w:t>
      </w:r>
      <w:r>
        <w:rPr>
          <w:rFonts w:hint="eastAsia"/>
          <w:lang w:val="zh-CN" w:bidi="zh-CN"/>
        </w:rPr>
        <w:t>声环境检测</w:t>
      </w:r>
      <w:bookmarkEnd w:id="105"/>
      <w:bookmarkEnd w:id="106"/>
      <w:bookmarkEnd w:id="107"/>
    </w:p>
    <w:p>
      <w:pPr>
        <w:pStyle w:val="236"/>
        <w:spacing w:line="240" w:lineRule="auto"/>
        <w:ind w:firstLine="0"/>
        <w:rPr>
          <w:rFonts w:eastAsia="PMingLiU"/>
          <w:color w:val="000000"/>
          <w:sz w:val="21"/>
          <w:szCs w:val="21"/>
        </w:rPr>
      </w:pPr>
      <w:bookmarkStart w:id="108" w:name="bookmark62"/>
      <w:bookmarkStart w:id="109" w:name="bookmark64"/>
      <w:bookmarkStart w:id="110" w:name="bookmark63"/>
      <w:r>
        <w:rPr>
          <w:rFonts w:hint="eastAsia"/>
          <w:color w:val="000000"/>
          <w:sz w:val="21"/>
          <w:szCs w:val="21"/>
        </w:rPr>
        <w:t>6.2.1声环境检测项目宜包括主要功能房间的室内噪声级、隔声性能、Z振级及混响时间。</w:t>
      </w:r>
    </w:p>
    <w:p>
      <w:pPr>
        <w:pStyle w:val="236"/>
        <w:spacing w:line="240" w:lineRule="auto"/>
        <w:ind w:firstLine="0"/>
        <w:rPr>
          <w:color w:val="000000"/>
          <w:sz w:val="21"/>
          <w:szCs w:val="21"/>
        </w:rPr>
      </w:pPr>
      <w:r>
        <w:rPr>
          <w:rFonts w:hint="eastAsia"/>
          <w:color w:val="000000"/>
          <w:sz w:val="21"/>
          <w:szCs w:val="21"/>
        </w:rPr>
        <w:t>6.2.2室内噪声级检测应符合下列规定：</w:t>
      </w:r>
    </w:p>
    <w:p>
      <w:pPr>
        <w:pStyle w:val="178"/>
        <w:numPr>
          <w:ilvl w:val="0"/>
          <w:numId w:val="48"/>
        </w:numPr>
      </w:pPr>
      <w:r>
        <w:rPr>
          <w:rFonts w:hint="eastAsia"/>
          <w:color w:val="000000"/>
        </w:rPr>
        <w:t xml:space="preserve"> 抽样数量：应涵盖按每栋建筑的各类主要功能</w:t>
      </w:r>
      <w:r>
        <w:rPr>
          <w:rFonts w:hint="eastAsia"/>
        </w:rPr>
        <w:t>房间，抽样的房间数量不少于房间总数的</w:t>
      </w:r>
    </w:p>
    <w:p>
      <w:pPr>
        <w:pStyle w:val="178"/>
        <w:numPr>
          <w:ilvl w:val="0"/>
          <w:numId w:val="0"/>
        </w:numPr>
        <w:ind w:left="425" w:hanging="425"/>
      </w:pPr>
      <w:r>
        <w:rPr>
          <w:rFonts w:hint="eastAsia"/>
        </w:rPr>
        <w:t>2%，且每个单体建筑中同一功能房间抽样数量不应少于3间</w:t>
      </w:r>
      <w:r>
        <w:rPr>
          <w:rFonts w:hint="eastAsia" w:ascii="等线" w:hAnsi="等线" w:eastAsia="等线"/>
        </w:rPr>
        <w:t>;</w:t>
      </w:r>
      <w:r>
        <w:rPr>
          <w:rFonts w:hint="eastAsia"/>
        </w:rPr>
        <w:t>若该类房间总数少于</w:t>
      </w:r>
      <w:r>
        <w:rPr>
          <w:rFonts w:hint="eastAsia" w:eastAsia="PMingLiU"/>
        </w:rPr>
        <w:t>3</w:t>
      </w:r>
      <w:r>
        <w:rPr>
          <w:rFonts w:hint="eastAsia"/>
        </w:rPr>
        <w:t>间时，应全</w:t>
      </w:r>
    </w:p>
    <w:p>
      <w:pPr>
        <w:pStyle w:val="178"/>
        <w:numPr>
          <w:ilvl w:val="0"/>
          <w:numId w:val="0"/>
        </w:numPr>
        <w:ind w:left="425" w:hanging="425"/>
      </w:pPr>
      <w:r>
        <w:rPr>
          <w:rFonts w:hint="eastAsia"/>
        </w:rPr>
        <w:t>数检测。</w:t>
      </w:r>
    </w:p>
    <w:p>
      <w:pPr>
        <w:pStyle w:val="178"/>
        <w:numPr>
          <w:ilvl w:val="0"/>
          <w:numId w:val="48"/>
        </w:numPr>
        <w:rPr>
          <w:rFonts w:eastAsia="PMingLiU"/>
          <w:szCs w:val="21"/>
        </w:rPr>
      </w:pPr>
      <w:r>
        <w:rPr>
          <w:szCs w:val="21"/>
        </w:rPr>
        <w:t xml:space="preserve"> </w:t>
      </w:r>
      <w:r>
        <w:rPr>
          <w:rFonts w:hint="eastAsia"/>
          <w:szCs w:val="21"/>
        </w:rPr>
        <w:t>检测方法：应符合现行国家标准《民用建筑隔声设计规范》GB 50118 的有关规定。</w:t>
      </w:r>
    </w:p>
    <w:p>
      <w:pPr>
        <w:pStyle w:val="236"/>
        <w:spacing w:line="240" w:lineRule="auto"/>
        <w:ind w:firstLine="0"/>
        <w:rPr>
          <w:sz w:val="21"/>
          <w:szCs w:val="21"/>
        </w:rPr>
      </w:pPr>
      <w:r>
        <w:rPr>
          <w:rFonts w:hint="eastAsia"/>
          <w:sz w:val="21"/>
          <w:szCs w:val="21"/>
        </w:rPr>
        <w:t>6.2.3隔声性能检测应包括：构件及相邻房间之间的空气声隔声性能、楼板的撞击声隔声性能，并应符合下列规定：</w:t>
      </w:r>
    </w:p>
    <w:p>
      <w:pPr>
        <w:pStyle w:val="178"/>
        <w:numPr>
          <w:ilvl w:val="0"/>
          <w:numId w:val="49"/>
        </w:numPr>
        <w:rPr>
          <w:szCs w:val="21"/>
        </w:rPr>
      </w:pPr>
      <w:r>
        <w:rPr>
          <w:rFonts w:hint="eastAsia" w:asciiTheme="minorEastAsia" w:hAnsiTheme="minorEastAsia" w:eastAsiaTheme="minorEastAsia"/>
          <w:szCs w:val="21"/>
        </w:rPr>
        <w:t xml:space="preserve"> </w:t>
      </w:r>
      <w:r>
        <w:rPr>
          <w:rFonts w:hint="eastAsia"/>
          <w:szCs w:val="21"/>
        </w:rPr>
        <w:t>抽样数量：室外与房间之间的空气声隔声性能、相邻房间之间的空气声隔声性能和楼板</w:t>
      </w:r>
    </w:p>
    <w:p>
      <w:pPr>
        <w:pStyle w:val="178"/>
        <w:numPr>
          <w:ilvl w:val="0"/>
          <w:numId w:val="0"/>
        </w:numPr>
        <w:rPr>
          <w:szCs w:val="21"/>
        </w:rPr>
      </w:pPr>
      <w:r>
        <w:rPr>
          <w:rFonts w:hint="eastAsia"/>
          <w:szCs w:val="21"/>
        </w:rPr>
        <w:t>的撞击声隔声性能现场检测应涵盖每栋建筑的各类主要功能房间，抽样的房间数量不少于房间总数的2%，且每个单体建筑中同一功能房间抽样数量不应少于</w:t>
      </w:r>
      <w:r>
        <w:rPr>
          <w:rFonts w:hint="eastAsia" w:eastAsia="PMingLiU"/>
          <w:szCs w:val="21"/>
        </w:rPr>
        <w:t>3</w:t>
      </w:r>
      <w:r>
        <w:rPr>
          <w:rFonts w:hint="eastAsia" w:ascii="等线" w:hAnsi="等线" w:eastAsia="等线"/>
          <w:szCs w:val="21"/>
        </w:rPr>
        <w:t>间；</w:t>
      </w:r>
      <w:r>
        <w:rPr>
          <w:rFonts w:hint="eastAsia"/>
          <w:szCs w:val="21"/>
        </w:rPr>
        <w:t>若该类房间总数少于</w:t>
      </w:r>
      <w:r>
        <w:rPr>
          <w:rFonts w:hint="eastAsia" w:eastAsia="PMingLiU"/>
          <w:szCs w:val="21"/>
        </w:rPr>
        <w:t>3</w:t>
      </w:r>
      <w:r>
        <w:rPr>
          <w:rFonts w:hint="eastAsia"/>
          <w:szCs w:val="21"/>
        </w:rPr>
        <w:t>间时，应全数检测。</w:t>
      </w:r>
    </w:p>
    <w:p>
      <w:pPr>
        <w:pStyle w:val="178"/>
        <w:numPr>
          <w:ilvl w:val="0"/>
          <w:numId w:val="48"/>
        </w:numPr>
        <w:rPr>
          <w:color w:val="000000"/>
          <w:szCs w:val="21"/>
        </w:rPr>
      </w:pPr>
      <w:r>
        <w:rPr>
          <w:rFonts w:asciiTheme="minorEastAsia" w:hAnsiTheme="minorEastAsia" w:eastAsiaTheme="minorEastAsia"/>
          <w:color w:val="000000"/>
          <w:szCs w:val="21"/>
        </w:rPr>
        <w:t xml:space="preserve"> </w:t>
      </w:r>
      <w:r>
        <w:rPr>
          <w:rFonts w:hint="eastAsia"/>
          <w:color w:val="000000"/>
          <w:szCs w:val="21"/>
        </w:rPr>
        <w:t>检测方法：现场隔声性能检测</w:t>
      </w:r>
      <w:r>
        <w:rPr>
          <w:rFonts w:hint="eastAsia"/>
        </w:rPr>
        <w:t>应依据现行国家标准</w:t>
      </w:r>
      <w:r>
        <w:rPr>
          <w:rFonts w:hint="eastAsia"/>
          <w:color w:val="000000"/>
          <w:szCs w:val="21"/>
        </w:rPr>
        <w:t>《声学 建筑和建筑构件隔声测量 第</w:t>
      </w:r>
    </w:p>
    <w:p>
      <w:pPr>
        <w:pStyle w:val="178"/>
        <w:numPr>
          <w:ilvl w:val="0"/>
          <w:numId w:val="0"/>
        </w:numPr>
        <w:rPr>
          <w:color w:val="000000"/>
          <w:szCs w:val="21"/>
        </w:rPr>
      </w:pPr>
      <w:r>
        <w:rPr>
          <w:rFonts w:hint="eastAsia"/>
          <w:color w:val="000000"/>
          <w:szCs w:val="21"/>
        </w:rPr>
        <w:t>4部分：房间之间空气声 隔声的现场测量》GB/T 19889.4、</w:t>
      </w:r>
      <w:r>
        <w:rPr>
          <w:rFonts w:hint="eastAsia"/>
        </w:rPr>
        <w:t>《声学建筑和建筑构件隔声测量 第5部分：外墙构件和外墙空气声隔声的现场测量》GB/T 19889.5、</w:t>
      </w:r>
      <w:r>
        <w:rPr>
          <w:rFonts w:hint="eastAsia"/>
          <w:color w:val="000000"/>
          <w:szCs w:val="21"/>
        </w:rPr>
        <w:t>《声学 建筑和建筑构件隔声测量 第7部分：楼板撞击声隔声的现场测量》GB/T 19889.7、《声学 建筑和建筑构件隔声测量 第</w:t>
      </w:r>
      <w:r>
        <w:rPr>
          <w:rFonts w:hint="eastAsia" w:eastAsia="PMingLiU"/>
          <w:color w:val="000000"/>
          <w:szCs w:val="21"/>
        </w:rPr>
        <w:t>14</w:t>
      </w:r>
      <w:r>
        <w:rPr>
          <w:rFonts w:hint="eastAsia"/>
          <w:color w:val="000000"/>
          <w:szCs w:val="21"/>
        </w:rPr>
        <w:t>部分：特殊现场测量导则》GB/T 19889.14等。</w:t>
      </w:r>
    </w:p>
    <w:p>
      <w:pPr>
        <w:pStyle w:val="236"/>
        <w:spacing w:line="240" w:lineRule="auto"/>
        <w:ind w:firstLine="0"/>
        <w:rPr>
          <w:color w:val="000000"/>
          <w:sz w:val="21"/>
          <w:szCs w:val="21"/>
        </w:rPr>
      </w:pPr>
      <w:r>
        <w:rPr>
          <w:rFonts w:hint="eastAsia"/>
          <w:color w:val="000000"/>
          <w:sz w:val="21"/>
          <w:szCs w:val="21"/>
        </w:rPr>
        <w:t>6.2.4 Z振级检测应符合下列规定：</w:t>
      </w:r>
    </w:p>
    <w:p>
      <w:pPr>
        <w:pStyle w:val="178"/>
        <w:numPr>
          <w:ilvl w:val="0"/>
          <w:numId w:val="50"/>
        </w:numPr>
        <w:rPr>
          <w:color w:val="000000"/>
          <w:szCs w:val="21"/>
        </w:rPr>
      </w:pPr>
      <w:r>
        <w:rPr>
          <w:color w:val="000000"/>
          <w:szCs w:val="21"/>
        </w:rPr>
        <w:t xml:space="preserve"> </w:t>
      </w:r>
      <w:r>
        <w:rPr>
          <w:rFonts w:hint="eastAsia"/>
          <w:color w:val="000000"/>
          <w:szCs w:val="21"/>
        </w:rPr>
        <w:t>抽样数量：抽取受建筑内部设备振动影响的最不利卧室、起居室房间，每个单体建筑中</w:t>
      </w:r>
    </w:p>
    <w:p>
      <w:pPr>
        <w:pStyle w:val="178"/>
        <w:numPr>
          <w:ilvl w:val="0"/>
          <w:numId w:val="0"/>
        </w:numPr>
        <w:rPr>
          <w:color w:val="000000"/>
          <w:szCs w:val="21"/>
        </w:rPr>
      </w:pPr>
      <w:r>
        <w:rPr>
          <w:rFonts w:hint="eastAsia"/>
          <w:color w:val="000000"/>
          <w:szCs w:val="21"/>
        </w:rPr>
        <w:t>受影响的房间检测数量不应少于3间。</w:t>
      </w:r>
    </w:p>
    <w:p>
      <w:pPr>
        <w:pStyle w:val="178"/>
        <w:numPr>
          <w:ilvl w:val="0"/>
          <w:numId w:val="48"/>
        </w:numPr>
        <w:rPr>
          <w:color w:val="000000"/>
          <w:szCs w:val="21"/>
        </w:rPr>
      </w:pPr>
      <w:r>
        <w:rPr>
          <w:color w:val="000000"/>
          <w:szCs w:val="21"/>
        </w:rPr>
        <w:t xml:space="preserve"> </w:t>
      </w:r>
      <w:r>
        <w:rPr>
          <w:rFonts w:hint="eastAsia"/>
          <w:color w:val="000000"/>
          <w:szCs w:val="21"/>
        </w:rPr>
        <w:t>检测方法：应按照《住宅建筑室内振动限值及其测量方法标准》GB/T 50355的规定进</w:t>
      </w:r>
    </w:p>
    <w:p>
      <w:pPr>
        <w:pStyle w:val="178"/>
        <w:numPr>
          <w:ilvl w:val="0"/>
          <w:numId w:val="0"/>
        </w:numPr>
        <w:rPr>
          <w:color w:val="000000"/>
          <w:szCs w:val="21"/>
        </w:rPr>
      </w:pPr>
      <w:r>
        <w:rPr>
          <w:rFonts w:hint="eastAsia"/>
          <w:color w:val="000000"/>
          <w:szCs w:val="21"/>
        </w:rPr>
        <w:t>行。</w:t>
      </w:r>
    </w:p>
    <w:p>
      <w:pPr>
        <w:pStyle w:val="236"/>
        <w:spacing w:line="240" w:lineRule="auto"/>
        <w:ind w:firstLine="0"/>
        <w:rPr>
          <w:rFonts w:eastAsia="PMingLiU"/>
          <w:sz w:val="21"/>
          <w:szCs w:val="21"/>
        </w:rPr>
      </w:pPr>
      <w:r>
        <w:rPr>
          <w:rFonts w:hint="eastAsia"/>
          <w:color w:val="000000"/>
          <w:sz w:val="21"/>
          <w:szCs w:val="21"/>
        </w:rPr>
        <w:t>6.2.5有声学设计要求的功能房间宜进行混响时间检测，并符合下列规定：</w:t>
      </w:r>
    </w:p>
    <w:p>
      <w:pPr>
        <w:pStyle w:val="178"/>
        <w:numPr>
          <w:ilvl w:val="0"/>
          <w:numId w:val="51"/>
        </w:numPr>
        <w:rPr>
          <w:color w:val="000000"/>
          <w:szCs w:val="21"/>
        </w:rPr>
      </w:pPr>
      <w:r>
        <w:rPr>
          <w:color w:val="000000"/>
          <w:szCs w:val="21"/>
        </w:rPr>
        <w:t xml:space="preserve"> </w:t>
      </w:r>
      <w:r>
        <w:rPr>
          <w:rFonts w:hint="eastAsia"/>
          <w:color w:val="000000"/>
          <w:szCs w:val="21"/>
        </w:rPr>
        <w:t>抽样数量：有声学设计要求的房间全数检测。</w:t>
      </w:r>
    </w:p>
    <w:p>
      <w:pPr>
        <w:pStyle w:val="178"/>
        <w:numPr>
          <w:ilvl w:val="0"/>
          <w:numId w:val="48"/>
        </w:numPr>
        <w:rPr>
          <w:color w:val="000000"/>
          <w:szCs w:val="21"/>
        </w:rPr>
      </w:pPr>
      <w:r>
        <w:rPr>
          <w:color w:val="000000"/>
          <w:szCs w:val="21"/>
        </w:rPr>
        <w:t xml:space="preserve"> </w:t>
      </w:r>
      <w:r>
        <w:rPr>
          <w:rFonts w:hint="eastAsia"/>
          <w:color w:val="000000"/>
          <w:szCs w:val="21"/>
        </w:rPr>
        <w:t>检测方法：按现行国家标准《室内混响时间测量规范》GB/T 50076的规定进行。</w:t>
      </w:r>
    </w:p>
    <w:p>
      <w:pPr>
        <w:pStyle w:val="69"/>
        <w:spacing w:before="120" w:after="120"/>
      </w:pPr>
      <w:r>
        <w:rPr>
          <w:rFonts w:hint="eastAsia"/>
          <w:lang w:bidi="zh-CN"/>
        </w:rPr>
        <w:t>6.3光环境检测</w:t>
      </w:r>
      <w:bookmarkEnd w:id="108"/>
      <w:bookmarkEnd w:id="109"/>
      <w:bookmarkEnd w:id="110"/>
    </w:p>
    <w:p>
      <w:pPr>
        <w:pStyle w:val="69"/>
        <w:spacing w:before="0" w:beforeLines="0" w:after="0" w:afterLines="0"/>
        <w:outlineLvl w:val="9"/>
        <w:rPr>
          <w:color w:val="000000"/>
          <w:szCs w:val="21"/>
        </w:rPr>
      </w:pPr>
      <w:bookmarkStart w:id="111" w:name="bookmark67"/>
      <w:bookmarkStart w:id="112" w:name="bookmark69"/>
      <w:bookmarkStart w:id="113" w:name="bookmark68"/>
      <w:r>
        <w:rPr>
          <w:rFonts w:hint="eastAsia" w:ascii="宋体" w:hAnsi="宋体" w:eastAsia="宋体"/>
        </w:rPr>
        <w:t>6.3.1绿色建筑室内自然采光检测应</w:t>
      </w:r>
      <w:r>
        <w:rPr>
          <w:rFonts w:hint="eastAsia" w:ascii="宋体" w:hAnsi="宋体" w:eastAsia="宋体"/>
          <w:color w:val="000000"/>
        </w:rPr>
        <w:t>包括</w:t>
      </w:r>
      <w:r>
        <w:rPr>
          <w:rFonts w:hint="eastAsia" w:ascii="宋体" w:hAnsi="宋体" w:eastAsia="宋体"/>
        </w:rPr>
        <w:t>室内采光系数、采光均匀度、反射比和颜色透射指数等指标，并应符合下列规定：</w:t>
      </w:r>
    </w:p>
    <w:p>
      <w:pPr>
        <w:pStyle w:val="178"/>
        <w:numPr>
          <w:ilvl w:val="0"/>
          <w:numId w:val="52"/>
        </w:numPr>
        <w:rPr>
          <w:rFonts w:hAnsi="宋体"/>
        </w:rPr>
      </w:pPr>
      <w:r>
        <w:rPr>
          <w:rFonts w:hAnsi="宋体"/>
          <w:color w:val="000000"/>
        </w:rPr>
        <w:t xml:space="preserve"> </w:t>
      </w:r>
      <w:r>
        <w:rPr>
          <w:rFonts w:hint="eastAsia" w:hAnsi="宋体"/>
          <w:color w:val="000000"/>
        </w:rPr>
        <w:t>抽样数量：每个单体建筑中同一功能房间抽样数量不应少于房间总数的5%,且不少于2</w:t>
      </w:r>
    </w:p>
    <w:p>
      <w:pPr>
        <w:pStyle w:val="178"/>
        <w:numPr>
          <w:ilvl w:val="0"/>
          <w:numId w:val="0"/>
        </w:numPr>
        <w:rPr>
          <w:rFonts w:hAnsi="宋体"/>
        </w:rPr>
      </w:pPr>
      <w:r>
        <w:rPr>
          <w:rFonts w:hint="eastAsia" w:hAnsi="宋体"/>
          <w:color w:val="000000"/>
        </w:rPr>
        <w:t>间进行检测。</w:t>
      </w:r>
    </w:p>
    <w:p>
      <w:pPr>
        <w:pStyle w:val="178"/>
        <w:numPr>
          <w:ilvl w:val="0"/>
          <w:numId w:val="48"/>
        </w:numPr>
        <w:rPr>
          <w:rFonts w:hAnsi="宋体"/>
        </w:rPr>
      </w:pPr>
      <w:r>
        <w:rPr>
          <w:rFonts w:hAnsi="宋体"/>
          <w:color w:val="000000"/>
        </w:rPr>
        <w:t xml:space="preserve"> </w:t>
      </w:r>
      <w:r>
        <w:rPr>
          <w:rFonts w:hint="eastAsia" w:hAnsi="宋体"/>
          <w:color w:val="000000"/>
        </w:rPr>
        <w:t>检测方法：</w:t>
      </w:r>
      <w:r>
        <w:rPr>
          <w:rFonts w:hint="eastAsia" w:hAnsi="宋体"/>
        </w:rPr>
        <w:t>应符合现行国家标准《采光测量方法》GB/T 5699的有关规定。</w:t>
      </w:r>
    </w:p>
    <w:p>
      <w:pPr>
        <w:pStyle w:val="69"/>
        <w:spacing w:before="120" w:after="120"/>
        <w:rPr>
          <w:lang w:bidi="zh-CN"/>
        </w:rPr>
      </w:pPr>
      <w:r>
        <w:rPr>
          <w:rFonts w:hint="eastAsia"/>
          <w:lang w:bidi="zh-CN"/>
        </w:rPr>
        <w:t>6.4热湿环境检测</w:t>
      </w:r>
      <w:bookmarkEnd w:id="111"/>
      <w:bookmarkEnd w:id="112"/>
      <w:bookmarkEnd w:id="113"/>
    </w:p>
    <w:p>
      <w:pPr>
        <w:pStyle w:val="69"/>
        <w:spacing w:before="120" w:after="120"/>
        <w:outlineLvl w:val="9"/>
        <w:rPr>
          <w:rFonts w:ascii="宋体" w:hAnsi="宋体" w:eastAsia="宋体"/>
          <w:color w:val="000000"/>
          <w:szCs w:val="21"/>
        </w:rPr>
      </w:pPr>
      <w:bookmarkStart w:id="114" w:name="bookmark70"/>
      <w:bookmarkStart w:id="115" w:name="bookmark71"/>
      <w:bookmarkStart w:id="116" w:name="bookmark72"/>
      <w:r>
        <w:rPr>
          <w:rFonts w:hint="eastAsia" w:ascii="宋体" w:hAnsi="宋体" w:eastAsia="宋体"/>
        </w:rPr>
        <w:t>6.4.1室内热湿环境检测</w:t>
      </w:r>
      <w:r>
        <w:rPr>
          <w:rFonts w:hint="eastAsia" w:ascii="宋体" w:hAnsi="宋体" w:eastAsia="宋体"/>
          <w:color w:val="000000"/>
        </w:rPr>
        <w:t>宜</w:t>
      </w:r>
      <w:r>
        <w:rPr>
          <w:rFonts w:hint="eastAsia" w:ascii="宋体" w:hAnsi="宋体" w:eastAsia="宋体"/>
        </w:rPr>
        <w:t>包括室内空气温度、空气流速、相对湿度及平均辐射温度，并</w:t>
      </w:r>
      <w:r>
        <w:rPr>
          <w:rFonts w:hint="eastAsia" w:ascii="宋体" w:hAnsi="宋体" w:eastAsia="宋体"/>
          <w:color w:val="000000"/>
        </w:rPr>
        <w:t>应符合下列规定：</w:t>
      </w:r>
    </w:p>
    <w:p>
      <w:pPr>
        <w:pStyle w:val="178"/>
        <w:numPr>
          <w:ilvl w:val="0"/>
          <w:numId w:val="53"/>
        </w:numPr>
        <w:rPr>
          <w:rFonts w:hAnsi="宋体"/>
        </w:rPr>
      </w:pPr>
      <w:r>
        <w:rPr>
          <w:rFonts w:hAnsi="宋体"/>
          <w:color w:val="000000"/>
        </w:rPr>
        <w:t xml:space="preserve"> </w:t>
      </w:r>
      <w:r>
        <w:rPr>
          <w:rFonts w:hint="eastAsia" w:hAnsi="宋体"/>
          <w:color w:val="000000"/>
        </w:rPr>
        <w:t>抽样数量：对于公共建筑，要求以标准层为基础，标准层各类房间抽样数量不少于该类</w:t>
      </w:r>
    </w:p>
    <w:p>
      <w:pPr>
        <w:pStyle w:val="178"/>
        <w:numPr>
          <w:ilvl w:val="0"/>
          <w:numId w:val="0"/>
        </w:numPr>
        <w:rPr>
          <w:rFonts w:hAnsi="宋体"/>
        </w:rPr>
      </w:pPr>
      <w:r>
        <w:rPr>
          <w:rFonts w:hint="eastAsia" w:hAnsi="宋体"/>
          <w:color w:val="000000"/>
        </w:rPr>
        <w:t>功能房间总数的2%，且每类房间抽样数量不少于3间，前厅、接待台类功能间可不少于1间。对于住宅建筑和宿舍建筑，要求抽样户数不少于总户数的2%，覆盖典型户型，且每个单体建筑不少于3户；同户型住宅，可抽检1户。</w:t>
      </w:r>
    </w:p>
    <w:p>
      <w:pPr>
        <w:pStyle w:val="178"/>
        <w:numPr>
          <w:ilvl w:val="0"/>
          <w:numId w:val="48"/>
        </w:numPr>
        <w:rPr>
          <w:rFonts w:hAnsi="宋体"/>
        </w:rPr>
      </w:pPr>
      <w:r>
        <w:rPr>
          <w:rFonts w:hAnsi="宋体"/>
          <w:color w:val="000000"/>
        </w:rPr>
        <w:t xml:space="preserve"> </w:t>
      </w:r>
      <w:r>
        <w:rPr>
          <w:rFonts w:hint="eastAsia" w:hAnsi="宋体"/>
          <w:color w:val="000000"/>
        </w:rPr>
        <w:t>检测方法：</w:t>
      </w:r>
      <w:r>
        <w:rPr>
          <w:rFonts w:hint="eastAsia" w:hAnsi="宋体"/>
        </w:rPr>
        <w:t>建筑室内空气温度、相对湿度和平均辐射温度的检测，应符合现行国家标准</w:t>
      </w:r>
    </w:p>
    <w:p>
      <w:pPr>
        <w:pStyle w:val="178"/>
        <w:numPr>
          <w:ilvl w:val="0"/>
          <w:numId w:val="0"/>
        </w:numPr>
        <w:rPr>
          <w:rFonts w:hAnsi="宋体"/>
        </w:rPr>
      </w:pPr>
      <w:r>
        <w:rPr>
          <w:rFonts w:hint="eastAsia" w:hAnsi="宋体"/>
        </w:rPr>
        <w:t>《民用建筑室内热湿环境评价标准》GB/T 50785的有关规定。建筑室内空气流速的检测应符合现行国家标准《公共场所卫生检验方法 第1部分：物理因素》GB/T 18204.1的有关规定。</w:t>
      </w:r>
    </w:p>
    <w:p>
      <w:pPr>
        <w:pStyle w:val="60"/>
        <w:ind w:firstLine="0" w:firstLineChars="0"/>
        <w:rPr>
          <w:rFonts w:hAnsi="宋体"/>
          <w:color w:val="000000"/>
        </w:rPr>
      </w:pPr>
      <w:r>
        <w:rPr>
          <w:rFonts w:hint="eastAsia" w:hAnsi="宋体"/>
        </w:rPr>
        <w:t>6.4.2 对于集中供暖空调系统的室内热湿环境检测，还宜包括新风量和二氧化碳浓度等指标，并</w:t>
      </w:r>
      <w:r>
        <w:rPr>
          <w:rFonts w:hint="eastAsia" w:hAnsi="宋体"/>
          <w:color w:val="000000"/>
        </w:rPr>
        <w:t>应符合下列规定：</w:t>
      </w:r>
    </w:p>
    <w:p>
      <w:pPr>
        <w:pStyle w:val="178"/>
        <w:numPr>
          <w:ilvl w:val="0"/>
          <w:numId w:val="54"/>
        </w:numPr>
        <w:rPr>
          <w:rFonts w:hAnsi="宋体"/>
          <w:color w:val="000000"/>
        </w:rPr>
      </w:pPr>
      <w:r>
        <w:rPr>
          <w:rFonts w:hAnsi="宋体"/>
          <w:color w:val="000000"/>
        </w:rPr>
        <w:t xml:space="preserve"> </w:t>
      </w:r>
      <w:r>
        <w:rPr>
          <w:rFonts w:hint="eastAsia" w:hAnsi="宋体"/>
          <w:color w:val="000000"/>
        </w:rPr>
        <w:t>抽样数量：室内新风量</w:t>
      </w:r>
      <w:r>
        <w:rPr>
          <w:rFonts w:hint="eastAsia" w:hAnsi="宋体"/>
        </w:rPr>
        <w:t>检测抽检比例不应少于新风系统数量的20%，不同风量的新风系</w:t>
      </w:r>
    </w:p>
    <w:p>
      <w:pPr>
        <w:pStyle w:val="178"/>
        <w:numPr>
          <w:ilvl w:val="0"/>
          <w:numId w:val="0"/>
        </w:numPr>
        <w:rPr>
          <w:rFonts w:hAnsi="宋体"/>
          <w:color w:val="000000"/>
        </w:rPr>
      </w:pPr>
      <w:r>
        <w:rPr>
          <w:rFonts w:hint="eastAsia" w:hAnsi="宋体"/>
        </w:rPr>
        <w:t>统不应少于1个。</w:t>
      </w:r>
      <w:r>
        <w:rPr>
          <w:rFonts w:hint="eastAsia" w:hAnsi="宋体"/>
          <w:color w:val="000000"/>
        </w:rPr>
        <w:t>室内</w:t>
      </w:r>
      <w:r>
        <w:rPr>
          <w:rFonts w:hint="eastAsia" w:hAnsi="宋体"/>
        </w:rPr>
        <w:t>二氧化碳浓度检测应包含主要功能房间，应选取具有代表性的房间进行检测，</w:t>
      </w:r>
      <w:r>
        <w:rPr>
          <w:rFonts w:hint="eastAsia" w:hAnsi="宋体"/>
          <w:color w:val="000000"/>
        </w:rPr>
        <w:t>对于公共建筑抽样房间数量不少于主要功能房间总数的2%，且每类房间抽样数量不少于3间。对于住宅建筑和宿舍建筑，抽样户数不少于总户数的2%，覆盖典型户型，且每个单体建筑不少于3户。</w:t>
      </w:r>
    </w:p>
    <w:p>
      <w:pPr>
        <w:pStyle w:val="178"/>
        <w:numPr>
          <w:ilvl w:val="0"/>
          <w:numId w:val="48"/>
        </w:numPr>
      </w:pPr>
      <w:r>
        <w:rPr>
          <w:rFonts w:hAnsi="宋体"/>
          <w:color w:val="000000"/>
        </w:rPr>
        <w:t xml:space="preserve"> </w:t>
      </w:r>
      <w:r>
        <w:rPr>
          <w:rFonts w:hint="eastAsia" w:hAnsi="宋体"/>
          <w:color w:val="000000"/>
        </w:rPr>
        <w:t>检测方法：室内新风量</w:t>
      </w:r>
      <w:r>
        <w:rPr>
          <w:rFonts w:hint="eastAsia" w:hAnsi="宋体"/>
        </w:rPr>
        <w:t>检测应符合《公共建筑节能检测标准》JGJ/T 177的规定。室内</w:t>
      </w:r>
    </w:p>
    <w:p>
      <w:pPr>
        <w:pStyle w:val="178"/>
        <w:numPr>
          <w:ilvl w:val="0"/>
          <w:numId w:val="0"/>
        </w:numPr>
      </w:pPr>
      <w:r>
        <w:rPr>
          <w:rFonts w:hint="eastAsia" w:hAnsi="宋体"/>
        </w:rPr>
        <w:t>二氧化碳浓度检测应符合现行国家标准《室内空气质量标准》</w:t>
      </w:r>
      <w:r>
        <w:rPr>
          <w:rFonts w:hint="eastAsia"/>
        </w:rPr>
        <w:t>GB/T 18883</w:t>
      </w:r>
      <w:r>
        <w:rPr>
          <w:rFonts w:hint="eastAsia" w:hAnsi="宋体"/>
        </w:rPr>
        <w:t>的规定。</w:t>
      </w:r>
    </w:p>
    <w:p>
      <w:pPr>
        <w:pStyle w:val="239"/>
        <w:keepNext/>
        <w:keepLines/>
        <w:spacing w:after="0" w:line="240" w:lineRule="auto"/>
        <w:jc w:val="left"/>
        <w:rPr>
          <w:rFonts w:ascii="黑体" w:hAnsi="黑体" w:eastAsia="黑体" w:cs="黑体"/>
          <w:color w:val="000000"/>
          <w:sz w:val="21"/>
          <w:szCs w:val="21"/>
          <w:lang w:val="en-US" w:eastAsia="zh-CN" w:bidi="zh-CN"/>
        </w:rPr>
      </w:pPr>
      <w:r>
        <w:rPr>
          <w:rFonts w:hint="eastAsia" w:ascii="黑体" w:hAnsi="黑体" w:eastAsia="黑体" w:cs="黑体"/>
          <w:color w:val="000000"/>
          <w:sz w:val="21"/>
          <w:szCs w:val="21"/>
          <w:lang w:val="en-US" w:eastAsia="zh-CN" w:bidi="zh-CN"/>
        </w:rPr>
        <w:t>6.5室内空气质量检测</w:t>
      </w:r>
      <w:bookmarkEnd w:id="114"/>
      <w:bookmarkEnd w:id="115"/>
      <w:bookmarkEnd w:id="116"/>
    </w:p>
    <w:p>
      <w:bookmarkStart w:id="117" w:name="bookmark73"/>
      <w:bookmarkStart w:id="118" w:name="bookmark75"/>
      <w:bookmarkStart w:id="119" w:name="bookmark74"/>
      <w:r>
        <w:rPr>
          <w:rFonts w:hint="eastAsia" w:ascii="宋体" w:hAnsi="宋体"/>
          <w:color w:val="000000"/>
        </w:rPr>
        <w:t>6.5.1室内空气质量检测项目应包括</w:t>
      </w:r>
      <w:r>
        <w:rPr>
          <w:rFonts w:hint="eastAsia" w:ascii="宋体" w:hAnsi="宋体"/>
        </w:rPr>
        <w:t>氡、甲醛、氨、苯、甲苯、二甲苯、TVOC、可吸入颗粒物等</w:t>
      </w:r>
      <w:r>
        <w:rPr>
          <w:rFonts w:hint="eastAsia" w:ascii="宋体" w:hAnsi="宋体"/>
          <w:color w:val="000000"/>
        </w:rPr>
        <w:t>。</w:t>
      </w:r>
    </w:p>
    <w:p>
      <w:pPr>
        <w:pStyle w:val="69"/>
        <w:spacing w:before="0" w:beforeLines="0" w:after="0" w:afterLines="0"/>
        <w:outlineLvl w:val="9"/>
        <w:rPr>
          <w:rFonts w:ascii="宋体" w:hAnsi="宋体" w:eastAsia="宋体"/>
        </w:rPr>
      </w:pPr>
      <w:r>
        <w:rPr>
          <w:rFonts w:hint="eastAsia" w:ascii="宋体" w:hAnsi="宋体" w:eastAsia="宋体"/>
        </w:rPr>
        <w:t>6.5.2室内空气</w:t>
      </w:r>
      <w:r>
        <w:rPr>
          <w:rFonts w:hint="eastAsia" w:ascii="宋体" w:hAnsi="宋体" w:eastAsia="宋体"/>
          <w:color w:val="000000"/>
        </w:rPr>
        <w:t>质量</w:t>
      </w:r>
      <w:r>
        <w:rPr>
          <w:rFonts w:hint="eastAsia" w:ascii="宋体" w:hAnsi="宋体" w:eastAsia="宋体"/>
        </w:rPr>
        <w:t>检测应符合下列规定：</w:t>
      </w:r>
    </w:p>
    <w:p>
      <w:pPr>
        <w:pStyle w:val="178"/>
        <w:numPr>
          <w:ilvl w:val="0"/>
          <w:numId w:val="55"/>
        </w:numPr>
        <w:rPr>
          <w:szCs w:val="21"/>
        </w:rPr>
      </w:pPr>
      <w:r>
        <w:rPr>
          <w:szCs w:val="21"/>
        </w:rPr>
        <w:t xml:space="preserve"> </w:t>
      </w:r>
      <w:r>
        <w:rPr>
          <w:rFonts w:hint="eastAsia"/>
          <w:szCs w:val="21"/>
        </w:rPr>
        <w:t>抽样数量：幼儿园、学校教室、学生宿舍、老年人照料房屋设施室内装饰装修验收时，</w:t>
      </w:r>
    </w:p>
    <w:p>
      <w:pPr>
        <w:pStyle w:val="178"/>
        <w:numPr>
          <w:ilvl w:val="0"/>
          <w:numId w:val="0"/>
        </w:numPr>
        <w:rPr>
          <w:szCs w:val="21"/>
        </w:rPr>
      </w:pPr>
      <w:r>
        <w:rPr>
          <w:rFonts w:hint="eastAsia"/>
          <w:szCs w:val="21"/>
        </w:rPr>
        <w:t>抽检量不得少于房间总数的50%，且不得少于20间，当房间总数不大于20间时，应全数检测。其余类型建筑，每栋单体建筑的典型房间抽样数量不少于房间总数的5%，且不少于3间，当总数少于3间时，应全数检测。</w:t>
      </w:r>
    </w:p>
    <w:p>
      <w:pPr>
        <w:pStyle w:val="178"/>
        <w:numPr>
          <w:ilvl w:val="0"/>
          <w:numId w:val="48"/>
        </w:numPr>
        <w:rPr>
          <w:rFonts w:ascii="Calibri" w:hAnsi="Calibri"/>
          <w:color w:val="000000" w:themeColor="text1"/>
          <w:szCs w:val="21"/>
          <w14:textFill>
            <w14:solidFill>
              <w14:schemeClr w14:val="tx1"/>
            </w14:solidFill>
          </w14:textFill>
        </w:rPr>
      </w:pPr>
      <w:r>
        <w:rPr>
          <w:rFonts w:asciiTheme="minorEastAsia" w:hAnsiTheme="minorEastAsia" w:eastAsiaTheme="minorEastAsia"/>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检测方法：</w:t>
      </w:r>
      <w:r>
        <w:rPr>
          <w:rFonts w:hint="eastAsia"/>
          <w:color w:val="000000" w:themeColor="text1"/>
          <w14:textFill>
            <w14:solidFill>
              <w14:schemeClr w14:val="tx1"/>
            </w14:solidFill>
          </w14:textFill>
        </w:rPr>
        <w:t>对于进行绿色建筑竣工验收的项目，检测方法应符合《民用建筑工程室内环</w:t>
      </w:r>
    </w:p>
    <w:p>
      <w:pPr>
        <w:pStyle w:val="178"/>
        <w:numPr>
          <w:ilvl w:val="0"/>
          <w:numId w:val="0"/>
        </w:numPr>
        <w:rPr>
          <w:rFonts w:ascii="Calibri" w:hAnsi="Calibri"/>
          <w:color w:val="000000" w:themeColor="text1"/>
          <w:szCs w:val="21"/>
          <w14:textFill>
            <w14:solidFill>
              <w14:schemeClr w14:val="tx1"/>
            </w14:solidFill>
          </w14:textFill>
        </w:rPr>
      </w:pPr>
      <w:r>
        <w:rPr>
          <w:rFonts w:hint="eastAsia"/>
          <w:color w:val="000000" w:themeColor="text1"/>
          <w14:textFill>
            <w14:solidFill>
              <w14:schemeClr w14:val="tx1"/>
            </w14:solidFill>
          </w14:textFill>
        </w:rPr>
        <w:t>境污染控制标准》G</w:t>
      </w:r>
      <w:r>
        <w:rPr>
          <w:color w:val="000000" w:themeColor="text1"/>
          <w14:textFill>
            <w14:solidFill>
              <w14:schemeClr w14:val="tx1"/>
            </w14:solidFill>
          </w14:textFill>
        </w:rPr>
        <w:t>B 50325</w:t>
      </w:r>
      <w:r>
        <w:rPr>
          <w:rFonts w:hint="eastAsia"/>
          <w:color w:val="000000" w:themeColor="text1"/>
          <w14:textFill>
            <w14:solidFill>
              <w14:schemeClr w14:val="tx1"/>
            </w14:solidFill>
          </w14:textFill>
        </w:rPr>
        <w:t>的规定；对于进行绿色建筑评价的项目，检测方法应符合《室内空气质量标准》G</w:t>
      </w:r>
      <w:r>
        <w:rPr>
          <w:color w:val="000000" w:themeColor="text1"/>
          <w14:textFill>
            <w14:solidFill>
              <w14:schemeClr w14:val="tx1"/>
            </w14:solidFill>
          </w14:textFill>
        </w:rPr>
        <w:t>B/T 18883</w:t>
      </w:r>
      <w:r>
        <w:rPr>
          <w:rFonts w:hint="eastAsia"/>
          <w:color w:val="000000" w:themeColor="text1"/>
          <w14:textFill>
            <w14:solidFill>
              <w14:schemeClr w14:val="tx1"/>
            </w14:solidFill>
          </w14:textFill>
        </w:rPr>
        <w:t>的规定</w:t>
      </w:r>
      <w:r>
        <w:rPr>
          <w:rFonts w:hint="eastAsia" w:ascii="Calibri" w:hAnsi="Calibri"/>
          <w:color w:val="000000" w:themeColor="text1"/>
          <w:szCs w:val="21"/>
          <w14:textFill>
            <w14:solidFill>
              <w14:schemeClr w14:val="tx1"/>
            </w14:solidFill>
          </w14:textFill>
        </w:rPr>
        <w:t>。</w:t>
      </w:r>
    </w:p>
    <w:bookmarkEnd w:id="117"/>
    <w:bookmarkEnd w:id="118"/>
    <w:bookmarkEnd w:id="119"/>
    <w:p>
      <w:pPr>
        <w:widowControl/>
        <w:adjustRightInd/>
        <w:spacing w:line="240" w:lineRule="auto"/>
        <w:jc w:val="left"/>
        <w:rPr>
          <w:rFonts w:ascii="Times New Roman" w:hAnsi="Times New Roman"/>
          <w:color w:val="000000"/>
          <w:lang w:val="zh-TW" w:eastAsia="zh-TW" w:bidi="zh-TW"/>
        </w:rPr>
      </w:pPr>
      <w:r>
        <w:rPr>
          <w:rFonts w:ascii="Times New Roman" w:hAnsi="Times New Roman"/>
          <w:color w:val="000000"/>
        </w:rPr>
        <w:br w:type="page"/>
      </w:r>
    </w:p>
    <w:p>
      <w:pPr>
        <w:pStyle w:val="108"/>
        <w:spacing w:before="240" w:after="240"/>
        <w:ind w:left="0"/>
      </w:pPr>
      <w:bookmarkStart w:id="120" w:name="_Toc129855989"/>
      <w:bookmarkStart w:id="121" w:name="bookmark79"/>
      <w:bookmarkStart w:id="122" w:name="bookmark81"/>
      <w:bookmarkStart w:id="123" w:name="bookmark80"/>
      <w:bookmarkStart w:id="124" w:name="_Toc129698156"/>
      <w:bookmarkStart w:id="125" w:name="_Toc129782128"/>
      <w:bookmarkStart w:id="126" w:name="_Toc129855763"/>
      <w:r>
        <w:rPr>
          <w:rFonts w:hint="eastAsia"/>
        </w:rPr>
        <w:t>外围护结构性能检测</w:t>
      </w:r>
      <w:bookmarkEnd w:id="120"/>
      <w:bookmarkEnd w:id="121"/>
      <w:bookmarkEnd w:id="122"/>
      <w:bookmarkEnd w:id="123"/>
      <w:bookmarkEnd w:id="124"/>
      <w:bookmarkEnd w:id="125"/>
      <w:bookmarkEnd w:id="126"/>
    </w:p>
    <w:p>
      <w:pPr>
        <w:pStyle w:val="69"/>
        <w:spacing w:before="120" w:after="120"/>
        <w:rPr>
          <w:lang w:bidi="zh-CN"/>
        </w:rPr>
      </w:pPr>
      <w:bookmarkStart w:id="127" w:name="bookmark83"/>
      <w:bookmarkStart w:id="128" w:name="bookmark84"/>
      <w:bookmarkStart w:id="129" w:name="bookmark82"/>
      <w:r>
        <w:rPr>
          <w:rFonts w:hint="eastAsia"/>
          <w:lang w:bidi="zh-CN"/>
        </w:rPr>
        <w:t>7.1 一般规定</w:t>
      </w:r>
      <w:bookmarkEnd w:id="127"/>
      <w:bookmarkEnd w:id="128"/>
      <w:bookmarkEnd w:id="129"/>
    </w:p>
    <w:p>
      <w:pPr>
        <w:pStyle w:val="236"/>
        <w:spacing w:line="240" w:lineRule="auto"/>
        <w:ind w:firstLine="0"/>
        <w:rPr>
          <w:sz w:val="21"/>
          <w:szCs w:val="21"/>
        </w:rPr>
      </w:pPr>
      <w:r>
        <w:rPr>
          <w:rFonts w:hint="eastAsia"/>
          <w:color w:val="000000"/>
          <w:sz w:val="21"/>
          <w:szCs w:val="21"/>
          <w:lang w:val="en-US" w:eastAsia="zh-CN" w:bidi="en-US"/>
        </w:rPr>
        <w:t>7.1.1外</w:t>
      </w:r>
      <w:r>
        <w:rPr>
          <w:rFonts w:hint="eastAsia"/>
          <w:color w:val="000000"/>
          <w:sz w:val="21"/>
          <w:szCs w:val="21"/>
        </w:rPr>
        <w:t>围护结构性能检测项目包括非透光围护结构热工性能</w:t>
      </w:r>
      <w:r>
        <w:rPr>
          <w:rFonts w:hint="eastAsia"/>
          <w:color w:val="000000"/>
          <w:sz w:val="21"/>
          <w:szCs w:val="21"/>
          <w:lang w:eastAsia="zh-CN"/>
        </w:rPr>
        <w:t>，透光围护结构性能</w:t>
      </w:r>
      <w:r>
        <w:rPr>
          <w:rFonts w:hint="eastAsia"/>
          <w:color w:val="000000"/>
          <w:sz w:val="21"/>
          <w:szCs w:val="21"/>
        </w:rPr>
        <w:t>以及建筑整体气密性能。</w:t>
      </w:r>
    </w:p>
    <w:p>
      <w:pPr>
        <w:pStyle w:val="236"/>
        <w:spacing w:line="240" w:lineRule="auto"/>
        <w:ind w:firstLine="0"/>
        <w:rPr>
          <w:color w:val="000000"/>
          <w:sz w:val="21"/>
          <w:szCs w:val="21"/>
          <w:lang w:val="en-US" w:eastAsia="zh-CN" w:bidi="en-US"/>
        </w:rPr>
      </w:pPr>
      <w:r>
        <w:rPr>
          <w:rFonts w:hint="eastAsia"/>
          <w:color w:val="000000"/>
          <w:sz w:val="21"/>
          <w:szCs w:val="21"/>
          <w:lang w:val="en-US" w:eastAsia="zh-CN" w:bidi="en-US"/>
        </w:rPr>
        <w:t>7.1.2外</w:t>
      </w:r>
      <w:r>
        <w:rPr>
          <w:rFonts w:hint="eastAsia"/>
          <w:color w:val="000000"/>
          <w:sz w:val="21"/>
          <w:szCs w:val="21"/>
        </w:rPr>
        <w:t>围护结构性能检测应抽取有代表性的单体建筑进行，抽测数量不应少于建筑总数的10%,且不应少于2栋；当建筑总数少于2栋时，应全数检测。</w:t>
      </w:r>
    </w:p>
    <w:p>
      <w:pPr>
        <w:pStyle w:val="69"/>
        <w:spacing w:before="120" w:after="120"/>
        <w:rPr>
          <w:lang w:bidi="zh-CN"/>
        </w:rPr>
      </w:pPr>
      <w:bookmarkStart w:id="130" w:name="bookmark86"/>
      <w:bookmarkStart w:id="131" w:name="bookmark87"/>
      <w:bookmarkStart w:id="132" w:name="bookmark85"/>
      <w:r>
        <w:rPr>
          <w:rFonts w:hint="eastAsia"/>
          <w:lang w:bidi="zh-CN"/>
        </w:rPr>
        <w:t>7.2非透光围护结构热工性能检测</w:t>
      </w:r>
      <w:bookmarkEnd w:id="130"/>
      <w:bookmarkEnd w:id="131"/>
      <w:bookmarkEnd w:id="132"/>
    </w:p>
    <w:p>
      <w:pPr>
        <w:pStyle w:val="236"/>
        <w:numPr>
          <w:ilvl w:val="0"/>
          <w:numId w:val="56"/>
        </w:numPr>
        <w:spacing w:line="240" w:lineRule="auto"/>
        <w:ind w:hanging="1016"/>
        <w:rPr>
          <w:sz w:val="21"/>
          <w:szCs w:val="21"/>
        </w:rPr>
      </w:pPr>
      <w:r>
        <w:rPr>
          <w:rFonts w:hint="eastAsia"/>
          <w:color w:val="000000"/>
          <w:sz w:val="21"/>
          <w:szCs w:val="21"/>
          <w:lang w:eastAsia="zh-CN"/>
        </w:rPr>
        <w:t xml:space="preserve"> </w:t>
      </w:r>
      <w:r>
        <w:rPr>
          <w:rFonts w:hint="eastAsia"/>
          <w:color w:val="000000"/>
          <w:sz w:val="21"/>
          <w:szCs w:val="21"/>
        </w:rPr>
        <w:t>非透光围护结构热工性能检测项目包括传热系数、热桥部位内表面温度、 热工缺陷和隔</w:t>
      </w:r>
    </w:p>
    <w:p>
      <w:pPr>
        <w:pStyle w:val="236"/>
        <w:spacing w:line="240" w:lineRule="auto"/>
        <w:ind w:firstLine="0"/>
        <w:rPr>
          <w:rFonts w:eastAsia="PMingLiU"/>
          <w:color w:val="000000"/>
          <w:sz w:val="21"/>
          <w:szCs w:val="21"/>
        </w:rPr>
      </w:pPr>
      <w:r>
        <w:rPr>
          <w:rFonts w:hint="eastAsia"/>
          <w:color w:val="000000"/>
          <w:sz w:val="21"/>
          <w:szCs w:val="21"/>
        </w:rPr>
        <w:t>热性能。</w:t>
      </w:r>
    </w:p>
    <w:p>
      <w:pPr>
        <w:pStyle w:val="236"/>
        <w:numPr>
          <w:ilvl w:val="0"/>
          <w:numId w:val="56"/>
        </w:numPr>
        <w:spacing w:line="240" w:lineRule="auto"/>
        <w:ind w:hanging="1016"/>
        <w:rPr>
          <w:rFonts w:eastAsia="PMingLiU"/>
          <w:color w:val="000000"/>
          <w:sz w:val="21"/>
          <w:szCs w:val="21"/>
        </w:rPr>
      </w:pPr>
      <w:r>
        <w:rPr>
          <w:rFonts w:hint="eastAsia"/>
          <w:color w:val="000000"/>
          <w:sz w:val="21"/>
          <w:szCs w:val="21"/>
          <w:lang w:eastAsia="zh-CN"/>
        </w:rPr>
        <w:t xml:space="preserve"> </w:t>
      </w:r>
      <w:r>
        <w:rPr>
          <w:rFonts w:hint="eastAsia"/>
          <w:color w:val="000000"/>
          <w:sz w:val="21"/>
          <w:szCs w:val="21"/>
        </w:rPr>
        <w:t>非透光围护结构热工性能检测抽样数量应符合下列规定：</w:t>
      </w:r>
    </w:p>
    <w:p>
      <w:pPr>
        <w:pStyle w:val="178"/>
        <w:numPr>
          <w:ilvl w:val="0"/>
          <w:numId w:val="57"/>
        </w:numPr>
      </w:pPr>
      <w:r>
        <w:t xml:space="preserve"> </w:t>
      </w:r>
      <w:r>
        <w:rPr>
          <w:rFonts w:hint="eastAsia"/>
        </w:rPr>
        <w:t>对单体建筑每一种保温构造做法抽取</w:t>
      </w:r>
      <w:r>
        <w:t>1</w:t>
      </w:r>
      <w:r>
        <w:rPr>
          <w:rFonts w:hint="eastAsia"/>
        </w:rPr>
        <w:t>处进行传热系数检测；</w:t>
      </w:r>
    </w:p>
    <w:p>
      <w:pPr>
        <w:pStyle w:val="178"/>
        <w:numPr>
          <w:ilvl w:val="0"/>
          <w:numId w:val="57"/>
        </w:numPr>
        <w:rPr>
          <w:color w:val="000000"/>
          <w:szCs w:val="21"/>
        </w:rPr>
      </w:pPr>
      <w:r>
        <w:rPr>
          <w:rFonts w:eastAsiaTheme="minorEastAsia"/>
          <w:color w:val="000000"/>
          <w:szCs w:val="21"/>
        </w:rPr>
        <w:t xml:space="preserve"> </w:t>
      </w:r>
      <w:r>
        <w:rPr>
          <w:rFonts w:hint="eastAsia"/>
          <w:color w:val="000000"/>
          <w:szCs w:val="21"/>
        </w:rPr>
        <w:t>对单体建筑每一种热桥部位不少于</w:t>
      </w:r>
      <w:r>
        <w:rPr>
          <w:rFonts w:eastAsia="PMingLiU"/>
          <w:color w:val="000000"/>
          <w:szCs w:val="21"/>
        </w:rPr>
        <w:t>1</w:t>
      </w:r>
      <w:r>
        <w:rPr>
          <w:rFonts w:hint="eastAsia"/>
          <w:color w:val="000000"/>
          <w:szCs w:val="21"/>
        </w:rPr>
        <w:t>处进行热桥内表面温度检测；</w:t>
      </w:r>
    </w:p>
    <w:p>
      <w:pPr>
        <w:pStyle w:val="178"/>
        <w:numPr>
          <w:ilvl w:val="0"/>
          <w:numId w:val="57"/>
        </w:numPr>
        <w:rPr>
          <w:rFonts w:eastAsia="PMingLiU"/>
          <w:color w:val="000000"/>
          <w:szCs w:val="21"/>
        </w:rPr>
      </w:pPr>
      <w:r>
        <w:rPr>
          <w:rFonts w:eastAsia="PMingLiU"/>
          <w:color w:val="000000"/>
          <w:szCs w:val="21"/>
        </w:rPr>
        <w:t xml:space="preserve"> </w:t>
      </w:r>
      <w:r>
        <w:rPr>
          <w:rFonts w:hint="eastAsia"/>
          <w:color w:val="000000"/>
          <w:szCs w:val="21"/>
        </w:rPr>
        <w:t>对单体建筑其外围护结构的每个立面均应进行热工缺陷的检测；</w:t>
      </w:r>
    </w:p>
    <w:p>
      <w:pPr>
        <w:pStyle w:val="178"/>
        <w:numPr>
          <w:ilvl w:val="0"/>
          <w:numId w:val="57"/>
        </w:numPr>
        <w:rPr>
          <w:color w:val="000000"/>
          <w:szCs w:val="21"/>
        </w:rPr>
      </w:pPr>
      <w:r>
        <w:rPr>
          <w:rFonts w:eastAsia="PMingLiU"/>
          <w:color w:val="000000"/>
          <w:szCs w:val="21"/>
        </w:rPr>
        <w:t xml:space="preserve"> </w:t>
      </w:r>
      <w:r>
        <w:rPr>
          <w:rFonts w:hint="eastAsia"/>
          <w:color w:val="000000"/>
          <w:szCs w:val="21"/>
        </w:rPr>
        <w:t>对单体建筑每一种构造做法抽取</w:t>
      </w:r>
      <w:r>
        <w:rPr>
          <w:rFonts w:eastAsia="PMingLiU"/>
          <w:color w:val="000000"/>
          <w:szCs w:val="21"/>
        </w:rPr>
        <w:t>1</w:t>
      </w:r>
      <w:r>
        <w:rPr>
          <w:rFonts w:hint="eastAsia"/>
          <w:color w:val="000000"/>
          <w:szCs w:val="21"/>
        </w:rPr>
        <w:t>处进行隔热性能检测；</w:t>
      </w:r>
    </w:p>
    <w:p>
      <w:pPr>
        <w:pStyle w:val="236"/>
        <w:numPr>
          <w:ilvl w:val="0"/>
          <w:numId w:val="56"/>
        </w:numPr>
        <w:spacing w:line="240" w:lineRule="auto"/>
        <w:ind w:left="0" w:leftChars="-10" w:hanging="21" w:hangingChars="10"/>
        <w:rPr>
          <w:rFonts w:eastAsia="PMingLiU"/>
          <w:color w:val="000000"/>
          <w:sz w:val="21"/>
          <w:szCs w:val="21"/>
        </w:rPr>
      </w:pPr>
      <w:r>
        <w:rPr>
          <w:rFonts w:hint="eastAsia"/>
          <w:color w:val="000000"/>
          <w:sz w:val="21"/>
          <w:szCs w:val="21"/>
          <w:lang w:eastAsia="zh-CN"/>
        </w:rPr>
        <w:t xml:space="preserve"> 非透光围护结构</w:t>
      </w:r>
      <w:r>
        <w:rPr>
          <w:rFonts w:hint="eastAsia"/>
          <w:color w:val="000000"/>
          <w:sz w:val="21"/>
          <w:szCs w:val="21"/>
        </w:rPr>
        <w:t>传热系数检测方法应符合《围护结构传热系数现场检测技术规程》J</w:t>
      </w:r>
      <w:r>
        <w:rPr>
          <w:color w:val="000000"/>
          <w:sz w:val="21"/>
          <w:szCs w:val="21"/>
        </w:rPr>
        <w:t>GJ/T 357</w:t>
      </w:r>
      <w:r>
        <w:rPr>
          <w:rFonts w:hint="eastAsia"/>
          <w:color w:val="000000"/>
          <w:sz w:val="21"/>
          <w:szCs w:val="21"/>
        </w:rPr>
        <w:t>的规定</w:t>
      </w:r>
    </w:p>
    <w:p>
      <w:pPr>
        <w:pStyle w:val="236"/>
        <w:numPr>
          <w:ilvl w:val="0"/>
          <w:numId w:val="56"/>
        </w:numPr>
        <w:spacing w:line="240" w:lineRule="auto"/>
        <w:ind w:left="0" w:leftChars="-10" w:hanging="21" w:hangingChars="10"/>
        <w:rPr>
          <w:sz w:val="21"/>
          <w:szCs w:val="21"/>
        </w:rPr>
      </w:pPr>
      <w:r>
        <w:rPr>
          <w:color w:val="000000"/>
          <w:sz w:val="21"/>
          <w:szCs w:val="21"/>
          <w:lang w:val="en-US" w:eastAsia="zh-CN" w:bidi="en-US"/>
        </w:rPr>
        <w:t xml:space="preserve"> </w:t>
      </w:r>
      <w:r>
        <w:rPr>
          <w:rFonts w:hint="eastAsia"/>
          <w:color w:val="000000"/>
          <w:sz w:val="21"/>
          <w:szCs w:val="21"/>
        </w:rPr>
        <w:t>非透光围护结构热桥部位内表面温度检测方法应符合现行行业标准《居住建筑节能检测标准》</w:t>
      </w:r>
      <w:r>
        <w:rPr>
          <w:rFonts w:hint="eastAsia"/>
          <w:color w:val="000000"/>
          <w:sz w:val="21"/>
          <w:szCs w:val="21"/>
          <w:lang w:val="en-US" w:eastAsia="zh-CN" w:bidi="en-US"/>
        </w:rPr>
        <w:t xml:space="preserve">JGJ/T </w:t>
      </w:r>
      <w:r>
        <w:rPr>
          <w:rFonts w:hint="eastAsia"/>
          <w:color w:val="000000"/>
          <w:sz w:val="21"/>
          <w:szCs w:val="21"/>
        </w:rPr>
        <w:t>132的规定。</w:t>
      </w:r>
    </w:p>
    <w:p>
      <w:pPr>
        <w:pStyle w:val="236"/>
        <w:numPr>
          <w:ilvl w:val="0"/>
          <w:numId w:val="56"/>
        </w:numPr>
        <w:spacing w:line="240" w:lineRule="auto"/>
        <w:ind w:left="0" w:leftChars="-10" w:hanging="21" w:hangingChars="10"/>
        <w:rPr>
          <w:color w:val="000000"/>
          <w:sz w:val="21"/>
          <w:szCs w:val="21"/>
        </w:rPr>
      </w:pPr>
      <w:r>
        <w:rPr>
          <w:rFonts w:hint="eastAsia"/>
          <w:color w:val="000000"/>
          <w:sz w:val="21"/>
          <w:szCs w:val="21"/>
        </w:rPr>
        <w:t xml:space="preserve"> 非透光围护结构热工缺陷检测方法应符合现行行业标准《居住建筑节能检测标准》</w:t>
      </w:r>
      <w:r>
        <w:rPr>
          <w:rFonts w:hint="eastAsia"/>
          <w:color w:val="000000"/>
          <w:sz w:val="21"/>
          <w:szCs w:val="21"/>
          <w:lang w:val="en-US" w:eastAsia="zh-CN" w:bidi="en-US"/>
        </w:rPr>
        <w:t xml:space="preserve">JGJ/T </w:t>
      </w:r>
      <w:r>
        <w:rPr>
          <w:rFonts w:hint="eastAsia"/>
          <w:color w:val="000000"/>
          <w:sz w:val="21"/>
          <w:szCs w:val="21"/>
        </w:rPr>
        <w:t>132的规定。</w:t>
      </w:r>
    </w:p>
    <w:p>
      <w:pPr>
        <w:pStyle w:val="236"/>
        <w:numPr>
          <w:ilvl w:val="0"/>
          <w:numId w:val="56"/>
        </w:numPr>
        <w:spacing w:line="240" w:lineRule="auto"/>
        <w:ind w:left="0" w:leftChars="-10" w:hanging="21" w:hangingChars="10"/>
        <w:rPr>
          <w:sz w:val="21"/>
          <w:szCs w:val="21"/>
        </w:rPr>
      </w:pPr>
      <w:r>
        <w:rPr>
          <w:color w:val="000000"/>
          <w:sz w:val="21"/>
          <w:szCs w:val="21"/>
          <w:lang w:val="en-US" w:eastAsia="zh-CN" w:bidi="en-US"/>
        </w:rPr>
        <w:t xml:space="preserve"> </w:t>
      </w:r>
      <w:r>
        <w:rPr>
          <w:rFonts w:hint="eastAsia"/>
          <w:color w:val="000000"/>
          <w:sz w:val="21"/>
          <w:szCs w:val="21"/>
        </w:rPr>
        <w:t>非透光围护结构隔热性能检测方法应符合现行行业标准《居住建筑节能检测标准》</w:t>
      </w:r>
      <w:r>
        <w:rPr>
          <w:rFonts w:hint="eastAsia"/>
          <w:color w:val="000000"/>
          <w:sz w:val="21"/>
          <w:szCs w:val="21"/>
          <w:lang w:val="en-US" w:eastAsia="zh-CN" w:bidi="en-US"/>
        </w:rPr>
        <w:t xml:space="preserve">JGJ/T </w:t>
      </w:r>
      <w:r>
        <w:rPr>
          <w:rFonts w:hint="eastAsia"/>
          <w:color w:val="000000"/>
          <w:sz w:val="21"/>
          <w:szCs w:val="21"/>
        </w:rPr>
        <w:t>132的规定。</w:t>
      </w:r>
    </w:p>
    <w:p>
      <w:pPr>
        <w:pStyle w:val="69"/>
        <w:spacing w:before="120" w:after="120"/>
        <w:rPr>
          <w:lang w:bidi="zh-CN"/>
        </w:rPr>
      </w:pPr>
      <w:bookmarkStart w:id="133" w:name="bookmark90"/>
      <w:bookmarkStart w:id="134" w:name="bookmark89"/>
      <w:bookmarkStart w:id="135" w:name="bookmark88"/>
      <w:r>
        <w:rPr>
          <w:rFonts w:hint="eastAsia"/>
          <w:lang w:bidi="zh-CN"/>
        </w:rPr>
        <w:t>7.3透光围护结构性能</w:t>
      </w:r>
      <w:bookmarkEnd w:id="133"/>
      <w:bookmarkEnd w:id="134"/>
      <w:bookmarkEnd w:id="135"/>
      <w:r>
        <w:rPr>
          <w:rFonts w:hint="eastAsia"/>
          <w:lang w:bidi="zh-CN"/>
        </w:rPr>
        <w:t>检测</w:t>
      </w:r>
    </w:p>
    <w:p>
      <w:pPr>
        <w:pStyle w:val="236"/>
        <w:numPr>
          <w:ilvl w:val="0"/>
          <w:numId w:val="58"/>
        </w:numPr>
        <w:spacing w:line="240" w:lineRule="auto"/>
        <w:ind w:hanging="1016"/>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透光围护结构性能</w:t>
      </w:r>
      <w:r>
        <w:rPr>
          <w:rFonts w:hint="eastAsia"/>
          <w:color w:val="000000" w:themeColor="text1"/>
          <w:sz w:val="21"/>
          <w:szCs w:val="21"/>
          <w14:textFill>
            <w14:solidFill>
              <w14:schemeClr w14:val="tx1"/>
            </w14:solidFill>
          </w14:textFill>
        </w:rPr>
        <w:t>检测项目</w:t>
      </w:r>
      <w:r>
        <w:rPr>
          <w:color w:val="000000" w:themeColor="text1"/>
          <w:sz w:val="21"/>
          <w:szCs w:val="21"/>
          <w14:textFill>
            <w14:solidFill>
              <w14:schemeClr w14:val="tx1"/>
            </w14:solidFill>
          </w14:textFill>
        </w:rPr>
        <w:t>包</w:t>
      </w:r>
      <w:r>
        <w:rPr>
          <w:rFonts w:hint="eastAsia"/>
          <w:color w:val="000000" w:themeColor="text1"/>
          <w:sz w:val="21"/>
          <w:szCs w:val="21"/>
          <w:lang w:val="en-US" w:eastAsia="zh-CN"/>
          <w14:textFill>
            <w14:solidFill>
              <w14:schemeClr w14:val="tx1"/>
            </w14:solidFill>
          </w14:textFill>
        </w:rPr>
        <w:t>含</w:t>
      </w:r>
      <w:r>
        <w:rPr>
          <w:rFonts w:hint="eastAsia"/>
          <w:color w:val="000000" w:themeColor="text1"/>
          <w:sz w:val="21"/>
          <w:szCs w:val="21"/>
          <w14:textFill>
            <w14:solidFill>
              <w14:schemeClr w14:val="tx1"/>
            </w14:solidFill>
          </w14:textFill>
        </w:rPr>
        <w:t>中空玻璃厚度及</w:t>
      </w:r>
      <w:r>
        <w:rPr>
          <w:rFonts w:ascii="Times New Roman" w:hAnsi="Times New Roman" w:cs="Times New Roman"/>
          <w:color w:val="000000" w:themeColor="text1"/>
          <w:sz w:val="21"/>
          <w:szCs w:val="21"/>
          <w:lang w:eastAsia="zh-CN"/>
          <w14:textFill>
            <w14:solidFill>
              <w14:schemeClr w14:val="tx1"/>
            </w14:solidFill>
          </w14:textFill>
        </w:rPr>
        <w:t>L</w:t>
      </w:r>
      <w:r>
        <w:rPr>
          <w:rFonts w:ascii="Times New Roman" w:hAnsi="Times New Roman" w:cs="Times New Roman" w:eastAsiaTheme="minorEastAsia"/>
          <w:color w:val="000000" w:themeColor="text1"/>
          <w:sz w:val="21"/>
          <w:szCs w:val="21"/>
          <w14:textFill>
            <w14:solidFill>
              <w14:schemeClr w14:val="tx1"/>
            </w14:solidFill>
          </w14:textFill>
        </w:rPr>
        <w:t>ow-e</w:t>
      </w:r>
      <w:r>
        <w:rPr>
          <w:rFonts w:hint="eastAsia"/>
          <w:color w:val="000000" w:themeColor="text1"/>
          <w:sz w:val="21"/>
          <w:szCs w:val="21"/>
          <w14:textFill>
            <w14:solidFill>
              <w14:schemeClr w14:val="tx1"/>
            </w14:solidFill>
          </w14:textFill>
        </w:rPr>
        <w:t>膜层位置</w:t>
      </w:r>
      <w:r>
        <w:rPr>
          <w:rFonts w:hint="eastAsia" w:asciiTheme="minorEastAsia" w:hAnsiTheme="minorEastAsia" w:eastAsiaTheme="minorEastAsia"/>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外门窗气密性</w:t>
      </w:r>
      <w:r>
        <w:rPr>
          <w:color w:val="000000" w:themeColor="text1"/>
          <w:sz w:val="21"/>
          <w:szCs w:val="21"/>
          <w14:textFill>
            <w14:solidFill>
              <w14:schemeClr w14:val="tx1"/>
            </w14:solidFill>
          </w14:textFill>
        </w:rPr>
        <w:t>。</w:t>
      </w:r>
    </w:p>
    <w:p>
      <w:pPr>
        <w:pStyle w:val="236"/>
        <w:numPr>
          <w:ilvl w:val="0"/>
          <w:numId w:val="58"/>
        </w:numPr>
        <w:spacing w:line="240" w:lineRule="auto"/>
        <w:ind w:hanging="1016"/>
        <w:rPr>
          <w:color w:val="000000" w:themeColor="text1"/>
          <w:sz w:val="21"/>
          <w:szCs w:val="21"/>
          <w14:textFill>
            <w14:solidFill>
              <w14:schemeClr w14:val="tx1"/>
            </w14:solidFill>
          </w14:textFill>
        </w:rPr>
      </w:pPr>
      <w:r>
        <w:rPr>
          <w:color w:val="000000" w:themeColor="text1"/>
          <w:sz w:val="21"/>
          <w:szCs w:val="21"/>
          <w:lang w:val="en-US" w:eastAsia="zh-CN" w:bidi="en-US"/>
          <w14:textFill>
            <w14:solidFill>
              <w14:schemeClr w14:val="tx1"/>
            </w14:solidFill>
          </w14:textFill>
        </w:rPr>
        <w:t xml:space="preserve"> </w:t>
      </w:r>
      <w:r>
        <w:rPr>
          <w:rFonts w:hint="eastAsia"/>
          <w:color w:val="000000" w:themeColor="text1"/>
          <w:sz w:val="21"/>
          <w:szCs w:val="21"/>
          <w:lang w:val="en-US" w:eastAsia="zh-CN" w:bidi="en-US"/>
          <w14:textFill>
            <w14:solidFill>
              <w14:schemeClr w14:val="tx1"/>
            </w14:solidFill>
          </w14:textFill>
        </w:rPr>
        <w:t>透光围护结构性能检测抽样数量应符合下列规定：</w:t>
      </w:r>
    </w:p>
    <w:p>
      <w:pPr>
        <w:pStyle w:val="178"/>
        <w:numPr>
          <w:ilvl w:val="0"/>
          <w:numId w:val="59"/>
        </w:numPr>
        <w:rPr>
          <w:color w:val="000000" w:themeColor="text1"/>
          <w:szCs w:val="21"/>
          <w14:textFill>
            <w14:solidFill>
              <w14:schemeClr w14:val="tx1"/>
            </w14:solidFill>
          </w14:textFill>
        </w:rPr>
      </w:pPr>
      <w:r>
        <w:rPr>
          <w:color w:val="000000" w:themeColor="text1"/>
          <w:szCs w:val="21"/>
          <w:lang w:bidi="en-US"/>
          <w14:textFill>
            <w14:solidFill>
              <w14:schemeClr w14:val="tx1"/>
            </w14:solidFill>
          </w14:textFill>
        </w:rPr>
        <w:t xml:space="preserve"> </w:t>
      </w:r>
      <w:r>
        <w:rPr>
          <w:rFonts w:hint="eastAsia"/>
          <w:color w:val="000000" w:themeColor="text1"/>
          <w:szCs w:val="21"/>
          <w:lang w:bidi="en-US"/>
          <w14:textFill>
            <w14:solidFill>
              <w14:schemeClr w14:val="tx1"/>
            </w14:solidFill>
          </w14:textFill>
        </w:rPr>
        <w:t>外窗中空玻璃膜层位置及厚度检测应按照</w:t>
      </w:r>
      <w:r>
        <w:rPr>
          <w:rFonts w:hint="eastAsia"/>
          <w:color w:val="000000" w:themeColor="text1"/>
          <w:szCs w:val="21"/>
          <w14:textFill>
            <w14:solidFill>
              <w14:schemeClr w14:val="tx1"/>
            </w14:solidFill>
          </w14:textFill>
        </w:rPr>
        <w:t>同一厂家、同一品种、同一类型中空玻璃选取</w:t>
      </w:r>
    </w:p>
    <w:p>
      <w:pPr>
        <w:pStyle w:val="236"/>
        <w:spacing w:line="240" w:lineRule="auto"/>
        <w:ind w:firstLine="18" w:firstLineChars="9"/>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一组（每组不少于</w:t>
      </w:r>
      <w:r>
        <w:rPr>
          <w:rFonts w:hint="eastAsia"/>
          <w:color w:val="000000" w:themeColor="text1"/>
          <w:sz w:val="21"/>
          <w:szCs w:val="21"/>
          <w:lang w:eastAsia="zh-CN"/>
          <w14:textFill>
            <w14:solidFill>
              <w14:schemeClr w14:val="tx1"/>
            </w14:solidFill>
          </w14:textFill>
        </w:rPr>
        <w:t>3块</w:t>
      </w:r>
      <w:r>
        <w:rPr>
          <w:rFonts w:hint="eastAsia"/>
          <w:color w:val="000000" w:themeColor="text1"/>
          <w:sz w:val="21"/>
          <w:szCs w:val="21"/>
          <w14:textFill>
            <w14:solidFill>
              <w14:schemeClr w14:val="tx1"/>
            </w14:solidFill>
          </w14:textFill>
        </w:rPr>
        <w:t>）</w:t>
      </w:r>
      <w:r>
        <w:rPr>
          <w:rFonts w:hint="eastAsia"/>
          <w:color w:val="000000" w:themeColor="text1"/>
          <w:sz w:val="21"/>
          <w:szCs w:val="21"/>
          <w:lang w:eastAsia="zh-CN"/>
          <w14:textFill>
            <w14:solidFill>
              <w14:schemeClr w14:val="tx1"/>
            </w14:solidFill>
          </w14:textFill>
        </w:rPr>
        <w:t>进行检测；</w:t>
      </w:r>
    </w:p>
    <w:p>
      <w:pPr>
        <w:pStyle w:val="178"/>
        <w:numPr>
          <w:ilvl w:val="0"/>
          <w:numId w:val="59"/>
        </w:numPr>
        <w:rPr>
          <w:rFonts w:eastAsia="PMingLiU"/>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外门窗气密性检测应按照</w:t>
      </w:r>
      <w:r>
        <w:rPr>
          <w:rFonts w:hint="eastAsia"/>
          <w:color w:val="000000" w:themeColor="text1"/>
          <w:lang w:bidi="zh-CN"/>
          <w14:textFill>
            <w14:solidFill>
              <w14:schemeClr w14:val="tx1"/>
            </w14:solidFill>
          </w14:textFill>
        </w:rPr>
        <w:t>同一厂家、同一材质、同一开启方式、同型材系列的外门窗</w:t>
      </w:r>
    </w:p>
    <w:p>
      <w:pPr>
        <w:pStyle w:val="236"/>
        <w:spacing w:line="240" w:lineRule="auto"/>
        <w:ind w:firstLineChars="9"/>
        <w:rPr>
          <w:rFonts w:eastAsia="PMingLiU"/>
          <w:color w:val="000000" w:themeColor="text1"/>
          <w:sz w:val="21"/>
          <w:szCs w:val="21"/>
          <w14:textFill>
            <w14:solidFill>
              <w14:schemeClr w14:val="tx1"/>
            </w14:solidFill>
          </w14:textFill>
        </w:rPr>
      </w:pPr>
      <w:r>
        <w:rPr>
          <w:rFonts w:hint="eastAsia"/>
          <w:color w:val="000000" w:themeColor="text1"/>
          <w:lang w:bidi="zh-CN"/>
          <w14:textFill>
            <w14:solidFill>
              <w14:schemeClr w14:val="tx1"/>
            </w14:solidFill>
          </w14:textFill>
        </w:rPr>
        <w:t>应选取一组（每组不得少于3樘）进行检测；</w:t>
      </w:r>
      <w:r>
        <w:rPr>
          <w:rFonts w:eastAsia="PMingLiU"/>
          <w:color w:val="000000" w:themeColor="text1"/>
          <w:sz w:val="21"/>
          <w:szCs w:val="21"/>
          <w14:textFill>
            <w14:solidFill>
              <w14:schemeClr w14:val="tx1"/>
            </w14:solidFill>
          </w14:textFill>
        </w:rPr>
        <w:t xml:space="preserve">   </w:t>
      </w:r>
    </w:p>
    <w:p>
      <w:pPr>
        <w:pStyle w:val="236"/>
        <w:numPr>
          <w:ilvl w:val="0"/>
          <w:numId w:val="58"/>
        </w:numPr>
        <w:spacing w:line="240" w:lineRule="auto"/>
        <w:ind w:hanging="1016"/>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中空玻璃</w:t>
      </w:r>
      <w:r>
        <w:rPr>
          <w:rFonts w:hint="eastAsia"/>
          <w:color w:val="000000" w:themeColor="text1"/>
          <w:sz w:val="21"/>
          <w:szCs w:val="21"/>
          <w:lang w:eastAsia="zh-CN"/>
          <w14:textFill>
            <w14:solidFill>
              <w14:schemeClr w14:val="tx1"/>
            </w14:solidFill>
          </w14:textFill>
        </w:rPr>
        <w:t>膜层位置、中空玻璃厚度检测方法应符合本文件附录</w:t>
      </w:r>
      <w:r>
        <w:rPr>
          <w:rFonts w:eastAsia="PMingLiU"/>
          <w:color w:val="000000" w:themeColor="text1"/>
          <w:sz w:val="21"/>
          <w:szCs w:val="21"/>
          <w14:textFill>
            <w14:solidFill>
              <w14:schemeClr w14:val="tx1"/>
            </w14:solidFill>
          </w14:textFill>
        </w:rPr>
        <w:t>D</w:t>
      </w:r>
      <w:r>
        <w:rPr>
          <w:rFonts w:hint="eastAsia"/>
          <w:color w:val="000000" w:themeColor="text1"/>
          <w:sz w:val="21"/>
          <w:szCs w:val="21"/>
          <w:lang w:val="en-US" w:eastAsia="zh-CN" w:bidi="en-US"/>
          <w14:textFill>
            <w14:solidFill>
              <w14:schemeClr w14:val="tx1"/>
            </w14:solidFill>
          </w14:textFill>
        </w:rPr>
        <w:t>；</w:t>
      </w:r>
    </w:p>
    <w:p>
      <w:pPr>
        <w:pStyle w:val="236"/>
        <w:numPr>
          <w:ilvl w:val="0"/>
          <w:numId w:val="58"/>
        </w:numPr>
        <w:spacing w:line="240" w:lineRule="auto"/>
        <w:ind w:hanging="1016"/>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外门窗气密性检测方法应符合</w:t>
      </w:r>
      <w:r>
        <w:rPr>
          <w:rFonts w:hint="eastAsia"/>
          <w:color w:val="000000" w:themeColor="text1"/>
          <w:lang w:bidi="zh-CN"/>
          <w14:textFill>
            <w14:solidFill>
              <w14:schemeClr w14:val="tx1"/>
            </w14:solidFill>
          </w14:textFill>
        </w:rPr>
        <w:t>《建筑外窗气密、水密、抗风压性能现场检测方法》</w:t>
      </w:r>
      <w:r>
        <w:rPr>
          <w:color w:val="000000" w:themeColor="text1"/>
          <w:lang w:bidi="zh-CN"/>
          <w14:textFill>
            <w14:solidFill>
              <w14:schemeClr w14:val="tx1"/>
            </w14:solidFill>
          </w14:textFill>
        </w:rPr>
        <w:t xml:space="preserve">JG/T </w:t>
      </w:r>
    </w:p>
    <w:p>
      <w:pPr>
        <w:pStyle w:val="236"/>
        <w:spacing w:line="240" w:lineRule="auto"/>
        <w:ind w:firstLineChars="9"/>
        <w:rPr>
          <w:color w:val="000000" w:themeColor="text1"/>
          <w:sz w:val="21"/>
          <w:szCs w:val="21"/>
          <w14:textFill>
            <w14:solidFill>
              <w14:schemeClr w14:val="tx1"/>
            </w14:solidFill>
          </w14:textFill>
        </w:rPr>
      </w:pPr>
      <w:r>
        <w:rPr>
          <w:color w:val="000000" w:themeColor="text1"/>
          <w:lang w:bidi="zh-CN"/>
          <w14:textFill>
            <w14:solidFill>
              <w14:schemeClr w14:val="tx1"/>
            </w14:solidFill>
          </w14:textFill>
        </w:rPr>
        <w:t>211</w:t>
      </w:r>
      <w:r>
        <w:rPr>
          <w:rFonts w:hint="eastAsia"/>
          <w:color w:val="000000" w:themeColor="text1"/>
          <w:lang w:bidi="zh-CN"/>
          <w14:textFill>
            <w14:solidFill>
              <w14:schemeClr w14:val="tx1"/>
            </w14:solidFill>
          </w14:textFill>
        </w:rPr>
        <w:t>的规定</w:t>
      </w:r>
      <w:r>
        <w:rPr>
          <w:rFonts w:hint="eastAsia"/>
          <w:color w:val="000000" w:themeColor="text1"/>
          <w:sz w:val="21"/>
          <w:szCs w:val="21"/>
          <w:lang w:eastAsia="zh-CN"/>
          <w14:textFill>
            <w14:solidFill>
              <w14:schemeClr w14:val="tx1"/>
            </w14:solidFill>
          </w14:textFill>
        </w:rPr>
        <w:t>。</w:t>
      </w:r>
    </w:p>
    <w:p>
      <w:pPr>
        <w:pStyle w:val="236"/>
        <w:spacing w:after="140" w:line="319" w:lineRule="exact"/>
        <w:ind w:firstLine="0"/>
        <w:rPr>
          <w:lang w:val="en-US" w:eastAsia="zh-CN"/>
        </w:rPr>
        <w:sectPr>
          <w:footerReference r:id="rId19" w:type="default"/>
          <w:footerReference r:id="rId20" w:type="even"/>
          <w:pgSz w:w="12240" w:h="15840"/>
          <w:pgMar w:top="1440" w:right="1800" w:bottom="1440" w:left="1800" w:header="720" w:footer="720" w:gutter="0"/>
          <w:cols w:space="720" w:num="1"/>
        </w:sectPr>
      </w:pPr>
      <w:r>
        <w:rPr>
          <w:rFonts w:hint="eastAsia"/>
          <w:lang w:val="en-US" w:eastAsia="zh-CN"/>
        </w:rPr>
        <w:t xml:space="preserve">   </w:t>
      </w:r>
    </w:p>
    <w:p>
      <w:pPr>
        <w:pStyle w:val="108"/>
        <w:spacing w:before="240" w:after="240"/>
        <w:ind w:left="0"/>
        <w:rPr>
          <w:lang w:bidi="zh-CN"/>
        </w:rPr>
      </w:pPr>
      <w:bookmarkStart w:id="136" w:name="_Toc129855990"/>
      <w:bookmarkStart w:id="137" w:name="bookmark102"/>
      <w:bookmarkStart w:id="138" w:name="_Toc129782129"/>
      <w:bookmarkStart w:id="139" w:name="_Toc129855764"/>
      <w:bookmarkStart w:id="140" w:name="bookmark103"/>
      <w:bookmarkStart w:id="141" w:name="bookmark104"/>
      <w:bookmarkStart w:id="142" w:name="_Toc129698157"/>
      <w:r>
        <w:rPr>
          <w:rFonts w:hint="eastAsia"/>
          <w:lang w:bidi="zh-CN"/>
        </w:rPr>
        <w:t>暖通空调系统检测</w:t>
      </w:r>
      <w:bookmarkEnd w:id="136"/>
      <w:bookmarkEnd w:id="137"/>
      <w:bookmarkEnd w:id="138"/>
      <w:bookmarkEnd w:id="139"/>
      <w:bookmarkEnd w:id="140"/>
      <w:bookmarkEnd w:id="141"/>
      <w:bookmarkEnd w:id="142"/>
    </w:p>
    <w:p>
      <w:pPr>
        <w:pStyle w:val="69"/>
        <w:spacing w:before="120" w:after="120"/>
        <w:rPr>
          <w:lang w:bidi="zh-CN"/>
        </w:rPr>
      </w:pPr>
      <w:bookmarkStart w:id="143" w:name="bookmark107"/>
      <w:bookmarkStart w:id="144" w:name="bookmark105"/>
      <w:bookmarkStart w:id="145" w:name="bookmark106"/>
      <w:r>
        <w:rPr>
          <w:rFonts w:hint="eastAsia"/>
          <w:lang w:bidi="zh-CN"/>
        </w:rPr>
        <w:t>8.1 一般规定</w:t>
      </w:r>
      <w:bookmarkEnd w:id="143"/>
      <w:bookmarkEnd w:id="144"/>
      <w:bookmarkEnd w:id="145"/>
    </w:p>
    <w:p>
      <w:pPr>
        <w:pStyle w:val="236"/>
        <w:numPr>
          <w:ilvl w:val="0"/>
          <w:numId w:val="60"/>
        </w:numPr>
        <w:spacing w:line="240" w:lineRule="auto"/>
        <w:jc w:val="left"/>
        <w:rPr>
          <w:sz w:val="21"/>
          <w:szCs w:val="21"/>
        </w:rPr>
      </w:pPr>
      <w:r>
        <w:rPr>
          <w:color w:val="000000"/>
          <w:sz w:val="21"/>
          <w:szCs w:val="21"/>
          <w:lang w:val="en-US"/>
        </w:rPr>
        <w:t xml:space="preserve"> </w:t>
      </w:r>
      <w:r>
        <w:rPr>
          <w:color w:val="000000"/>
          <w:sz w:val="21"/>
          <w:szCs w:val="21"/>
        </w:rPr>
        <w:t>暖通空调系统检测项目包括</w:t>
      </w:r>
      <w:r>
        <w:rPr>
          <w:rFonts w:hint="eastAsia"/>
          <w:color w:val="000000"/>
          <w:sz w:val="21"/>
          <w:szCs w:val="21"/>
        </w:rPr>
        <w:t>空调系统冷源性能，空调系统循环水流量，空调机组水流</w:t>
      </w:r>
    </w:p>
    <w:p>
      <w:pPr>
        <w:pStyle w:val="236"/>
        <w:spacing w:line="240" w:lineRule="auto"/>
        <w:ind w:firstLine="0"/>
        <w:jc w:val="left"/>
        <w:rPr>
          <w:sz w:val="21"/>
          <w:szCs w:val="21"/>
        </w:rPr>
      </w:pPr>
      <w:r>
        <w:rPr>
          <w:rFonts w:hint="eastAsia"/>
          <w:color w:val="000000"/>
          <w:sz w:val="21"/>
          <w:szCs w:val="21"/>
        </w:rPr>
        <w:t>量，</w:t>
      </w:r>
      <w:r>
        <w:rPr>
          <w:color w:val="000000"/>
          <w:sz w:val="21"/>
          <w:szCs w:val="21"/>
        </w:rPr>
        <w:t>耗电输</w:t>
      </w:r>
      <w:r>
        <w:rPr>
          <w:rFonts w:hint="eastAsia"/>
          <w:color w:val="000000"/>
          <w:sz w:val="21"/>
          <w:szCs w:val="21"/>
        </w:rPr>
        <w:t>冷</w:t>
      </w:r>
      <w:r>
        <w:rPr>
          <w:rFonts w:hint="eastAsia"/>
          <w:color w:val="000000"/>
          <w:sz w:val="21"/>
          <w:szCs w:val="21"/>
          <w:lang w:eastAsia="zh-CN"/>
        </w:rPr>
        <w:t>(</w:t>
      </w:r>
      <w:r>
        <w:rPr>
          <w:color w:val="000000"/>
          <w:sz w:val="21"/>
          <w:szCs w:val="21"/>
        </w:rPr>
        <w:t>热</w:t>
      </w:r>
      <w:r>
        <w:rPr>
          <w:rFonts w:hint="eastAsia"/>
          <w:color w:val="000000"/>
          <w:sz w:val="21"/>
          <w:szCs w:val="21"/>
          <w:lang w:eastAsia="zh-CN"/>
        </w:rPr>
        <w:t>)</w:t>
      </w:r>
      <w:r>
        <w:rPr>
          <w:color w:val="000000"/>
          <w:sz w:val="21"/>
          <w:szCs w:val="21"/>
        </w:rPr>
        <w:t>比</w:t>
      </w:r>
      <w:r>
        <w:rPr>
          <w:rFonts w:hint="eastAsia"/>
          <w:color w:val="000000"/>
          <w:sz w:val="21"/>
          <w:szCs w:val="21"/>
        </w:rPr>
        <w:t>，风道系统</w:t>
      </w:r>
      <w:r>
        <w:rPr>
          <w:color w:val="000000"/>
          <w:sz w:val="21"/>
          <w:szCs w:val="21"/>
        </w:rPr>
        <w:t>单位风量耗功率</w:t>
      </w:r>
      <w:r>
        <w:rPr>
          <w:rFonts w:hint="eastAsia"/>
          <w:color w:val="000000"/>
          <w:sz w:val="21"/>
          <w:szCs w:val="21"/>
        </w:rPr>
        <w:t>，定风量系统平衡度</w:t>
      </w:r>
      <w:r>
        <w:rPr>
          <w:color w:val="000000"/>
          <w:sz w:val="21"/>
          <w:szCs w:val="21"/>
        </w:rPr>
        <w:t>以及</w:t>
      </w:r>
      <w:r>
        <w:rPr>
          <w:rFonts w:hint="eastAsia"/>
          <w:color w:val="000000"/>
          <w:sz w:val="21"/>
          <w:szCs w:val="21"/>
        </w:rPr>
        <w:t>热回收新风机</w:t>
      </w:r>
    </w:p>
    <w:p>
      <w:pPr>
        <w:pStyle w:val="236"/>
        <w:spacing w:line="240" w:lineRule="auto"/>
        <w:jc w:val="left"/>
        <w:rPr>
          <w:rFonts w:eastAsia="PMingLiU"/>
          <w:color w:val="000000"/>
          <w:sz w:val="21"/>
          <w:szCs w:val="21"/>
        </w:rPr>
      </w:pPr>
      <w:r>
        <w:rPr>
          <w:rFonts w:hint="eastAsia"/>
          <w:color w:val="000000"/>
          <w:sz w:val="21"/>
          <w:szCs w:val="21"/>
        </w:rPr>
        <w:t>组交换效率</w:t>
      </w:r>
      <w:r>
        <w:rPr>
          <w:color w:val="000000"/>
          <w:sz w:val="21"/>
          <w:szCs w:val="21"/>
        </w:rPr>
        <w:t>。</w:t>
      </w:r>
    </w:p>
    <w:p>
      <w:pPr>
        <w:pStyle w:val="236"/>
        <w:numPr>
          <w:ilvl w:val="0"/>
          <w:numId w:val="60"/>
        </w:numPr>
        <w:spacing w:line="240" w:lineRule="auto"/>
        <w:jc w:val="left"/>
        <w:rPr>
          <w:sz w:val="21"/>
          <w:szCs w:val="21"/>
        </w:rPr>
      </w:pPr>
      <w:r>
        <w:rPr>
          <w:rFonts w:hint="eastAsia"/>
          <w:color w:val="000000"/>
          <w:sz w:val="21"/>
          <w:szCs w:val="21"/>
          <w:lang w:eastAsia="zh-CN"/>
        </w:rPr>
        <w:t xml:space="preserve"> </w:t>
      </w:r>
      <w:r>
        <w:rPr>
          <w:color w:val="000000"/>
          <w:sz w:val="21"/>
          <w:szCs w:val="21"/>
        </w:rPr>
        <w:t>暖通空调系统检测应在规定的工况或条件下进行。</w:t>
      </w:r>
    </w:p>
    <w:p>
      <w:pPr>
        <w:pStyle w:val="69"/>
        <w:spacing w:before="120" w:after="120"/>
        <w:rPr>
          <w:lang w:bidi="zh-CN"/>
        </w:rPr>
      </w:pPr>
      <w:bookmarkStart w:id="146" w:name="bookmark110"/>
      <w:bookmarkStart w:id="147" w:name="bookmark108"/>
      <w:bookmarkStart w:id="148" w:name="bookmark109"/>
      <w:r>
        <w:rPr>
          <w:rFonts w:hint="eastAsia"/>
          <w:lang w:bidi="zh-CN"/>
        </w:rPr>
        <w:t>8.2</w:t>
      </w:r>
      <w:r>
        <w:rPr>
          <w:lang w:bidi="zh-CN"/>
        </w:rPr>
        <w:t xml:space="preserve"> </w:t>
      </w:r>
      <w:r>
        <w:rPr>
          <w:rFonts w:hint="eastAsia"/>
          <w:lang w:bidi="zh-CN"/>
        </w:rPr>
        <w:t>空调系统冷源性能检测</w:t>
      </w:r>
      <w:bookmarkEnd w:id="146"/>
      <w:bookmarkEnd w:id="147"/>
      <w:bookmarkEnd w:id="148"/>
    </w:p>
    <w:p>
      <w:pPr>
        <w:pStyle w:val="236"/>
        <w:numPr>
          <w:ilvl w:val="0"/>
          <w:numId w:val="61"/>
        </w:numPr>
        <w:spacing w:line="240" w:lineRule="auto"/>
        <w:rPr>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 xml:space="preserve"> </w:t>
      </w:r>
      <w:r>
        <w:rPr>
          <w:color w:val="000000" w:themeColor="text1"/>
          <w:sz w:val="21"/>
          <w:szCs w:val="21"/>
          <w14:textFill>
            <w14:solidFill>
              <w14:schemeClr w14:val="tx1"/>
            </w14:solidFill>
          </w14:textFill>
        </w:rPr>
        <w:t>空调系统冷源性能检测项目包括冷水机组</w:t>
      </w:r>
      <w:r>
        <w:rPr>
          <w:rFonts w:hint="eastAsia"/>
          <w:color w:val="000000" w:themeColor="text1"/>
          <w:sz w:val="21"/>
          <w:szCs w:val="21"/>
          <w:lang w:eastAsia="zh-CN"/>
          <w14:textFill>
            <w14:solidFill>
              <w14:schemeClr w14:val="tx1"/>
            </w14:solidFill>
          </w14:textFill>
        </w:rPr>
        <w:t>能效比</w:t>
      </w:r>
      <w:r>
        <w:rPr>
          <w:color w:val="000000" w:themeColor="text1"/>
          <w:sz w:val="21"/>
          <w:szCs w:val="21"/>
          <w14:textFill>
            <w14:solidFill>
              <w14:schemeClr w14:val="tx1"/>
            </w14:solidFill>
          </w14:textFill>
        </w:rPr>
        <w:t>、冷源系统能效</w:t>
      </w:r>
      <w:r>
        <w:rPr>
          <w:rFonts w:hint="eastAsia"/>
          <w:color w:val="000000" w:themeColor="text1"/>
          <w:sz w:val="21"/>
          <w:szCs w:val="21"/>
          <w14:textFill>
            <w14:solidFill>
              <w14:schemeClr w14:val="tx1"/>
            </w14:solidFill>
          </w14:textFill>
        </w:rPr>
        <w:t>比</w:t>
      </w:r>
      <w:r>
        <w:rPr>
          <w:color w:val="000000" w:themeColor="text1"/>
          <w:sz w:val="21"/>
          <w:szCs w:val="21"/>
          <w14:textFill>
            <w14:solidFill>
              <w14:schemeClr w14:val="tx1"/>
            </w14:solidFill>
          </w14:textFill>
        </w:rPr>
        <w:t>。</w:t>
      </w:r>
    </w:p>
    <w:p>
      <w:pPr>
        <w:pStyle w:val="236"/>
        <w:numPr>
          <w:ilvl w:val="0"/>
          <w:numId w:val="61"/>
        </w:numPr>
        <w:spacing w:line="240" w:lineRule="auto"/>
        <w:rPr>
          <w:color w:val="000000" w:themeColor="text1"/>
          <w:sz w:val="21"/>
          <w:szCs w:val="21"/>
          <w14:textFill>
            <w14:solidFill>
              <w14:schemeClr w14:val="tx1"/>
            </w14:solidFill>
          </w14:textFill>
        </w:rPr>
      </w:pPr>
      <w:r>
        <w:rPr>
          <w:rFonts w:hint="eastAsia" w:eastAsiaTheme="minorEastAsia"/>
          <w:color w:val="000000" w:themeColor="text1"/>
          <w:sz w:val="21"/>
          <w:szCs w:val="21"/>
          <w:lang w:eastAsia="zh-CN"/>
          <w14:textFill>
            <w14:solidFill>
              <w14:schemeClr w14:val="tx1"/>
            </w14:solidFill>
          </w14:textFill>
        </w:rPr>
        <w:t xml:space="preserve"> </w:t>
      </w:r>
      <w:r>
        <w:rPr>
          <w:rFonts w:hint="eastAsia"/>
          <w:color w:val="000000" w:themeColor="text1"/>
          <w:sz w:val="21"/>
          <w:szCs w:val="21"/>
          <w:lang w:val="en-US" w:eastAsia="zh-CN" w:bidi="en-US"/>
          <w14:textFill>
            <w14:solidFill>
              <w14:schemeClr w14:val="tx1"/>
            </w14:solidFill>
          </w14:textFill>
        </w:rPr>
        <w:t>空调系统冷源性能检测抽样数量应符合下列规定：</w:t>
      </w:r>
    </w:p>
    <w:p>
      <w:pPr>
        <w:pStyle w:val="178"/>
        <w:numPr>
          <w:ilvl w:val="0"/>
          <w:numId w:val="62"/>
        </w:numPr>
        <w:rPr>
          <w:rFonts w:eastAsia="PMingLiU"/>
          <w:color w:val="000000" w:themeColor="text1"/>
          <w14:textFill>
            <w14:solidFill>
              <w14:schemeClr w14:val="tx1"/>
            </w14:solidFill>
          </w14:textFill>
        </w:rPr>
      </w:pPr>
      <w:r>
        <w:rPr>
          <w:rFonts w:eastAsia="PMingLiU"/>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对于冷水机组能效比</w:t>
      </w:r>
      <w:r>
        <w:rPr>
          <w:color w:val="000000" w:themeColor="text1"/>
          <w14:textFill>
            <w14:solidFill>
              <w14:schemeClr w14:val="tx1"/>
            </w14:solidFill>
          </w14:textFill>
        </w:rPr>
        <w:t>检测</w:t>
      </w:r>
      <w:r>
        <w:rPr>
          <w:rFonts w:hint="eastAsia"/>
          <w:color w:val="000000" w:themeColor="text1"/>
          <w14:textFill>
            <w14:solidFill>
              <w14:schemeClr w14:val="tx1"/>
            </w14:solidFill>
          </w14:textFill>
        </w:rPr>
        <w:t>，不同类型的冷水机组应至少抽取1台；</w:t>
      </w:r>
    </w:p>
    <w:p>
      <w:pPr>
        <w:pStyle w:val="178"/>
        <w:numPr>
          <w:ilvl w:val="0"/>
          <w:numId w:val="62"/>
        </w:numPr>
        <w:rPr>
          <w:rFonts w:eastAsiaTheme="minorEastAsia"/>
          <w:color w:val="000000" w:themeColor="text1"/>
          <w:szCs w:val="21"/>
          <w14:textFill>
            <w14:solidFill>
              <w14:schemeClr w14:val="tx1"/>
            </w14:solidFill>
          </w14:textFill>
        </w:rPr>
      </w:pPr>
      <w:r>
        <w:rPr>
          <w:rFonts w:eastAsia="PMingLiU"/>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对于</w:t>
      </w:r>
      <w:r>
        <w:rPr>
          <w:color w:val="000000" w:themeColor="text1"/>
          <w:szCs w:val="21"/>
          <w14:textFill>
            <w14:solidFill>
              <w14:schemeClr w14:val="tx1"/>
            </w14:solidFill>
          </w14:textFill>
        </w:rPr>
        <w:t>冷源系统</w:t>
      </w:r>
      <w:r>
        <w:rPr>
          <w:rFonts w:hint="eastAsia"/>
          <w:color w:val="000000" w:themeColor="text1"/>
          <w:szCs w:val="21"/>
          <w14:textFill>
            <w14:solidFill>
              <w14:schemeClr w14:val="tx1"/>
            </w14:solidFill>
          </w14:textFill>
        </w:rPr>
        <w:t>能效比</w:t>
      </w:r>
      <w:r>
        <w:rPr>
          <w:color w:val="000000" w:themeColor="text1"/>
          <w:szCs w:val="21"/>
          <w14:textFill>
            <w14:solidFill>
              <w14:schemeClr w14:val="tx1"/>
            </w14:solidFill>
          </w14:textFill>
        </w:rPr>
        <w:t>检测</w:t>
      </w:r>
      <w:r>
        <w:rPr>
          <w:rFonts w:hint="eastAsia"/>
          <w:color w:val="000000" w:themeColor="text1"/>
          <w:szCs w:val="21"/>
          <w14:textFill>
            <w14:solidFill>
              <w14:schemeClr w14:val="tx1"/>
            </w14:solidFill>
          </w14:textFill>
        </w:rPr>
        <w:t>，应至少抽取</w:t>
      </w:r>
      <w:r>
        <w:rPr>
          <w:color w:val="000000" w:themeColor="text1"/>
          <w:szCs w:val="21"/>
          <w14:textFill>
            <w14:solidFill>
              <w14:schemeClr w14:val="tx1"/>
            </w14:solidFill>
          </w14:textFill>
        </w:rPr>
        <w:t>1个系统。</w:t>
      </w:r>
    </w:p>
    <w:p>
      <w:pPr>
        <w:pStyle w:val="236"/>
        <w:numPr>
          <w:ilvl w:val="0"/>
          <w:numId w:val="61"/>
        </w:numPr>
        <w:spacing w:line="240" w:lineRule="auto"/>
        <w:rPr>
          <w:color w:val="000000" w:themeColor="text1"/>
          <w:sz w:val="21"/>
          <w:szCs w:val="21"/>
          <w14:textFill>
            <w14:solidFill>
              <w14:schemeClr w14:val="tx1"/>
            </w14:solidFill>
          </w14:textFill>
        </w:rPr>
      </w:pPr>
      <w:r>
        <w:rPr>
          <w:color w:val="000000" w:themeColor="text1"/>
          <w:sz w:val="21"/>
          <w:szCs w:val="21"/>
          <w:lang w:val="en-US" w:eastAsia="zh-CN" w:bidi="en-US"/>
          <w14:textFill>
            <w14:solidFill>
              <w14:schemeClr w14:val="tx1"/>
            </w14:solidFill>
          </w14:textFill>
        </w:rPr>
        <w:t xml:space="preserve"> </w:t>
      </w:r>
      <w:r>
        <w:rPr>
          <w:color w:val="000000" w:themeColor="text1"/>
          <w:sz w:val="21"/>
          <w:szCs w:val="21"/>
          <w14:textFill>
            <w14:solidFill>
              <w14:schemeClr w14:val="tx1"/>
            </w14:solidFill>
          </w14:textFill>
        </w:rPr>
        <w:t>冷水机组</w:t>
      </w:r>
      <w:r>
        <w:rPr>
          <w:rFonts w:hint="eastAsia"/>
          <w:color w:val="000000" w:themeColor="text1"/>
          <w:sz w:val="21"/>
          <w:szCs w:val="21"/>
          <w14:textFill>
            <w14:solidFill>
              <w14:schemeClr w14:val="tx1"/>
            </w14:solidFill>
          </w14:textFill>
        </w:rPr>
        <w:t>能效比和冷源系统能效比</w:t>
      </w:r>
      <w:r>
        <w:rPr>
          <w:color w:val="000000" w:themeColor="text1"/>
          <w:sz w:val="21"/>
          <w:szCs w:val="21"/>
          <w14:textFill>
            <w14:solidFill>
              <w14:schemeClr w14:val="tx1"/>
            </w14:solidFill>
          </w14:textFill>
        </w:rPr>
        <w:t>检测</w:t>
      </w:r>
      <w:r>
        <w:rPr>
          <w:rFonts w:hint="eastAsia"/>
          <w:color w:val="000000" w:themeColor="text1"/>
          <w:sz w:val="21"/>
          <w:szCs w:val="21"/>
          <w14:textFill>
            <w14:solidFill>
              <w14:schemeClr w14:val="tx1"/>
            </w14:solidFill>
          </w14:textFill>
        </w:rPr>
        <w:t>方法</w:t>
      </w:r>
      <w:r>
        <w:rPr>
          <w:color w:val="000000" w:themeColor="text1"/>
          <w:sz w:val="21"/>
          <w:szCs w:val="21"/>
          <w14:textFill>
            <w14:solidFill>
              <w14:schemeClr w14:val="tx1"/>
            </w14:solidFill>
          </w14:textFill>
        </w:rPr>
        <w:t>应符合现行行业标准《公共建筑节能</w:t>
      </w:r>
    </w:p>
    <w:p>
      <w:pPr>
        <w:pStyle w:val="236"/>
        <w:spacing w:line="240" w:lineRule="auto"/>
        <w:ind w:firstLine="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检测标准》 </w:t>
      </w:r>
      <w:r>
        <w:rPr>
          <w:color w:val="000000" w:themeColor="text1"/>
          <w:sz w:val="21"/>
          <w:szCs w:val="21"/>
          <w:lang w:val="en-US" w:eastAsia="zh-CN" w:bidi="en-US"/>
          <w14:textFill>
            <w14:solidFill>
              <w14:schemeClr w14:val="tx1"/>
            </w14:solidFill>
          </w14:textFill>
        </w:rPr>
        <w:t>JG</w:t>
      </w:r>
      <w:r>
        <w:rPr>
          <w:rFonts w:hint="eastAsia"/>
          <w:color w:val="000000" w:themeColor="text1"/>
          <w:sz w:val="21"/>
          <w:szCs w:val="21"/>
          <w:lang w:val="en-US" w:eastAsia="zh-CN" w:bidi="en-US"/>
          <w14:textFill>
            <w14:solidFill>
              <w14:schemeClr w14:val="tx1"/>
            </w14:solidFill>
          </w14:textFill>
        </w:rPr>
        <w:t>J/</w:t>
      </w:r>
      <w:r>
        <w:rPr>
          <w:color w:val="000000" w:themeColor="text1"/>
          <w:sz w:val="21"/>
          <w:szCs w:val="21"/>
          <w:lang w:val="en-US" w:eastAsia="zh-CN" w:bidi="en-US"/>
          <w14:textFill>
            <w14:solidFill>
              <w14:schemeClr w14:val="tx1"/>
            </w14:solidFill>
          </w14:textFill>
        </w:rPr>
        <w:t>T 177</w:t>
      </w:r>
      <w:r>
        <w:rPr>
          <w:color w:val="000000" w:themeColor="text1"/>
          <w:sz w:val="21"/>
          <w:szCs w:val="21"/>
          <w14:textFill>
            <w14:solidFill>
              <w14:schemeClr w14:val="tx1"/>
            </w14:solidFill>
          </w14:textFill>
        </w:rPr>
        <w:t>的规定</w:t>
      </w:r>
      <w:r>
        <w:rPr>
          <w:rFonts w:hint="eastAsia"/>
          <w:color w:val="000000" w:themeColor="text1"/>
          <w:sz w:val="21"/>
          <w:szCs w:val="21"/>
          <w14:textFill>
            <w14:solidFill>
              <w14:schemeClr w14:val="tx1"/>
            </w14:solidFill>
          </w14:textFill>
        </w:rPr>
        <w:t>。</w:t>
      </w:r>
    </w:p>
    <w:p>
      <w:pPr>
        <w:pStyle w:val="69"/>
        <w:spacing w:before="120" w:after="120"/>
        <w:rPr>
          <w:color w:val="000000" w:themeColor="text1"/>
          <w:lang w:bidi="zh-CN"/>
          <w14:textFill>
            <w14:solidFill>
              <w14:schemeClr w14:val="tx1"/>
            </w14:solidFill>
          </w14:textFill>
        </w:rPr>
      </w:pPr>
      <w:bookmarkStart w:id="149" w:name="bookmark112"/>
      <w:bookmarkStart w:id="150" w:name="bookmark111"/>
      <w:bookmarkStart w:id="151" w:name="bookmark113"/>
      <w:r>
        <w:rPr>
          <w:rFonts w:hint="eastAsia"/>
          <w:color w:val="000000" w:themeColor="text1"/>
          <w:lang w:bidi="zh-CN"/>
          <w14:textFill>
            <w14:solidFill>
              <w14:schemeClr w14:val="tx1"/>
            </w14:solidFill>
          </w14:textFill>
        </w:rPr>
        <w:t>8.3</w:t>
      </w:r>
      <w:r>
        <w:rPr>
          <w:color w:val="000000" w:themeColor="text1"/>
          <w:lang w:bidi="zh-CN"/>
          <w14:textFill>
            <w14:solidFill>
              <w14:schemeClr w14:val="tx1"/>
            </w14:solidFill>
          </w14:textFill>
        </w:rPr>
        <w:t xml:space="preserve"> </w:t>
      </w:r>
      <w:r>
        <w:rPr>
          <w:rFonts w:hint="eastAsia"/>
          <w:color w:val="000000" w:themeColor="text1"/>
          <w:lang w:bidi="zh-CN"/>
          <w14:textFill>
            <w14:solidFill>
              <w14:schemeClr w14:val="tx1"/>
            </w14:solidFill>
          </w14:textFill>
        </w:rPr>
        <w:t>空调系统循环水流量检测</w:t>
      </w:r>
      <w:bookmarkEnd w:id="149"/>
      <w:bookmarkEnd w:id="150"/>
      <w:bookmarkEnd w:id="151"/>
    </w:p>
    <w:p>
      <w:pPr>
        <w:pStyle w:val="236"/>
        <w:numPr>
          <w:ilvl w:val="0"/>
          <w:numId w:val="63"/>
        </w:numPr>
        <w:spacing w:line="240" w:lineRule="auto"/>
        <w:ind w:left="142" w:hanging="142"/>
        <w:jc w:val="left"/>
        <w:rPr>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 xml:space="preserve"> 空调系统循环水流量包括冷冻水流量、热水流量以及冷却水流量；</w:t>
      </w:r>
    </w:p>
    <w:p>
      <w:pPr>
        <w:pStyle w:val="236"/>
        <w:numPr>
          <w:ilvl w:val="0"/>
          <w:numId w:val="63"/>
        </w:numPr>
        <w:spacing w:line="240" w:lineRule="auto"/>
        <w:ind w:left="142" w:hanging="142"/>
        <w:jc w:val="left"/>
        <w:rPr>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 xml:space="preserve"> 空调系统循环水流量应全数检测；</w:t>
      </w:r>
    </w:p>
    <w:p>
      <w:pPr>
        <w:pStyle w:val="236"/>
        <w:numPr>
          <w:ilvl w:val="0"/>
          <w:numId w:val="63"/>
        </w:numPr>
        <w:spacing w:line="240" w:lineRule="auto"/>
        <w:ind w:left="142" w:hanging="142"/>
        <w:jc w:val="left"/>
        <w:rPr>
          <w:color w:val="000000" w:themeColor="text1"/>
          <w:sz w:val="21"/>
          <w:szCs w:val="21"/>
          <w:lang w:val="en-US" w:eastAsia="zh-CN" w:bidi="en-US"/>
          <w14:textFill>
            <w14:solidFill>
              <w14:schemeClr w14:val="tx1"/>
            </w14:solidFill>
          </w14:textFill>
        </w:rPr>
      </w:pPr>
      <w:r>
        <w:rPr>
          <w:rFonts w:hint="eastAsia"/>
          <w:color w:val="000000" w:themeColor="text1"/>
          <w:lang w:val="en-US" w:eastAsia="zh-CN" w:bidi="en-US"/>
          <w14:textFill>
            <w14:solidFill>
              <w14:schemeClr w14:val="tx1"/>
            </w14:solidFill>
          </w14:textFill>
        </w:rPr>
        <w:t xml:space="preserve"> </w:t>
      </w:r>
      <w:r>
        <w:rPr>
          <w:rFonts w:hint="eastAsia"/>
          <w:color w:val="000000" w:themeColor="text1"/>
          <w:sz w:val="21"/>
          <w:szCs w:val="21"/>
          <w:lang w:val="en-US" w:eastAsia="zh-CN" w:bidi="en-US"/>
          <w14:textFill>
            <w14:solidFill>
              <w14:schemeClr w14:val="tx1"/>
            </w14:solidFill>
          </w14:textFill>
        </w:rPr>
        <w:t>空调系统循环水流量检测方法应符合现行行业标准《采暖通风与空气调节工程检测</w:t>
      </w:r>
    </w:p>
    <w:p>
      <w:pPr>
        <w:pStyle w:val="236"/>
        <w:spacing w:line="240" w:lineRule="auto"/>
        <w:ind w:firstLine="0"/>
        <w:jc w:val="left"/>
        <w:rPr>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技术规程》</w:t>
      </w:r>
      <w:r>
        <w:rPr>
          <w:color w:val="000000" w:themeColor="text1"/>
          <w:sz w:val="21"/>
          <w:szCs w:val="21"/>
          <w:lang w:val="en-US" w:eastAsia="zh-CN" w:bidi="en-US"/>
          <w14:textFill>
            <w14:solidFill>
              <w14:schemeClr w14:val="tx1"/>
            </w14:solidFill>
          </w14:textFill>
        </w:rPr>
        <w:t xml:space="preserve">JGJ/T 260 </w:t>
      </w:r>
      <w:r>
        <w:rPr>
          <w:rFonts w:hint="eastAsia"/>
          <w:color w:val="000000" w:themeColor="text1"/>
          <w:sz w:val="21"/>
          <w:szCs w:val="21"/>
          <w:lang w:val="en-US" w:eastAsia="zh-CN" w:bidi="en-US"/>
          <w14:textFill>
            <w14:solidFill>
              <w14:schemeClr w14:val="tx1"/>
            </w14:solidFill>
          </w14:textFill>
        </w:rPr>
        <w:t>的规定。</w:t>
      </w:r>
    </w:p>
    <w:p>
      <w:pPr>
        <w:widowControl/>
        <w:adjustRightInd/>
        <w:spacing w:line="240" w:lineRule="auto"/>
        <w:jc w:val="left"/>
        <w:rPr>
          <w:color w:val="000000" w:themeColor="text1"/>
          <w:lang w:bidi="en-US"/>
          <w14:textFill>
            <w14:solidFill>
              <w14:schemeClr w14:val="tx1"/>
            </w14:solidFill>
          </w14:textFill>
        </w:rPr>
      </w:pPr>
    </w:p>
    <w:p>
      <w:pPr>
        <w:pStyle w:val="69"/>
        <w:spacing w:before="120" w:after="120"/>
        <w:rPr>
          <w:color w:val="000000" w:themeColor="text1"/>
          <w:lang w:bidi="zh-CN"/>
          <w14:textFill>
            <w14:solidFill>
              <w14:schemeClr w14:val="tx1"/>
            </w14:solidFill>
          </w14:textFill>
        </w:rPr>
      </w:pPr>
      <w:r>
        <w:rPr>
          <w:rFonts w:hint="eastAsia"/>
          <w:color w:val="000000" w:themeColor="text1"/>
          <w14:textFill>
            <w14:solidFill>
              <w14:schemeClr w14:val="tx1"/>
            </w14:solidFill>
          </w14:textFill>
        </w:rPr>
        <w:t>8.</w:t>
      </w:r>
      <w:r>
        <w:rPr>
          <w:color w:val="000000" w:themeColor="text1"/>
          <w14:textFill>
            <w14:solidFill>
              <w14:schemeClr w14:val="tx1"/>
            </w14:solidFill>
          </w14:textFill>
        </w:rPr>
        <w:t xml:space="preserve">4 </w:t>
      </w:r>
      <w:r>
        <w:rPr>
          <w:rFonts w:hint="eastAsia"/>
          <w:color w:val="000000" w:themeColor="text1"/>
          <w:lang w:bidi="zh-CN"/>
          <w14:textFill>
            <w14:solidFill>
              <w14:schemeClr w14:val="tx1"/>
            </w14:solidFill>
          </w14:textFill>
        </w:rPr>
        <w:t>空调机组水流量检测</w:t>
      </w:r>
    </w:p>
    <w:p>
      <w:pPr>
        <w:pStyle w:val="236"/>
        <w:numPr>
          <w:ilvl w:val="0"/>
          <w:numId w:val="64"/>
        </w:numPr>
        <w:spacing w:line="240" w:lineRule="auto"/>
        <w:rPr>
          <w:color w:val="000000" w:themeColor="text1"/>
          <w:sz w:val="21"/>
          <w:szCs w:val="21"/>
          <w:lang w:val="en-US" w:eastAsia="zh-CN" w:bidi="en-US"/>
          <w14:textFill>
            <w14:solidFill>
              <w14:schemeClr w14:val="tx1"/>
            </w14:solidFill>
          </w14:textFill>
        </w:rPr>
      </w:pPr>
      <w:r>
        <w:rPr>
          <w:color w:val="000000" w:themeColor="text1"/>
          <w:sz w:val="21"/>
          <w:szCs w:val="21"/>
          <w:lang w:val="en-US" w:eastAsia="zh-CN" w:bidi="en-US"/>
          <w14:textFill>
            <w14:solidFill>
              <w14:schemeClr w14:val="tx1"/>
            </w14:solidFill>
          </w14:textFill>
        </w:rPr>
        <w:t xml:space="preserve"> </w:t>
      </w:r>
      <w:r>
        <w:rPr>
          <w:rFonts w:hint="eastAsia"/>
          <w:color w:val="000000" w:themeColor="text1"/>
          <w:sz w:val="21"/>
          <w:szCs w:val="21"/>
          <w:lang w:val="en-US" w:eastAsia="zh-CN" w:bidi="en-US"/>
          <w14:textFill>
            <w14:solidFill>
              <w14:schemeClr w14:val="tx1"/>
            </w14:solidFill>
          </w14:textFill>
        </w:rPr>
        <w:t>以空调机组数量为受检样本基数，抽样数量应符合本文件4</w:t>
      </w:r>
      <w:r>
        <w:rPr>
          <w:color w:val="000000" w:themeColor="text1"/>
          <w:sz w:val="21"/>
          <w:szCs w:val="21"/>
          <w:lang w:val="en-US" w:eastAsia="zh-CN" w:bidi="en-US"/>
          <w14:textFill>
            <w14:solidFill>
              <w14:schemeClr w14:val="tx1"/>
            </w14:solidFill>
          </w14:textFill>
        </w:rPr>
        <w:t>.6</w:t>
      </w:r>
      <w:r>
        <w:rPr>
          <w:rFonts w:hint="eastAsia"/>
          <w:color w:val="000000" w:themeColor="text1"/>
          <w:sz w:val="21"/>
          <w:szCs w:val="21"/>
          <w:lang w:val="en-US" w:eastAsia="zh-CN" w:bidi="en-US"/>
          <w14:textFill>
            <w14:solidFill>
              <w14:schemeClr w14:val="tx1"/>
            </w14:solidFill>
          </w14:textFill>
        </w:rPr>
        <w:t>的规定；</w:t>
      </w:r>
    </w:p>
    <w:p>
      <w:pPr>
        <w:pStyle w:val="236"/>
        <w:numPr>
          <w:ilvl w:val="0"/>
          <w:numId w:val="64"/>
        </w:numPr>
        <w:spacing w:line="240" w:lineRule="auto"/>
        <w:rPr>
          <w:color w:val="000000" w:themeColor="text1"/>
          <w:sz w:val="21"/>
          <w:szCs w:val="21"/>
          <w:lang w:val="en-US" w:eastAsia="zh-CN" w:bidi="en-US"/>
          <w14:textFill>
            <w14:solidFill>
              <w14:schemeClr w14:val="tx1"/>
            </w14:solidFill>
          </w14:textFill>
        </w:rPr>
      </w:pPr>
      <w:r>
        <w:rPr>
          <w:color w:val="000000" w:themeColor="text1"/>
          <w:sz w:val="21"/>
          <w:szCs w:val="21"/>
          <w:lang w:val="en-US" w:eastAsia="zh-CN" w:bidi="en-US"/>
          <w14:textFill>
            <w14:solidFill>
              <w14:schemeClr w14:val="tx1"/>
            </w14:solidFill>
          </w14:textFill>
        </w:rPr>
        <w:t xml:space="preserve"> </w:t>
      </w:r>
      <w:r>
        <w:rPr>
          <w:rFonts w:hint="eastAsia"/>
          <w:color w:val="000000" w:themeColor="text1"/>
          <w:sz w:val="21"/>
          <w:szCs w:val="21"/>
          <w:lang w:val="en-US" w:eastAsia="zh-CN" w:bidi="en-US"/>
          <w14:textFill>
            <w14:solidFill>
              <w14:schemeClr w14:val="tx1"/>
            </w14:solidFill>
          </w14:textFill>
        </w:rPr>
        <w:t>空调机组水流量检测</w:t>
      </w:r>
      <w:r>
        <w:rPr>
          <w:rFonts w:hint="eastAsia"/>
          <w:color w:val="000000" w:themeColor="text1"/>
          <w:sz w:val="21"/>
          <w:szCs w:val="21"/>
          <w:lang w:bidi="en-US"/>
          <w14:textFill>
            <w14:solidFill>
              <w14:schemeClr w14:val="tx1"/>
            </w14:solidFill>
          </w14:textFill>
        </w:rPr>
        <w:t>方法应符合现行行业标准《采暖通风与空气调节工程检测技术</w:t>
      </w:r>
      <w:r>
        <w:rPr>
          <w:rFonts w:hint="eastAsia"/>
          <w:color w:val="000000" w:themeColor="text1"/>
          <w:sz w:val="21"/>
          <w:szCs w:val="21"/>
          <w:lang w:val="en-US" w:eastAsia="zh-CN" w:bidi="en-US"/>
          <w14:textFill>
            <w14:solidFill>
              <w14:schemeClr w14:val="tx1"/>
            </w14:solidFill>
          </w14:textFill>
        </w:rPr>
        <w:t>规</w:t>
      </w:r>
    </w:p>
    <w:p>
      <w:pPr>
        <w:pStyle w:val="236"/>
        <w:spacing w:line="240" w:lineRule="auto"/>
        <w:ind w:firstLine="0"/>
        <w:rPr>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程》</w:t>
      </w:r>
      <w:r>
        <w:rPr>
          <w:color w:val="000000" w:themeColor="text1"/>
          <w:sz w:val="21"/>
          <w:szCs w:val="21"/>
          <w:lang w:val="en-US" w:eastAsia="zh-CN" w:bidi="en-US"/>
          <w14:textFill>
            <w14:solidFill>
              <w14:schemeClr w14:val="tx1"/>
            </w14:solidFill>
          </w14:textFill>
        </w:rPr>
        <w:t xml:space="preserve">JGJ/T 260 </w:t>
      </w:r>
      <w:r>
        <w:rPr>
          <w:rFonts w:hint="eastAsia"/>
          <w:color w:val="000000" w:themeColor="text1"/>
          <w:sz w:val="21"/>
          <w:szCs w:val="21"/>
          <w:lang w:val="en-US" w:eastAsia="zh-CN" w:bidi="en-US"/>
          <w14:textFill>
            <w14:solidFill>
              <w14:schemeClr w14:val="tx1"/>
            </w14:solidFill>
          </w14:textFill>
        </w:rPr>
        <w:t>的规定</w:t>
      </w:r>
      <w:r>
        <w:rPr>
          <w:rFonts w:hint="eastAsia"/>
          <w:color w:val="000000" w:themeColor="text1"/>
          <w:lang w:bidi="en-US"/>
          <w14:textFill>
            <w14:solidFill>
              <w14:schemeClr w14:val="tx1"/>
            </w14:solidFill>
          </w14:textFill>
        </w:rPr>
        <w:t>。</w:t>
      </w:r>
    </w:p>
    <w:p>
      <w:pPr>
        <w:widowControl/>
        <w:adjustRightInd/>
        <w:spacing w:line="240" w:lineRule="auto"/>
        <w:jc w:val="left"/>
        <w:rPr>
          <w:color w:val="000000"/>
          <w:lang w:bidi="en-US"/>
        </w:rPr>
      </w:pPr>
    </w:p>
    <w:p>
      <w:pPr>
        <w:pStyle w:val="69"/>
        <w:spacing w:before="120" w:after="120"/>
        <w:rPr>
          <w:lang w:bidi="zh-CN"/>
        </w:rPr>
      </w:pPr>
      <w:bookmarkStart w:id="152" w:name="bookmark117"/>
      <w:bookmarkStart w:id="153" w:name="bookmark119"/>
      <w:bookmarkStart w:id="154" w:name="bookmark118"/>
      <w:r>
        <w:rPr>
          <w:rFonts w:hint="eastAsia"/>
          <w:lang w:bidi="zh-CN"/>
        </w:rPr>
        <w:t>8.</w:t>
      </w:r>
      <w:r>
        <w:rPr>
          <w:lang w:bidi="zh-CN"/>
        </w:rPr>
        <w:t xml:space="preserve">5 </w:t>
      </w:r>
      <w:r>
        <w:rPr>
          <w:rFonts w:hint="eastAsia"/>
          <w:lang w:bidi="zh-CN"/>
        </w:rPr>
        <w:t>耗电输冷（热）比检测</w:t>
      </w:r>
      <w:bookmarkEnd w:id="152"/>
      <w:bookmarkEnd w:id="153"/>
      <w:bookmarkEnd w:id="154"/>
    </w:p>
    <w:p>
      <w:pPr>
        <w:pStyle w:val="236"/>
        <w:numPr>
          <w:ilvl w:val="0"/>
          <w:numId w:val="65"/>
        </w:numPr>
        <w:spacing w:line="240" w:lineRule="auto"/>
        <w:jc w:val="left"/>
        <w:rPr>
          <w:color w:val="000000" w:themeColor="text1"/>
          <w:sz w:val="21"/>
          <w:szCs w:val="21"/>
          <w:lang w:val="en-US" w:eastAsia="zh-CN" w:bidi="en-US"/>
          <w14:textFill>
            <w14:solidFill>
              <w14:schemeClr w14:val="tx1"/>
            </w14:solidFill>
          </w14:textFill>
        </w:rPr>
      </w:pPr>
      <w:r>
        <w:rPr>
          <w:rFonts w:hint="eastAsia"/>
          <w:color w:val="000000" w:themeColor="text1"/>
          <w:sz w:val="21"/>
          <w:szCs w:val="21"/>
          <w:lang w:val="en-US" w:eastAsia="zh-CN" w:bidi="en-US"/>
          <w14:textFill>
            <w14:solidFill>
              <w14:schemeClr w14:val="tx1"/>
            </w14:solidFill>
          </w14:textFill>
        </w:rPr>
        <w:t xml:space="preserve"> 应至少抽取1个系统进行</w:t>
      </w:r>
      <w:r>
        <w:rPr>
          <w:color w:val="000000" w:themeColor="text1"/>
          <w:sz w:val="21"/>
          <w:szCs w:val="21"/>
          <w14:textFill>
            <w14:solidFill>
              <w14:schemeClr w14:val="tx1"/>
            </w14:solidFill>
          </w14:textFill>
        </w:rPr>
        <w:t>耗电输</w:t>
      </w:r>
      <w:r>
        <w:rPr>
          <w:rFonts w:hint="eastAsia"/>
          <w:color w:val="000000" w:themeColor="text1"/>
          <w:sz w:val="21"/>
          <w:szCs w:val="21"/>
          <w14:textFill>
            <w14:solidFill>
              <w14:schemeClr w14:val="tx1"/>
            </w14:solidFill>
          </w14:textFill>
        </w:rPr>
        <w:t>冷</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热</w:t>
      </w:r>
      <w:r>
        <w:rPr>
          <w:color w:val="000000" w:themeColor="text1"/>
          <w:sz w:val="21"/>
          <w:szCs w:val="21"/>
          <w14:textFill>
            <w14:solidFill>
              <w14:schemeClr w14:val="tx1"/>
            </w14:solidFill>
          </w14:textFill>
        </w:rPr>
        <w:t>）比检测。</w:t>
      </w:r>
    </w:p>
    <w:p>
      <w:pPr>
        <w:pStyle w:val="236"/>
        <w:numPr>
          <w:ilvl w:val="0"/>
          <w:numId w:val="65"/>
        </w:numPr>
        <w:spacing w:line="240" w:lineRule="auto"/>
        <w:jc w:val="left"/>
        <w:rPr>
          <w:color w:val="000000"/>
          <w:sz w:val="21"/>
          <w:szCs w:val="21"/>
          <w:lang w:val="en-US" w:eastAsia="zh-CN" w:bidi="en-US"/>
        </w:rPr>
      </w:pPr>
      <w:r>
        <w:rPr>
          <w:rFonts w:hint="eastAsia"/>
          <w:color w:val="000000"/>
          <w:sz w:val="21"/>
          <w:szCs w:val="21"/>
          <w:lang w:val="en-US" w:eastAsia="zh-CN" w:bidi="en-US"/>
        </w:rPr>
        <w:t xml:space="preserve"> </w:t>
      </w:r>
      <w:r>
        <w:rPr>
          <w:color w:val="000000" w:themeColor="text1"/>
          <w:sz w:val="21"/>
          <w:szCs w:val="21"/>
          <w14:textFill>
            <w14:solidFill>
              <w14:schemeClr w14:val="tx1"/>
            </w14:solidFill>
          </w14:textFill>
        </w:rPr>
        <w:t>耗电输</w:t>
      </w:r>
      <w:r>
        <w:rPr>
          <w:rFonts w:hint="eastAsia"/>
          <w:color w:val="000000" w:themeColor="text1"/>
          <w:sz w:val="21"/>
          <w:szCs w:val="21"/>
          <w14:textFill>
            <w14:solidFill>
              <w14:schemeClr w14:val="tx1"/>
            </w14:solidFill>
          </w14:textFill>
        </w:rPr>
        <w:t>冷</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热</w:t>
      </w:r>
      <w:r>
        <w:rPr>
          <w:color w:val="000000" w:themeColor="text1"/>
          <w:sz w:val="21"/>
          <w:szCs w:val="21"/>
          <w14:textFill>
            <w14:solidFill>
              <w14:schemeClr w14:val="tx1"/>
            </w14:solidFill>
          </w14:textFill>
        </w:rPr>
        <w:t>）比检测</w:t>
      </w:r>
      <w:r>
        <w:rPr>
          <w:rFonts w:hint="eastAsia"/>
          <w:color w:val="000000" w:themeColor="text1"/>
          <w:sz w:val="21"/>
          <w:szCs w:val="21"/>
          <w14:textFill>
            <w14:solidFill>
              <w14:schemeClr w14:val="tx1"/>
            </w14:solidFill>
          </w14:textFill>
        </w:rPr>
        <w:t>参数</w:t>
      </w:r>
      <w:r>
        <w:rPr>
          <w:color w:val="000000"/>
          <w:sz w:val="21"/>
          <w:szCs w:val="21"/>
        </w:rPr>
        <w:t>应包括系统实际供热（冷）量、循环水泵耗电量。</w:t>
      </w:r>
    </w:p>
    <w:p>
      <w:pPr>
        <w:pStyle w:val="236"/>
        <w:numPr>
          <w:ilvl w:val="0"/>
          <w:numId w:val="65"/>
        </w:numPr>
        <w:spacing w:line="240" w:lineRule="auto"/>
        <w:jc w:val="left"/>
        <w:rPr>
          <w:color w:val="000000"/>
          <w:sz w:val="21"/>
          <w:szCs w:val="21"/>
          <w:lang w:val="en-US" w:eastAsia="zh-CN" w:bidi="en-US"/>
        </w:rPr>
      </w:pPr>
      <w:r>
        <w:rPr>
          <w:rFonts w:hint="eastAsia"/>
          <w:color w:val="000000"/>
          <w:sz w:val="21"/>
          <w:szCs w:val="21"/>
          <w:lang w:val="en-US" w:eastAsia="zh-CN" w:bidi="en-US"/>
        </w:rPr>
        <w:t xml:space="preserve"> </w:t>
      </w:r>
      <w:r>
        <w:rPr>
          <w:rFonts w:hint="eastAsia"/>
          <w:color w:val="000000"/>
          <w:sz w:val="21"/>
          <w:szCs w:val="21"/>
          <w:lang w:eastAsia="zh-CN"/>
        </w:rPr>
        <w:t>耗电输冷（热）比的检测条件应满足下列规定：</w:t>
      </w:r>
    </w:p>
    <w:p>
      <w:pPr>
        <w:pStyle w:val="178"/>
        <w:numPr>
          <w:ilvl w:val="0"/>
          <w:numId w:val="66"/>
        </w:numPr>
        <w:rPr>
          <w:rFonts w:eastAsia="PMingLiU"/>
          <w:color w:val="000000"/>
          <w:szCs w:val="21"/>
        </w:rPr>
      </w:pPr>
      <w:r>
        <w:rPr>
          <w:color w:val="000000"/>
          <w:szCs w:val="21"/>
        </w:rPr>
        <w:t xml:space="preserve"> </w:t>
      </w:r>
      <w:r>
        <w:rPr>
          <w:rFonts w:hint="eastAsia"/>
          <w:color w:val="000000"/>
          <w:szCs w:val="21"/>
        </w:rPr>
        <w:t>空调冷（热）源和循环水泵的铭牌参数应符合设计要求；</w:t>
      </w:r>
    </w:p>
    <w:p>
      <w:pPr>
        <w:pStyle w:val="178"/>
        <w:numPr>
          <w:ilvl w:val="0"/>
          <w:numId w:val="62"/>
        </w:numPr>
        <w:rPr>
          <w:rFonts w:eastAsia="PMingLiU"/>
          <w:color w:val="000000"/>
          <w:szCs w:val="21"/>
        </w:rPr>
      </w:pPr>
      <w:r>
        <w:rPr>
          <w:rFonts w:eastAsiaTheme="minorEastAsia"/>
          <w:color w:val="000000"/>
          <w:szCs w:val="21"/>
        </w:rPr>
        <w:t xml:space="preserve"> </w:t>
      </w:r>
      <w:r>
        <w:rPr>
          <w:rFonts w:hint="eastAsia"/>
          <w:color w:val="000000"/>
          <w:szCs w:val="21"/>
        </w:rPr>
        <w:t>空调冷（热）水系统运行正常，系统负荷不宜小于实际运行最大负荷的6</w:t>
      </w:r>
      <w:r>
        <w:rPr>
          <w:color w:val="000000"/>
          <w:szCs w:val="21"/>
        </w:rPr>
        <w:t>0</w:t>
      </w:r>
      <w:r>
        <w:rPr>
          <w:rFonts w:hint="eastAsia"/>
          <w:color w:val="000000"/>
          <w:szCs w:val="21"/>
        </w:rPr>
        <w:t>%，且运行</w:t>
      </w:r>
    </w:p>
    <w:p>
      <w:pPr>
        <w:pStyle w:val="236"/>
        <w:spacing w:line="240" w:lineRule="auto"/>
        <w:ind w:firstLine="18" w:firstLineChars="9"/>
        <w:rPr>
          <w:rFonts w:eastAsia="PMingLiU"/>
          <w:color w:val="000000"/>
          <w:sz w:val="21"/>
          <w:szCs w:val="21"/>
        </w:rPr>
      </w:pPr>
      <w:r>
        <w:rPr>
          <w:rFonts w:hint="eastAsia"/>
          <w:color w:val="000000"/>
          <w:sz w:val="21"/>
          <w:szCs w:val="21"/>
        </w:rPr>
        <w:t>机组负荷不宜小于其额定负荷的8</w:t>
      </w:r>
      <w:r>
        <w:rPr>
          <w:color w:val="000000"/>
          <w:sz w:val="21"/>
          <w:szCs w:val="21"/>
        </w:rPr>
        <w:t>0</w:t>
      </w:r>
      <w:r>
        <w:rPr>
          <w:rFonts w:hint="eastAsia"/>
          <w:color w:val="000000"/>
          <w:sz w:val="21"/>
          <w:szCs w:val="21"/>
        </w:rPr>
        <w:t>%，并处于稳定状态；</w:t>
      </w:r>
    </w:p>
    <w:p>
      <w:pPr>
        <w:pStyle w:val="178"/>
        <w:numPr>
          <w:ilvl w:val="0"/>
          <w:numId w:val="62"/>
        </w:numPr>
        <w:rPr>
          <w:color w:val="000000"/>
          <w:szCs w:val="21"/>
        </w:rPr>
      </w:pPr>
      <w:r>
        <w:rPr>
          <w:rFonts w:eastAsia="PMingLiU"/>
          <w:color w:val="000000"/>
          <w:szCs w:val="21"/>
        </w:rPr>
        <w:t xml:space="preserve"> </w:t>
      </w:r>
      <w:r>
        <w:rPr>
          <w:rFonts w:hint="eastAsia"/>
          <w:color w:val="000000"/>
          <w:szCs w:val="21"/>
        </w:rPr>
        <w:t>冷水出水温度应为</w:t>
      </w:r>
      <w:r>
        <w:rPr>
          <w:rFonts w:ascii="Times New Roman"/>
          <w:color w:val="000000"/>
          <w:szCs w:val="21"/>
        </w:rPr>
        <w:t>6℃~9℃</w:t>
      </w:r>
      <w:r>
        <w:rPr>
          <w:rFonts w:hint="eastAsia"/>
          <w:color w:val="000000"/>
          <w:szCs w:val="21"/>
        </w:rPr>
        <w:t>；</w:t>
      </w:r>
    </w:p>
    <w:p>
      <w:pPr>
        <w:pStyle w:val="178"/>
        <w:numPr>
          <w:ilvl w:val="0"/>
          <w:numId w:val="62"/>
        </w:numPr>
        <w:rPr>
          <w:color w:val="000000"/>
          <w:szCs w:val="21"/>
        </w:rPr>
      </w:pPr>
      <w:r>
        <w:rPr>
          <w:rFonts w:eastAsia="PMingLiU"/>
          <w:color w:val="000000"/>
          <w:szCs w:val="21"/>
        </w:rPr>
        <w:t xml:space="preserve"> </w:t>
      </w:r>
      <w:r>
        <w:rPr>
          <w:rFonts w:hint="eastAsia"/>
          <w:color w:val="000000"/>
          <w:szCs w:val="21"/>
        </w:rPr>
        <w:t>水冷冷水（热泵）机组冷却水进水温度应为</w:t>
      </w:r>
      <w:r>
        <w:rPr>
          <w:rFonts w:ascii="Times New Roman"/>
          <w:color w:val="000000"/>
          <w:szCs w:val="21"/>
        </w:rPr>
        <w:t>29℃~32℃</w:t>
      </w:r>
      <w:r>
        <w:rPr>
          <w:rFonts w:hint="eastAsia"/>
          <w:color w:val="000000"/>
          <w:szCs w:val="21"/>
        </w:rPr>
        <w:t>，风冷冷水（热泵）机组要求</w:t>
      </w:r>
    </w:p>
    <w:p>
      <w:pPr>
        <w:pStyle w:val="236"/>
        <w:spacing w:line="240" w:lineRule="auto"/>
        <w:ind w:firstLine="18" w:firstLineChars="9"/>
        <w:rPr>
          <w:color w:val="000000"/>
          <w:sz w:val="21"/>
          <w:szCs w:val="21"/>
        </w:rPr>
      </w:pPr>
      <w:r>
        <w:rPr>
          <w:rFonts w:hint="eastAsia"/>
          <w:color w:val="000000"/>
          <w:sz w:val="21"/>
          <w:szCs w:val="21"/>
        </w:rPr>
        <w:t>室外干球温度为</w:t>
      </w:r>
      <w:r>
        <w:rPr>
          <w:rFonts w:ascii="Times New Roman" w:hAnsi="Times New Roman" w:cs="Times New Roman"/>
          <w:color w:val="000000"/>
          <w:sz w:val="21"/>
          <w:szCs w:val="21"/>
        </w:rPr>
        <w:t>32℃~35℃</w:t>
      </w:r>
      <w:r>
        <w:rPr>
          <w:rFonts w:hint="eastAsia"/>
          <w:color w:val="000000"/>
          <w:sz w:val="21"/>
          <w:szCs w:val="21"/>
        </w:rPr>
        <w:t>；</w:t>
      </w:r>
    </w:p>
    <w:p>
      <w:pPr>
        <w:pStyle w:val="178"/>
        <w:numPr>
          <w:ilvl w:val="0"/>
          <w:numId w:val="62"/>
        </w:numPr>
        <w:rPr>
          <w:color w:val="000000"/>
          <w:szCs w:val="21"/>
        </w:rPr>
      </w:pPr>
      <w:r>
        <w:rPr>
          <w:rFonts w:eastAsia="PMingLiU"/>
          <w:color w:val="000000"/>
          <w:szCs w:val="21"/>
        </w:rPr>
        <w:t xml:space="preserve"> </w:t>
      </w:r>
      <w:r>
        <w:rPr>
          <w:rFonts w:hint="eastAsia"/>
          <w:color w:val="000000"/>
          <w:szCs w:val="21"/>
        </w:rPr>
        <w:t>水泵应在设计工况下运行；对于变频泵系统，应在工频运行工况检测。</w:t>
      </w:r>
    </w:p>
    <w:p>
      <w:pPr>
        <w:pStyle w:val="236"/>
        <w:numPr>
          <w:ilvl w:val="0"/>
          <w:numId w:val="65"/>
        </w:numPr>
        <w:spacing w:line="240" w:lineRule="auto"/>
        <w:jc w:val="left"/>
        <w:rPr>
          <w:color w:val="000000"/>
          <w:sz w:val="21"/>
          <w:szCs w:val="21"/>
        </w:rPr>
      </w:pPr>
      <w:r>
        <w:rPr>
          <w:rFonts w:eastAsia="PMingLiU"/>
          <w:color w:val="000000"/>
          <w:sz w:val="21"/>
          <w:szCs w:val="21"/>
        </w:rPr>
        <w:t xml:space="preserve"> </w:t>
      </w:r>
      <w:r>
        <w:rPr>
          <w:rFonts w:hint="eastAsia"/>
          <w:color w:val="000000"/>
          <w:sz w:val="21"/>
          <w:szCs w:val="21"/>
        </w:rPr>
        <w:t>检测工况下，应每隔</w:t>
      </w:r>
      <w:r>
        <w:rPr>
          <w:rFonts w:ascii="Times New Roman" w:hAnsi="Times New Roman" w:cs="Times New Roman"/>
          <w:color w:val="000000"/>
          <w:sz w:val="21"/>
          <w:szCs w:val="21"/>
        </w:rPr>
        <w:t>5min~10min</w:t>
      </w:r>
      <w:r>
        <w:rPr>
          <w:rFonts w:hint="eastAsia"/>
          <w:color w:val="000000"/>
          <w:sz w:val="21"/>
          <w:szCs w:val="21"/>
        </w:rPr>
        <w:t>读数1次，连续测量6</w:t>
      </w:r>
      <w:r>
        <w:rPr>
          <w:color w:val="000000"/>
          <w:sz w:val="21"/>
          <w:szCs w:val="21"/>
        </w:rPr>
        <w:t>0</w:t>
      </w:r>
      <w:r>
        <w:rPr>
          <w:rFonts w:hint="eastAsia"/>
          <w:color w:val="000000"/>
          <w:sz w:val="21"/>
          <w:szCs w:val="21"/>
        </w:rPr>
        <w:t>min，取每次读数的平均值</w:t>
      </w:r>
    </w:p>
    <w:p>
      <w:pPr>
        <w:pStyle w:val="236"/>
        <w:spacing w:line="240" w:lineRule="auto"/>
        <w:ind w:firstLine="0"/>
        <w:jc w:val="left"/>
        <w:rPr>
          <w:color w:val="000000"/>
          <w:sz w:val="21"/>
          <w:szCs w:val="21"/>
        </w:rPr>
      </w:pPr>
      <w:r>
        <w:rPr>
          <w:rFonts w:hint="eastAsia"/>
          <w:color w:val="000000"/>
          <w:sz w:val="21"/>
          <w:szCs w:val="21"/>
        </w:rPr>
        <w:t>作为检测值。</w:t>
      </w:r>
    </w:p>
    <w:p>
      <w:pPr>
        <w:pStyle w:val="236"/>
        <w:numPr>
          <w:ilvl w:val="0"/>
          <w:numId w:val="65"/>
        </w:numPr>
        <w:spacing w:line="240" w:lineRule="auto"/>
        <w:jc w:val="left"/>
        <w:rPr>
          <w:color w:val="000000"/>
          <w:sz w:val="21"/>
          <w:szCs w:val="21"/>
        </w:rPr>
      </w:pPr>
      <w:r>
        <w:rPr>
          <w:rFonts w:eastAsia="PMingLiU"/>
          <w:color w:val="000000"/>
          <w:sz w:val="21"/>
          <w:szCs w:val="21"/>
        </w:rPr>
        <w:t xml:space="preserve"> </w:t>
      </w:r>
      <w:r>
        <w:rPr>
          <w:rFonts w:hint="eastAsia"/>
          <w:color w:val="000000"/>
          <w:sz w:val="21"/>
          <w:szCs w:val="21"/>
        </w:rPr>
        <w:t>供冷（热）量检测应符合现行行业标准《公共建筑节能检测标准》J</w:t>
      </w:r>
      <w:r>
        <w:rPr>
          <w:color w:val="000000"/>
          <w:sz w:val="21"/>
          <w:szCs w:val="21"/>
        </w:rPr>
        <w:t>GJ/T 177</w:t>
      </w:r>
      <w:r>
        <w:rPr>
          <w:rFonts w:hint="eastAsia"/>
          <w:color w:val="000000"/>
          <w:sz w:val="21"/>
          <w:szCs w:val="21"/>
        </w:rPr>
        <w:t>的规</w:t>
      </w:r>
    </w:p>
    <w:p>
      <w:pPr>
        <w:pStyle w:val="236"/>
        <w:spacing w:line="240" w:lineRule="auto"/>
        <w:ind w:firstLine="0"/>
        <w:jc w:val="left"/>
        <w:rPr>
          <w:color w:val="000000"/>
          <w:sz w:val="21"/>
          <w:szCs w:val="21"/>
        </w:rPr>
      </w:pPr>
      <w:r>
        <w:rPr>
          <w:rFonts w:hint="eastAsia"/>
          <w:color w:val="000000"/>
          <w:sz w:val="21"/>
          <w:szCs w:val="21"/>
        </w:rPr>
        <w:t>定；</w:t>
      </w:r>
    </w:p>
    <w:p>
      <w:pPr>
        <w:pStyle w:val="236"/>
        <w:numPr>
          <w:ilvl w:val="0"/>
          <w:numId w:val="65"/>
        </w:numPr>
        <w:spacing w:line="240" w:lineRule="auto"/>
        <w:jc w:val="left"/>
        <w:rPr>
          <w:color w:val="000000"/>
          <w:sz w:val="21"/>
          <w:szCs w:val="21"/>
        </w:rPr>
      </w:pPr>
      <w:r>
        <w:rPr>
          <w:rFonts w:eastAsia="PMingLiU"/>
          <w:color w:val="000000"/>
          <w:sz w:val="21"/>
          <w:szCs w:val="21"/>
        </w:rPr>
        <w:t xml:space="preserve"> </w:t>
      </w:r>
      <w:r>
        <w:rPr>
          <w:rFonts w:hint="eastAsia"/>
          <w:color w:val="000000"/>
          <w:sz w:val="21"/>
          <w:szCs w:val="21"/>
        </w:rPr>
        <w:t>循环水泵输入功率检测应符合现行行业标准《公共建筑节能检测标准》J</w:t>
      </w:r>
      <w:r>
        <w:rPr>
          <w:color w:val="000000"/>
          <w:sz w:val="21"/>
          <w:szCs w:val="21"/>
        </w:rPr>
        <w:t>GJ/T 177</w:t>
      </w:r>
      <w:r>
        <w:rPr>
          <w:rFonts w:hint="eastAsia"/>
          <w:color w:val="000000"/>
          <w:sz w:val="21"/>
          <w:szCs w:val="21"/>
        </w:rPr>
        <w:t>的</w:t>
      </w:r>
    </w:p>
    <w:p>
      <w:pPr>
        <w:pStyle w:val="236"/>
        <w:spacing w:line="240" w:lineRule="auto"/>
        <w:ind w:firstLine="0"/>
        <w:jc w:val="left"/>
        <w:rPr>
          <w:color w:val="000000"/>
          <w:sz w:val="21"/>
          <w:szCs w:val="21"/>
        </w:rPr>
      </w:pPr>
      <w:r>
        <w:rPr>
          <w:rFonts w:hint="eastAsia"/>
          <w:color w:val="000000"/>
          <w:sz w:val="21"/>
          <w:szCs w:val="21"/>
        </w:rPr>
        <w:t>规定，并应与供冷（热）量的测量时间一致。</w:t>
      </w:r>
    </w:p>
    <w:p>
      <w:pPr>
        <w:pStyle w:val="236"/>
        <w:numPr>
          <w:ilvl w:val="0"/>
          <w:numId w:val="65"/>
        </w:numPr>
        <w:spacing w:line="240" w:lineRule="auto"/>
        <w:jc w:val="left"/>
        <w:rPr>
          <w:color w:val="000000"/>
          <w:sz w:val="21"/>
          <w:szCs w:val="21"/>
        </w:rPr>
      </w:pPr>
      <w:r>
        <w:rPr>
          <w:rFonts w:eastAsia="PMingLiU"/>
          <w:color w:val="000000"/>
          <w:sz w:val="21"/>
          <w:szCs w:val="21"/>
        </w:rPr>
        <w:t xml:space="preserve"> </w:t>
      </w:r>
      <w:r>
        <w:rPr>
          <w:rFonts w:hint="eastAsia"/>
          <w:color w:val="000000"/>
          <w:sz w:val="21"/>
          <w:szCs w:val="21"/>
        </w:rPr>
        <w:t>耗电输冷（热）比应按下式计算：</w:t>
      </w:r>
    </w:p>
    <w:p>
      <w:pPr>
        <w:pStyle w:val="117"/>
      </w:pPr>
      <w:r>
        <w:rPr>
          <w:rFonts w:eastAsiaTheme="minorEastAsia"/>
        </w:rPr>
        <w:tab/>
      </w:r>
      <m:oMath>
        <m:r>
          <m:rPr/>
          <w:rPr>
            <w:rFonts w:ascii="Cambria Math" w:hAnsi="Cambria Math" w:eastAsiaTheme="minorEastAsia"/>
          </w:rPr>
          <m:t>EC</m:t>
        </m:r>
        <m:d>
          <m:dPr>
            <m:ctrlPr>
              <w:rPr>
                <w:rFonts w:ascii="Cambria Math" w:hAnsi="Cambria Math" w:eastAsiaTheme="minorEastAsia"/>
                <w:i/>
              </w:rPr>
            </m:ctrlPr>
          </m:dPr>
          <m:e>
            <m:r>
              <m:rPr/>
              <w:rPr>
                <w:rFonts w:ascii="Cambria Math" w:hAnsi="Cambria Math" w:eastAsiaTheme="minorEastAsia"/>
              </w:rPr>
              <m:t>H</m:t>
            </m:r>
            <m:ctrlPr>
              <w:rPr>
                <w:rFonts w:ascii="Cambria Math" w:hAnsi="Cambria Math" w:eastAsiaTheme="minorEastAsia"/>
                <w:i/>
              </w:rPr>
            </m:ctrlPr>
          </m:e>
        </m:d>
        <m:r>
          <m:rPr/>
          <w:rPr>
            <w:rFonts w:ascii="Cambria Math" w:hAnsi="Cambria Math" w:eastAsiaTheme="minorEastAsia"/>
          </w:rPr>
          <m:t>R−</m:t>
        </m:r>
        <m:r>
          <m:rPr/>
          <w:rPr>
            <w:rFonts w:hint="eastAsia" w:ascii="Cambria Math" w:hAnsi="Cambria Math" w:eastAsiaTheme="minorEastAsia"/>
          </w:rPr>
          <m:t>a=</m:t>
        </m:r>
        <m:f>
          <m:fPr>
            <m:type m:val="skw"/>
            <m:ctrlPr>
              <w:rPr>
                <w:rFonts w:ascii="Cambria Math" w:hAnsi="Cambria Math" w:eastAsiaTheme="minorEastAsia"/>
                <w:i/>
              </w:rPr>
            </m:ctrlPr>
          </m:fPr>
          <m:num>
            <m:nary>
              <m:naryPr>
                <m:chr m:val="∑"/>
                <m:limLoc m:val="undOvr"/>
                <m:subHide m:val="true"/>
                <m:supHide m:val="true"/>
                <m:ctrlPr>
                  <w:rPr>
                    <w:rFonts w:ascii="Cambria Math" w:hAnsi="Cambria Math" w:eastAsiaTheme="minorEastAsia"/>
                    <w:i/>
                  </w:rPr>
                </m:ctrlPr>
              </m:naryPr>
              <m:sub>
                <m:ctrlPr>
                  <w:rPr>
                    <w:rFonts w:ascii="Cambria Math" w:hAnsi="Cambria Math" w:eastAsiaTheme="minorEastAsia"/>
                    <w:i/>
                  </w:rPr>
                </m:ctrlPr>
              </m:sub>
              <m:sup>
                <m:ctrlPr>
                  <w:rPr>
                    <w:rFonts w:ascii="Cambria Math" w:hAnsi="Cambria Math" w:eastAsiaTheme="minorEastAsia"/>
                    <w:i/>
                  </w:rPr>
                </m:ctrlPr>
              </m:sup>
              <m:e>
                <m:r>
                  <m:rPr/>
                  <w:rPr>
                    <w:rFonts w:ascii="Cambria Math" w:hAnsi="Cambria Math" w:eastAsiaTheme="minorEastAsia"/>
                  </w:rPr>
                  <m:t>N</m:t>
                </m:r>
                <m:ctrlPr>
                  <w:rPr>
                    <w:rFonts w:ascii="Cambria Math" w:hAnsi="Cambria Math" w:eastAsiaTheme="minorEastAsia"/>
                    <w:i/>
                  </w:rPr>
                </m:ctrlPr>
              </m:e>
            </m:nary>
            <m:ctrlPr>
              <w:rPr>
                <w:rFonts w:ascii="Cambria Math" w:hAnsi="Cambria Math" w:eastAsiaTheme="minorEastAsia"/>
                <w:i/>
              </w:rPr>
            </m:ctrlPr>
          </m:num>
          <m:den>
            <m:r>
              <m:rPr/>
              <w:rPr>
                <w:rFonts w:ascii="Cambria Math" w:hAnsi="Cambria Math" w:eastAsiaTheme="minorEastAsia"/>
              </w:rPr>
              <m:t>Q</m:t>
            </m:r>
            <m:ctrlPr>
              <w:rPr>
                <w:rFonts w:ascii="Cambria Math" w:hAnsi="Cambria Math" w:eastAsiaTheme="minorEastAsia"/>
                <w:i/>
              </w:rPr>
            </m:ctrlPr>
          </m:den>
        </m:f>
      </m:oMath>
      <w:r>
        <w:rPr>
          <w:rFonts w:ascii="微软雅黑" w:hAnsi="微软雅黑" w:eastAsia="微软雅黑"/>
        </w:rPr>
        <w:tab/>
      </w:r>
      <w:r>
        <w:rPr>
          <w:rFonts w:hint="eastAsia" w:eastAsiaTheme="minorEastAsia"/>
        </w:rPr>
        <w:t xml:space="preserve"> </w:t>
      </w:r>
      <w:r>
        <w:t xml:space="preserve">         (</w:t>
      </w:r>
      <w:r>
        <w:fldChar w:fldCharType="begin"/>
      </w:r>
      <w:r>
        <w:instrText xml:space="preserve"> AUTONUM </w:instrText>
      </w:r>
      <w:r>
        <w:fldChar w:fldCharType="end"/>
      </w:r>
      <w:r>
        <w:t>)</w:t>
      </w:r>
    </w:p>
    <w:p>
      <w:pPr>
        <w:pStyle w:val="59"/>
        <w:ind w:firstLine="420"/>
      </w:pPr>
      <w:r>
        <w:rPr>
          <w:rFonts w:hint="eastAsia"/>
        </w:rPr>
        <w:t>式中：</w:t>
      </w:r>
      <m:oMath>
        <m:r>
          <m:rPr/>
          <w:rPr>
            <w:rFonts w:ascii="Cambria Math" w:hAnsi="Cambria Math" w:eastAsiaTheme="minorEastAsia"/>
          </w:rPr>
          <m:t>EC</m:t>
        </m:r>
        <m:d>
          <m:dPr>
            <m:ctrlPr>
              <w:rPr>
                <w:rFonts w:ascii="Cambria Math" w:hAnsi="Cambria Math" w:eastAsiaTheme="minorEastAsia"/>
                <w:i/>
              </w:rPr>
            </m:ctrlPr>
          </m:dPr>
          <m:e>
            <m:r>
              <m:rPr/>
              <w:rPr>
                <w:rFonts w:ascii="Cambria Math" w:hAnsi="Cambria Math" w:eastAsiaTheme="minorEastAsia"/>
              </w:rPr>
              <m:t>H</m:t>
            </m:r>
            <m:ctrlPr>
              <w:rPr>
                <w:rFonts w:ascii="Cambria Math" w:hAnsi="Cambria Math" w:eastAsiaTheme="minorEastAsia"/>
                <w:i/>
              </w:rPr>
            </m:ctrlPr>
          </m:e>
        </m:d>
        <m:r>
          <m:rPr/>
          <w:rPr>
            <w:rFonts w:ascii="Cambria Math" w:hAnsi="Cambria Math" w:eastAsiaTheme="minorEastAsia"/>
          </w:rPr>
          <m:t>R−</m:t>
        </m:r>
        <m:r>
          <m:rPr/>
          <w:rPr>
            <w:rFonts w:hint="eastAsia" w:ascii="Cambria Math" w:hAnsi="Cambria Math" w:eastAsiaTheme="minorEastAsia"/>
          </w:rPr>
          <m:t>a</m:t>
        </m:r>
      </m:oMath>
      <w:r>
        <w:rPr>
          <w:rFonts w:hint="eastAsia"/>
        </w:rPr>
        <w:t>——空调冷（热）水系统耗电输冷（热）比；</w:t>
      </w:r>
    </w:p>
    <w:p>
      <w:pPr>
        <w:pStyle w:val="60"/>
        <w:ind w:firstLine="420"/>
      </w:pPr>
      <w:r>
        <w:rPr>
          <w:rFonts w:hint="eastAsia"/>
        </w:rPr>
        <w:t xml:space="preserve"> </w:t>
      </w:r>
      <w:r>
        <w:t xml:space="preserve">        </w:t>
      </w:r>
      <m:oMath>
        <m:r>
          <m:rPr/>
          <w:rPr>
            <w:rFonts w:ascii="Cambria Math" w:hAnsi="Cambria Math" w:eastAsiaTheme="minorEastAsia"/>
          </w:rPr>
          <m:t>Q</m:t>
        </m:r>
      </m:oMath>
      <w:r>
        <w:rPr>
          <w:rFonts w:hint="eastAsia"/>
        </w:rPr>
        <w:t>——空调冷（热）水系统的供冷（热）量,k</w:t>
      </w:r>
      <w:r>
        <w:t>W;</w:t>
      </w:r>
    </w:p>
    <w:p>
      <w:pPr>
        <w:pStyle w:val="60"/>
        <w:ind w:firstLine="420"/>
      </w:pPr>
      <w:r>
        <w:t xml:space="preserve">         </w:t>
      </w:r>
      <m:oMath>
        <m:nary>
          <m:naryPr>
            <m:chr m:val="∑"/>
            <m:limLoc m:val="undOvr"/>
            <m:subHide m:val="true"/>
            <m:supHide m:val="true"/>
            <m:ctrlPr>
              <w:rPr>
                <w:rFonts w:ascii="Cambria Math" w:hAnsi="Cambria Math" w:eastAsiaTheme="minorEastAsia"/>
                <w:i/>
                <w:kern w:val="2"/>
                <w:szCs w:val="21"/>
              </w:rPr>
            </m:ctrlPr>
          </m:naryPr>
          <m:sub>
            <m:ctrlPr>
              <w:rPr>
                <w:rFonts w:ascii="Cambria Math" w:hAnsi="Cambria Math" w:eastAsiaTheme="minorEastAsia"/>
                <w:i/>
                <w:kern w:val="2"/>
                <w:szCs w:val="21"/>
              </w:rPr>
            </m:ctrlPr>
          </m:sub>
          <m:sup>
            <m:ctrlPr>
              <w:rPr>
                <w:rFonts w:ascii="Cambria Math" w:hAnsi="Cambria Math" w:eastAsiaTheme="minorEastAsia"/>
                <w:i/>
                <w:kern w:val="2"/>
                <w:szCs w:val="21"/>
              </w:rPr>
            </m:ctrlPr>
          </m:sup>
          <m:e>
            <m:r>
              <m:rPr/>
              <w:rPr>
                <w:rFonts w:ascii="Cambria Math" w:hAnsi="Cambria Math" w:eastAsiaTheme="minorEastAsia"/>
              </w:rPr>
              <m:t>N</m:t>
            </m:r>
            <m:ctrlPr>
              <w:rPr>
                <w:rFonts w:ascii="Cambria Math" w:hAnsi="Cambria Math" w:eastAsiaTheme="minorEastAsia"/>
                <w:i/>
                <w:kern w:val="2"/>
                <w:szCs w:val="21"/>
              </w:rPr>
            </m:ctrlPr>
          </m:e>
        </m:nary>
      </m:oMath>
      <w:r>
        <w:rPr>
          <w:rFonts w:hint="eastAsia"/>
          <w:kern w:val="2"/>
          <w:szCs w:val="21"/>
        </w:rPr>
        <w:t>——所有运行水泵在检测工况下的输入功率之和，k</w:t>
      </w:r>
      <w:r>
        <w:rPr>
          <w:kern w:val="2"/>
          <w:szCs w:val="21"/>
        </w:rPr>
        <w:t>W</w:t>
      </w:r>
      <w:r>
        <w:rPr>
          <w:rFonts w:hint="eastAsia"/>
          <w:kern w:val="2"/>
          <w:szCs w:val="21"/>
        </w:rPr>
        <w:t>；</w:t>
      </w:r>
    </w:p>
    <w:p>
      <w:pPr>
        <w:pStyle w:val="69"/>
        <w:spacing w:before="120" w:after="120"/>
        <w:rPr>
          <w:lang w:bidi="zh-CN"/>
        </w:rPr>
      </w:pPr>
      <w:bookmarkStart w:id="155" w:name="bookmark114"/>
      <w:bookmarkStart w:id="156" w:name="bookmark116"/>
      <w:bookmarkStart w:id="157" w:name="bookmark115"/>
      <w:r>
        <w:rPr>
          <w:rFonts w:hint="eastAsia"/>
          <w:lang w:bidi="zh-CN"/>
        </w:rPr>
        <w:t>8.</w:t>
      </w:r>
      <w:r>
        <w:rPr>
          <w:lang w:bidi="zh-CN"/>
        </w:rPr>
        <w:t xml:space="preserve">6 </w:t>
      </w:r>
      <w:r>
        <w:rPr>
          <w:rFonts w:hint="eastAsia"/>
          <w:color w:val="000000" w:themeColor="text1"/>
          <w:lang w:bidi="zh-CN"/>
          <w14:textFill>
            <w14:solidFill>
              <w14:schemeClr w14:val="tx1"/>
            </w14:solidFill>
          </w14:textFill>
        </w:rPr>
        <w:t>风道系统单</w:t>
      </w:r>
      <w:r>
        <w:rPr>
          <w:rFonts w:hint="eastAsia"/>
          <w:lang w:bidi="zh-CN"/>
        </w:rPr>
        <w:t>位风量耗功率检测</w:t>
      </w:r>
      <w:bookmarkEnd w:id="155"/>
      <w:bookmarkEnd w:id="156"/>
      <w:bookmarkEnd w:id="157"/>
    </w:p>
    <w:p>
      <w:pPr>
        <w:pStyle w:val="236"/>
        <w:numPr>
          <w:ilvl w:val="0"/>
          <w:numId w:val="67"/>
        </w:numPr>
        <w:spacing w:line="240" w:lineRule="auto"/>
        <w:rPr>
          <w:sz w:val="21"/>
          <w:szCs w:val="21"/>
        </w:rPr>
      </w:pPr>
      <w:r>
        <w:rPr>
          <w:rFonts w:hint="eastAsia"/>
          <w:color w:val="000000"/>
          <w:sz w:val="21"/>
          <w:szCs w:val="21"/>
          <w:lang w:eastAsia="zh-CN"/>
        </w:rPr>
        <w:t xml:space="preserve"> </w:t>
      </w:r>
      <w:r>
        <w:rPr>
          <w:rFonts w:hint="eastAsia"/>
          <w:color w:val="000000"/>
          <w:sz w:val="21"/>
          <w:szCs w:val="21"/>
        </w:rPr>
        <w:t>风道系统</w:t>
      </w:r>
      <w:r>
        <w:rPr>
          <w:color w:val="000000"/>
          <w:sz w:val="21"/>
          <w:szCs w:val="21"/>
        </w:rPr>
        <w:t>单位风量耗功率检测数量应符合下列规定：</w:t>
      </w:r>
    </w:p>
    <w:p>
      <w:pPr>
        <w:pStyle w:val="178"/>
        <w:numPr>
          <w:ilvl w:val="0"/>
          <w:numId w:val="68"/>
        </w:numPr>
        <w:rPr>
          <w:szCs w:val="21"/>
        </w:rPr>
      </w:pPr>
      <w:r>
        <w:rPr>
          <w:color w:val="000000"/>
          <w:szCs w:val="21"/>
        </w:rPr>
        <w:t xml:space="preserve"> </w:t>
      </w:r>
      <w:r>
        <w:rPr>
          <w:rFonts w:hint="eastAsia"/>
          <w:color w:val="000000"/>
          <w:szCs w:val="21"/>
        </w:rPr>
        <w:t>不同功能系统各抽取1</w:t>
      </w:r>
      <w:r>
        <w:rPr>
          <w:color w:val="000000"/>
          <w:szCs w:val="21"/>
        </w:rPr>
        <w:t>0</w:t>
      </w:r>
      <w:r>
        <w:rPr>
          <w:rFonts w:hint="eastAsia"/>
          <w:color w:val="000000"/>
          <w:szCs w:val="21"/>
        </w:rPr>
        <w:t>%且不应少于1个；</w:t>
      </w:r>
    </w:p>
    <w:p>
      <w:pPr>
        <w:pStyle w:val="178"/>
        <w:numPr>
          <w:ilvl w:val="0"/>
          <w:numId w:val="62"/>
        </w:numPr>
        <w:rPr>
          <w:color w:val="000000"/>
          <w:szCs w:val="21"/>
          <w:lang w:bidi="en-US"/>
        </w:rPr>
      </w:pPr>
      <w:r>
        <w:rPr>
          <w:color w:val="000000"/>
          <w:szCs w:val="21"/>
        </w:rPr>
        <w:t xml:space="preserve"> </w:t>
      </w:r>
      <w:r>
        <w:rPr>
          <w:rFonts w:hint="eastAsia"/>
          <w:color w:val="000000"/>
          <w:szCs w:val="21"/>
        </w:rPr>
        <w:t>最小抽样数量应符合本文件第</w:t>
      </w:r>
      <w:r>
        <w:rPr>
          <w:rFonts w:hint="eastAsia"/>
          <w:color w:val="000000" w:themeColor="text1"/>
          <w:szCs w:val="21"/>
          <w14:textFill>
            <w14:solidFill>
              <w14:schemeClr w14:val="tx1"/>
            </w14:solidFill>
          </w14:textFill>
        </w:rPr>
        <w:t>4</w:t>
      </w:r>
      <w:r>
        <w:rPr>
          <w:color w:val="000000" w:themeColor="text1"/>
          <w:szCs w:val="21"/>
          <w14:textFill>
            <w14:solidFill>
              <w14:schemeClr w14:val="tx1"/>
            </w14:solidFill>
          </w14:textFill>
        </w:rPr>
        <w:t>.</w:t>
      </w:r>
      <w:r>
        <w:rPr>
          <w:rFonts w:eastAsia="PMingLiU"/>
          <w:color w:val="000000" w:themeColor="text1"/>
          <w:szCs w:val="21"/>
          <w14:textFill>
            <w14:solidFill>
              <w14:schemeClr w14:val="tx1"/>
            </w14:solidFill>
          </w14:textFill>
        </w:rPr>
        <w:t>6</w:t>
      </w:r>
      <w:r>
        <w:rPr>
          <w:rFonts w:hint="eastAsia"/>
          <w:color w:val="000000"/>
          <w:szCs w:val="21"/>
        </w:rPr>
        <w:t>条的规定</w:t>
      </w:r>
      <w:r>
        <w:rPr>
          <w:color w:val="000000"/>
          <w:szCs w:val="21"/>
        </w:rPr>
        <w:t>。</w:t>
      </w:r>
    </w:p>
    <w:p>
      <w:pPr>
        <w:pStyle w:val="236"/>
        <w:numPr>
          <w:ilvl w:val="0"/>
          <w:numId w:val="67"/>
        </w:numPr>
        <w:spacing w:line="240" w:lineRule="auto"/>
        <w:rPr>
          <w:sz w:val="21"/>
          <w:szCs w:val="21"/>
        </w:rPr>
      </w:pPr>
      <w:r>
        <w:rPr>
          <w:color w:val="000000"/>
          <w:sz w:val="21"/>
          <w:szCs w:val="21"/>
          <w:lang w:val="en-US" w:eastAsia="zh-CN" w:bidi="en-US"/>
        </w:rPr>
        <w:t xml:space="preserve"> </w:t>
      </w:r>
      <w:r>
        <w:rPr>
          <w:rFonts w:hint="eastAsia"/>
          <w:color w:val="000000"/>
          <w:sz w:val="21"/>
          <w:szCs w:val="21"/>
        </w:rPr>
        <w:t>风道系统</w:t>
      </w:r>
      <w:r>
        <w:rPr>
          <w:color w:val="000000"/>
          <w:sz w:val="21"/>
          <w:szCs w:val="21"/>
        </w:rPr>
        <w:t>单位风量耗功率检测应在系统实际运行状态下进行，检测</w:t>
      </w:r>
      <w:r>
        <w:rPr>
          <w:rFonts w:hint="eastAsia"/>
          <w:color w:val="000000"/>
          <w:sz w:val="21"/>
          <w:szCs w:val="21"/>
        </w:rPr>
        <w:t>参数</w:t>
      </w:r>
      <w:r>
        <w:rPr>
          <w:color w:val="000000"/>
          <w:sz w:val="21"/>
          <w:szCs w:val="21"/>
        </w:rPr>
        <w:t>应包括</w:t>
      </w:r>
      <w:r>
        <w:rPr>
          <w:rFonts w:hint="eastAsia"/>
          <w:color w:val="000000"/>
          <w:sz w:val="21"/>
          <w:szCs w:val="21"/>
        </w:rPr>
        <w:t>风道</w:t>
      </w:r>
      <w:r>
        <w:rPr>
          <w:color w:val="000000"/>
          <w:sz w:val="21"/>
          <w:szCs w:val="21"/>
        </w:rPr>
        <w:t>风</w:t>
      </w:r>
    </w:p>
    <w:p>
      <w:pPr>
        <w:pStyle w:val="236"/>
        <w:spacing w:line="240" w:lineRule="auto"/>
        <w:ind w:firstLine="0"/>
        <w:rPr>
          <w:sz w:val="21"/>
          <w:szCs w:val="21"/>
        </w:rPr>
      </w:pPr>
      <w:r>
        <w:rPr>
          <w:color w:val="000000"/>
          <w:sz w:val="21"/>
          <w:szCs w:val="21"/>
        </w:rPr>
        <w:t>量、风机实际输入功率。</w:t>
      </w:r>
    </w:p>
    <w:p>
      <w:pPr>
        <w:pStyle w:val="236"/>
        <w:numPr>
          <w:ilvl w:val="0"/>
          <w:numId w:val="67"/>
        </w:numPr>
        <w:spacing w:line="240" w:lineRule="auto"/>
        <w:rPr>
          <w:sz w:val="21"/>
          <w:szCs w:val="21"/>
        </w:rPr>
      </w:pPr>
      <w:r>
        <w:rPr>
          <w:color w:val="000000"/>
          <w:sz w:val="21"/>
          <w:szCs w:val="21"/>
          <w:lang w:val="en-US" w:eastAsia="zh-CN" w:bidi="en-US"/>
        </w:rPr>
        <w:t xml:space="preserve"> </w:t>
      </w:r>
      <w:r>
        <w:rPr>
          <w:rFonts w:hint="eastAsia"/>
          <w:color w:val="000000"/>
          <w:sz w:val="21"/>
          <w:szCs w:val="21"/>
        </w:rPr>
        <w:t>风道</w:t>
      </w:r>
      <w:r>
        <w:rPr>
          <w:color w:val="000000"/>
          <w:sz w:val="21"/>
          <w:szCs w:val="21"/>
        </w:rPr>
        <w:t>的实际风量</w:t>
      </w:r>
      <w:r>
        <w:rPr>
          <w:rFonts w:hint="eastAsia"/>
          <w:color w:val="000000"/>
          <w:sz w:val="21"/>
          <w:szCs w:val="21"/>
        </w:rPr>
        <w:t>和风机的输入功率</w:t>
      </w:r>
      <w:r>
        <w:rPr>
          <w:color w:val="000000"/>
          <w:sz w:val="21"/>
          <w:szCs w:val="21"/>
        </w:rPr>
        <w:t>检测应符合现行行业标准《公共建筑节能检测标准》</w:t>
      </w:r>
    </w:p>
    <w:p>
      <w:pPr>
        <w:pStyle w:val="236"/>
        <w:spacing w:line="240" w:lineRule="auto"/>
        <w:ind w:firstLine="0"/>
        <w:rPr>
          <w:sz w:val="21"/>
          <w:szCs w:val="21"/>
        </w:rPr>
      </w:pPr>
      <w:r>
        <w:rPr>
          <w:color w:val="000000"/>
          <w:sz w:val="21"/>
          <w:szCs w:val="21"/>
          <w:lang w:val="en-US" w:eastAsia="zh-CN" w:bidi="en-US"/>
        </w:rPr>
        <w:t>JGJ</w:t>
      </w:r>
      <w:r>
        <w:rPr>
          <w:rFonts w:hint="eastAsia"/>
          <w:color w:val="000000"/>
          <w:sz w:val="21"/>
          <w:szCs w:val="21"/>
          <w:lang w:val="en-US" w:eastAsia="zh-CN" w:bidi="en-US"/>
        </w:rPr>
        <w:t xml:space="preserve">/T </w:t>
      </w:r>
      <w:r>
        <w:rPr>
          <w:color w:val="000000"/>
          <w:sz w:val="21"/>
          <w:szCs w:val="21"/>
        </w:rPr>
        <w:t>177的规定。</w:t>
      </w:r>
    </w:p>
    <w:p>
      <w:pPr>
        <w:pStyle w:val="236"/>
        <w:numPr>
          <w:ilvl w:val="0"/>
          <w:numId w:val="67"/>
        </w:numPr>
        <w:spacing w:line="240" w:lineRule="auto"/>
        <w:rPr>
          <w:rFonts w:eastAsia="PMingLiU"/>
          <w:color w:val="000000"/>
          <w:sz w:val="21"/>
          <w:szCs w:val="21"/>
        </w:rPr>
      </w:pPr>
      <w:r>
        <w:rPr>
          <w:color w:val="000000"/>
          <w:sz w:val="21"/>
          <w:szCs w:val="21"/>
          <w:lang w:val="en-US" w:eastAsia="zh-CN" w:bidi="en-US"/>
        </w:rPr>
        <w:t xml:space="preserve"> </w:t>
      </w:r>
      <w:r>
        <w:rPr>
          <w:rFonts w:hint="eastAsia"/>
          <w:color w:val="000000"/>
          <w:sz w:val="21"/>
          <w:szCs w:val="21"/>
        </w:rPr>
        <w:t>风道系统</w:t>
      </w:r>
      <w:r>
        <w:rPr>
          <w:color w:val="000000"/>
          <w:sz w:val="21"/>
          <w:szCs w:val="21"/>
        </w:rPr>
        <w:t>单位风量耗功率应</w:t>
      </w:r>
      <w:r>
        <w:rPr>
          <w:rFonts w:hint="eastAsia"/>
          <w:color w:val="000000"/>
          <w:sz w:val="21"/>
          <w:szCs w:val="21"/>
        </w:rPr>
        <w:t>按下式</w:t>
      </w:r>
      <w:r>
        <w:rPr>
          <w:color w:val="000000"/>
          <w:sz w:val="21"/>
          <w:szCs w:val="21"/>
        </w:rPr>
        <w:t>计算</w:t>
      </w:r>
      <w:r>
        <w:rPr>
          <w:rFonts w:hint="eastAsia"/>
          <w:color w:val="000000"/>
          <w:sz w:val="21"/>
          <w:szCs w:val="21"/>
        </w:rPr>
        <w:t>：</w:t>
      </w:r>
    </w:p>
    <w:p>
      <w:pPr>
        <w:pStyle w:val="117"/>
      </w:pPr>
      <w:r>
        <w:rPr>
          <w:rFonts w:eastAsiaTheme="minorEastAsia"/>
        </w:rPr>
        <w:tab/>
      </w:r>
      <m:oMath>
        <m:sSub>
          <m:sSubPr>
            <m:ctrlPr>
              <w:rPr>
                <w:rFonts w:ascii="Cambria Math" w:hAnsi="Cambria Math" w:eastAsiaTheme="minorEastAsia"/>
                <w:i/>
                <w:w w:val="150"/>
              </w:rPr>
            </m:ctrlPr>
          </m:sSubPr>
          <m:e>
            <m:r>
              <m:rPr/>
              <w:rPr>
                <w:rFonts w:ascii="Cambria Math" w:hAnsi="Cambria Math" w:eastAsiaTheme="minorEastAsia"/>
                <w:w w:val="150"/>
              </w:rPr>
              <m:t>W</m:t>
            </m:r>
            <m:ctrlPr>
              <w:rPr>
                <w:rFonts w:ascii="Cambria Math" w:hAnsi="Cambria Math" w:eastAsiaTheme="minorEastAsia"/>
                <w:i/>
                <w:w w:val="150"/>
              </w:rPr>
            </m:ctrlPr>
          </m:e>
          <m:sub>
            <m:r>
              <m:rPr/>
              <w:rPr>
                <w:rFonts w:hint="eastAsia" w:ascii="Cambria Math" w:hAnsi="Cambria Math" w:eastAsiaTheme="minorEastAsia"/>
                <w:w w:val="150"/>
              </w:rPr>
              <m:t>s</m:t>
            </m:r>
            <m:ctrlPr>
              <w:rPr>
                <w:rFonts w:ascii="Cambria Math" w:hAnsi="Cambria Math" w:eastAsiaTheme="minorEastAsia"/>
                <w:i/>
                <w:w w:val="150"/>
              </w:rPr>
            </m:ctrlPr>
          </m:sub>
        </m:sSub>
        <m:r>
          <m:rPr/>
          <w:rPr>
            <w:rFonts w:hint="eastAsia" w:ascii="Cambria Math" w:hAnsi="Cambria Math" w:eastAsiaTheme="minorEastAsia"/>
            <w:w w:val="150"/>
          </w:rPr>
          <m:t>=</m:t>
        </m:r>
        <m:f>
          <m:fPr>
            <m:ctrlPr>
              <w:rPr>
                <w:rFonts w:ascii="Cambria Math" w:hAnsi="Cambria Math" w:eastAsiaTheme="minorEastAsia"/>
                <w:i/>
                <w:w w:val="150"/>
              </w:rPr>
            </m:ctrlPr>
          </m:fPr>
          <m:num>
            <m:r>
              <m:rPr/>
              <w:rPr>
                <w:rFonts w:ascii="Cambria Math" w:hAnsi="Cambria Math" w:eastAsiaTheme="minorEastAsia"/>
                <w:w w:val="150"/>
              </w:rPr>
              <m:t>N</m:t>
            </m:r>
            <m:ctrlPr>
              <w:rPr>
                <w:rFonts w:ascii="Cambria Math" w:hAnsi="Cambria Math" w:eastAsiaTheme="minorEastAsia"/>
                <w:i/>
                <w:w w:val="150"/>
              </w:rPr>
            </m:ctrlPr>
          </m:num>
          <m:den>
            <m:r>
              <m:rPr/>
              <w:rPr>
                <w:rFonts w:ascii="Cambria Math" w:hAnsi="Cambria Math" w:eastAsiaTheme="minorEastAsia"/>
                <w:w w:val="150"/>
              </w:rPr>
              <m:t>L</m:t>
            </m:r>
            <m:ctrlPr>
              <w:rPr>
                <w:rFonts w:ascii="Cambria Math" w:hAnsi="Cambria Math" w:eastAsiaTheme="minorEastAsia"/>
                <w:i/>
                <w:w w:val="150"/>
              </w:rPr>
            </m:ctrlPr>
          </m:den>
        </m:f>
        <m:r>
          <m:rPr/>
          <w:rPr>
            <w:rFonts w:ascii="Cambria Math" w:hAnsi="Cambria Math" w:eastAsiaTheme="minorEastAsia"/>
            <w:w w:val="150"/>
          </w:rPr>
          <m:t>∙</m:t>
        </m:r>
        <m:f>
          <m:fPr>
            <m:ctrlPr>
              <w:rPr>
                <w:rFonts w:ascii="Cambria Math" w:hAnsi="Cambria Math" w:eastAsiaTheme="minorEastAsia"/>
                <w:i/>
                <w:w w:val="150"/>
              </w:rPr>
            </m:ctrlPr>
          </m:fPr>
          <m:num>
            <m:sSub>
              <m:sSubPr>
                <m:ctrlPr>
                  <w:rPr>
                    <w:rFonts w:ascii="Cambria Math" w:hAnsi="Cambria Math" w:eastAsiaTheme="minorEastAsia"/>
                    <w:i/>
                    <w:w w:val="150"/>
                  </w:rPr>
                </m:ctrlPr>
              </m:sSubPr>
              <m:e>
                <m:r>
                  <m:rPr/>
                  <w:rPr>
                    <w:rFonts w:ascii="Cambria Math" w:hAnsi="Cambria Math" w:eastAsiaTheme="minorEastAsia"/>
                    <w:w w:val="150"/>
                  </w:rPr>
                  <m:t>P</m:t>
                </m:r>
                <m:ctrlPr>
                  <w:rPr>
                    <w:rFonts w:ascii="Cambria Math" w:hAnsi="Cambria Math" w:eastAsiaTheme="minorEastAsia"/>
                    <w:i/>
                    <w:w w:val="150"/>
                  </w:rPr>
                </m:ctrlPr>
              </m:e>
              <m:sub>
                <m:r>
                  <m:rPr/>
                  <w:rPr>
                    <w:rFonts w:ascii="Cambria Math" w:hAnsi="Cambria Math" w:eastAsiaTheme="minorEastAsia"/>
                    <w:w w:val="150"/>
                  </w:rPr>
                  <m:t>1</m:t>
                </m:r>
                <m:ctrlPr>
                  <w:rPr>
                    <w:rFonts w:ascii="Cambria Math" w:hAnsi="Cambria Math" w:eastAsiaTheme="minorEastAsia"/>
                    <w:i/>
                    <w:w w:val="150"/>
                  </w:rPr>
                </m:ctrlPr>
              </m:sub>
            </m:sSub>
            <m:ctrlPr>
              <w:rPr>
                <w:rFonts w:ascii="Cambria Math" w:hAnsi="Cambria Math" w:eastAsiaTheme="minorEastAsia"/>
                <w:i/>
                <w:w w:val="150"/>
              </w:rPr>
            </m:ctrlPr>
          </m:num>
          <m:den>
            <m:sSub>
              <m:sSubPr>
                <m:ctrlPr>
                  <w:rPr>
                    <w:rFonts w:ascii="Cambria Math" w:hAnsi="Cambria Math" w:eastAsiaTheme="minorEastAsia"/>
                    <w:i/>
                    <w:w w:val="150"/>
                  </w:rPr>
                </m:ctrlPr>
              </m:sSubPr>
              <m:e>
                <m:r>
                  <m:rPr/>
                  <w:rPr>
                    <w:rFonts w:ascii="Cambria Math" w:hAnsi="Cambria Math" w:eastAsiaTheme="minorEastAsia"/>
                    <w:w w:val="150"/>
                  </w:rPr>
                  <m:t>P</m:t>
                </m:r>
                <m:ctrlPr>
                  <w:rPr>
                    <w:rFonts w:ascii="Cambria Math" w:hAnsi="Cambria Math" w:eastAsiaTheme="minorEastAsia"/>
                    <w:i/>
                    <w:w w:val="150"/>
                  </w:rPr>
                </m:ctrlPr>
              </m:e>
              <m:sub>
                <m:r>
                  <m:rPr/>
                  <w:rPr>
                    <w:rFonts w:ascii="Cambria Math" w:hAnsi="Cambria Math" w:eastAsiaTheme="minorEastAsia"/>
                    <w:w w:val="150"/>
                  </w:rPr>
                  <m:t>0</m:t>
                </m:r>
                <m:ctrlPr>
                  <w:rPr>
                    <w:rFonts w:ascii="Cambria Math" w:hAnsi="Cambria Math" w:eastAsiaTheme="minorEastAsia"/>
                    <w:i/>
                    <w:w w:val="150"/>
                  </w:rPr>
                </m:ctrlPr>
              </m:sub>
            </m:sSub>
            <m:ctrlPr>
              <w:rPr>
                <w:rFonts w:ascii="Cambria Math" w:hAnsi="Cambria Math" w:eastAsiaTheme="minorEastAsia"/>
                <w:i/>
                <w:w w:val="150"/>
              </w:rPr>
            </m:ctrlPr>
          </m:den>
        </m:f>
      </m:oMath>
      <w:r>
        <w:rPr>
          <w:rFonts w:ascii="微软雅黑" w:hAnsi="微软雅黑" w:eastAsia="微软雅黑"/>
        </w:rPr>
        <w:tab/>
      </w:r>
      <w:r>
        <w:rPr>
          <w:rFonts w:hint="eastAsia" w:eastAsiaTheme="minorEastAsia"/>
        </w:rPr>
        <w:t xml:space="preserve"> </w:t>
      </w:r>
      <w:r>
        <w:t xml:space="preserve">             (</w:t>
      </w:r>
      <w:r>
        <w:fldChar w:fldCharType="begin"/>
      </w:r>
      <w:r>
        <w:instrText xml:space="preserve"> AUTONUM </w:instrText>
      </w:r>
      <w:r>
        <w:fldChar w:fldCharType="end"/>
      </w:r>
      <w:r>
        <w:t>)</w:t>
      </w:r>
    </w:p>
    <w:p>
      <w:pPr>
        <w:pStyle w:val="59"/>
        <w:ind w:firstLine="420"/>
        <w:rPr>
          <w:kern w:val="2"/>
        </w:rPr>
      </w:pPr>
      <w:r>
        <w:rPr>
          <w:rFonts w:hint="eastAsia"/>
        </w:rPr>
        <w:t>式中：</w:t>
      </w:r>
      <m:oMath>
        <m:sSub>
          <m:sSubPr>
            <m:ctrlPr>
              <w:rPr>
                <w:rFonts w:ascii="Cambria Math" w:hAnsi="Cambria Math" w:eastAsiaTheme="minorEastAsia"/>
                <w:i/>
                <w:kern w:val="2"/>
              </w:rPr>
            </m:ctrlPr>
          </m:sSubPr>
          <m:e>
            <m:r>
              <m:rPr/>
              <w:rPr>
                <w:rFonts w:ascii="Cambria Math" w:hAnsi="Cambria Math" w:eastAsiaTheme="minorEastAsia"/>
              </w:rPr>
              <m:t>W</m:t>
            </m:r>
            <m:ctrlPr>
              <w:rPr>
                <w:rFonts w:ascii="Cambria Math" w:hAnsi="Cambria Math" w:eastAsiaTheme="minorEastAsia"/>
                <w:i/>
                <w:kern w:val="2"/>
              </w:rPr>
            </m:ctrlPr>
          </m:e>
          <m:sub>
            <m:r>
              <m:rPr/>
              <w:rPr>
                <w:rFonts w:hint="eastAsia" w:ascii="Cambria Math" w:hAnsi="Cambria Math" w:eastAsiaTheme="minorEastAsia"/>
              </w:rPr>
              <m:t>s</m:t>
            </m:r>
            <m:ctrlPr>
              <w:rPr>
                <w:rFonts w:ascii="Cambria Math" w:hAnsi="Cambria Math" w:eastAsiaTheme="minorEastAsia"/>
                <w:i/>
                <w:kern w:val="2"/>
              </w:rPr>
            </m:ctrlPr>
          </m:sub>
        </m:sSub>
      </m:oMath>
      <w:r>
        <w:rPr>
          <w:rFonts w:hint="eastAsia"/>
          <w:kern w:val="2"/>
        </w:rPr>
        <w:t>——风道系统单位风量耗功率，W</w:t>
      </w:r>
      <w:r>
        <w:rPr>
          <w:kern w:val="2"/>
        </w:rPr>
        <w:t>/</w:t>
      </w:r>
      <w:r>
        <w:rPr>
          <w:rFonts w:hint="eastAsia"/>
          <w:kern w:val="2"/>
        </w:rPr>
        <w:t>（m</w:t>
      </w:r>
      <w:r>
        <w:rPr>
          <w:kern w:val="2"/>
          <w:vertAlign w:val="superscript"/>
        </w:rPr>
        <w:t>3</w:t>
      </w:r>
      <w:r>
        <w:rPr>
          <w:rFonts w:hint="eastAsia"/>
          <w:kern w:val="2"/>
        </w:rPr>
        <w:t>/h）；</w:t>
      </w:r>
    </w:p>
    <w:p>
      <w:pPr>
        <w:pStyle w:val="60"/>
        <w:ind w:firstLine="420"/>
        <w:rPr>
          <w:rFonts w:ascii="Cambria Math" w:hAnsi="Cambria Math"/>
        </w:rPr>
      </w:pPr>
      <w:r>
        <w:rPr>
          <w:rFonts w:hint="eastAsia"/>
        </w:rPr>
        <w:t xml:space="preserve"> </w:t>
      </w:r>
      <w:r>
        <w:t xml:space="preserve">    </w:t>
      </w:r>
      <w:r>
        <w:rPr>
          <w:rFonts w:ascii="Cambria Math" w:hAnsi="Cambria Math"/>
          <w:i/>
          <w:iCs/>
        </w:rPr>
        <w:t xml:space="preserve"> N</w:t>
      </w:r>
      <w:r>
        <w:rPr>
          <w:rFonts w:hint="eastAsia" w:ascii="Cambria Math" w:hAnsi="Cambria Math"/>
        </w:rPr>
        <w:t>——风机的输入功率，k</w:t>
      </w:r>
      <w:r>
        <w:rPr>
          <w:rFonts w:ascii="Cambria Math" w:hAnsi="Cambria Math"/>
        </w:rPr>
        <w:t>W;</w:t>
      </w:r>
    </w:p>
    <w:p>
      <w:pPr>
        <w:pStyle w:val="60"/>
        <w:ind w:firstLine="420"/>
        <w:rPr>
          <w:rFonts w:ascii="Cambria Math" w:hAnsi="Cambria Math"/>
        </w:rPr>
      </w:pPr>
      <w:r>
        <w:rPr>
          <w:rFonts w:hint="eastAsia" w:ascii="Cambria Math" w:hAnsi="Cambria Math"/>
        </w:rPr>
        <w:t xml:space="preserve"> </w:t>
      </w:r>
      <w:r>
        <w:rPr>
          <w:rFonts w:ascii="Cambria Math" w:hAnsi="Cambria Math"/>
        </w:rPr>
        <w:t xml:space="preserve">    </w:t>
      </w:r>
      <w:r>
        <w:rPr>
          <w:rFonts w:ascii="Cambria Math" w:hAnsi="Cambria Math"/>
          <w:i/>
          <w:iCs/>
        </w:rPr>
        <w:t xml:space="preserve"> L</w:t>
      </w:r>
      <w:r>
        <w:rPr>
          <w:rFonts w:hint="eastAsia" w:ascii="Cambria Math" w:hAnsi="Cambria Math"/>
        </w:rPr>
        <w:t>——风机的风量，m</w:t>
      </w:r>
      <w:r>
        <w:rPr>
          <w:rFonts w:ascii="Cambria Math" w:hAnsi="Cambria Math"/>
          <w:vertAlign w:val="superscript"/>
        </w:rPr>
        <w:t>3</w:t>
      </w:r>
      <w:r>
        <w:rPr>
          <w:rFonts w:hint="eastAsia" w:ascii="Cambria Math" w:hAnsi="Cambria Math"/>
        </w:rPr>
        <w:t>/h；</w:t>
      </w:r>
    </w:p>
    <w:p>
      <w:pPr>
        <w:pStyle w:val="60"/>
        <w:ind w:firstLine="420"/>
        <w:rPr>
          <w:rFonts w:ascii="Cambria Math" w:hAnsi="Cambria Math"/>
        </w:rPr>
      </w:pPr>
      <w:r>
        <w:rPr>
          <w:rFonts w:hint="eastAsia" w:ascii="Cambria Math" w:hAnsi="Cambria Math"/>
        </w:rPr>
        <w:t xml:space="preserve"> </w:t>
      </w:r>
      <w:r>
        <w:rPr>
          <w:rFonts w:ascii="Cambria Math" w:hAnsi="Cambria Math"/>
          <w:i/>
          <w:iCs/>
        </w:rPr>
        <w:t xml:space="preserve"> P</w:t>
      </w:r>
      <w:r>
        <w:rPr>
          <w:rFonts w:ascii="Cambria Math" w:hAnsi="Cambria Math"/>
          <w:vertAlign w:val="subscript"/>
        </w:rPr>
        <w:t>0</w:t>
      </w:r>
      <w:r>
        <w:rPr>
          <w:rFonts w:hint="eastAsia" w:ascii="Cambria Math" w:hAnsi="Cambria Math"/>
          <w:i/>
          <w:iCs/>
        </w:rPr>
        <w:t>、P</w:t>
      </w:r>
      <w:r>
        <w:rPr>
          <w:rFonts w:ascii="Cambria Math" w:hAnsi="Cambria Math"/>
          <w:vertAlign w:val="subscript"/>
        </w:rPr>
        <w:t>1</w:t>
      </w:r>
      <w:r>
        <w:rPr>
          <w:rFonts w:hint="eastAsia" w:ascii="Cambria Math" w:hAnsi="Cambria Math"/>
        </w:rPr>
        <w:t>——空调机组的额定全压和额定余压，Pa。</w:t>
      </w:r>
    </w:p>
    <w:p>
      <w:pPr>
        <w:pStyle w:val="69"/>
        <w:spacing w:before="120" w:after="120"/>
        <w:rPr>
          <w:lang w:bidi="zh-CN"/>
        </w:rPr>
      </w:pPr>
      <w:r>
        <w:rPr>
          <w:rFonts w:hint="eastAsia"/>
          <w:lang w:bidi="zh-CN"/>
        </w:rPr>
        <w:t>8</w:t>
      </w:r>
      <w:r>
        <w:rPr>
          <w:lang w:bidi="zh-CN"/>
        </w:rPr>
        <w:t>.7</w:t>
      </w:r>
      <w:r>
        <w:rPr>
          <w:rFonts w:hint="eastAsia"/>
          <w:lang w:bidi="zh-CN"/>
        </w:rPr>
        <w:t>定风量系统平衡度检测</w:t>
      </w:r>
    </w:p>
    <w:p>
      <w:pPr>
        <w:pStyle w:val="236"/>
        <w:numPr>
          <w:ilvl w:val="0"/>
          <w:numId w:val="69"/>
        </w:numPr>
        <w:spacing w:line="240" w:lineRule="auto"/>
        <w:jc w:val="left"/>
        <w:rPr>
          <w:rFonts w:cs="Times New Roman"/>
          <w:color w:val="000000" w:themeColor="text1"/>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bidi="ar-SA"/>
          <w14:textFill>
            <w14:solidFill>
              <w14:schemeClr w14:val="tx1"/>
            </w14:solidFill>
          </w14:textFill>
        </w:rPr>
        <w:t xml:space="preserve"> 以系统数量为受检样本数量基数，最小抽样检测数量应符合本规程4</w:t>
      </w:r>
      <w:r>
        <w:rPr>
          <w:rFonts w:cs="Times New Roman"/>
          <w:color w:val="000000" w:themeColor="text1"/>
          <w:sz w:val="21"/>
          <w:szCs w:val="21"/>
          <w:lang w:val="en-US" w:eastAsia="zh-CN" w:bidi="ar-SA"/>
          <w14:textFill>
            <w14:solidFill>
              <w14:schemeClr w14:val="tx1"/>
            </w14:solidFill>
          </w14:textFill>
        </w:rPr>
        <w:t>.6</w:t>
      </w:r>
      <w:r>
        <w:rPr>
          <w:rFonts w:hint="eastAsia" w:cs="Times New Roman"/>
          <w:color w:val="000000" w:themeColor="text1"/>
          <w:sz w:val="21"/>
          <w:szCs w:val="21"/>
          <w:lang w:val="en-US" w:eastAsia="zh-CN" w:bidi="ar-SA"/>
          <w14:textFill>
            <w14:solidFill>
              <w14:schemeClr w14:val="tx1"/>
            </w14:solidFill>
          </w14:textFill>
        </w:rPr>
        <w:t>条的规定，且</w:t>
      </w:r>
    </w:p>
    <w:p>
      <w:pPr>
        <w:pStyle w:val="236"/>
        <w:spacing w:line="240" w:lineRule="auto"/>
        <w:ind w:firstLine="0"/>
        <w:jc w:val="left"/>
        <w:rPr>
          <w:rFonts w:cs="Times New Roman"/>
          <w:color w:val="000000" w:themeColor="text1"/>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bidi="ar-SA"/>
          <w14:textFill>
            <w14:solidFill>
              <w14:schemeClr w14:val="tx1"/>
            </w14:solidFill>
          </w14:textFill>
        </w:rPr>
        <w:t>不同功能的系统不应少于1个。</w:t>
      </w:r>
    </w:p>
    <w:p>
      <w:pPr>
        <w:pStyle w:val="236"/>
        <w:numPr>
          <w:ilvl w:val="0"/>
          <w:numId w:val="69"/>
        </w:numPr>
        <w:spacing w:line="240" w:lineRule="auto"/>
        <w:jc w:val="left"/>
        <w:rPr>
          <w:rFonts w:cs="Times New Roman"/>
          <w:color w:val="000000" w:themeColor="text1"/>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bidi="ar-SA"/>
          <w14:textFill>
            <w14:solidFill>
              <w14:schemeClr w14:val="tx1"/>
            </w14:solidFill>
          </w14:textFill>
        </w:rPr>
        <w:t xml:space="preserve"> 定风量系统平衡度的检测方法应符合现行标准《公共建筑节能检测标准》J</w:t>
      </w:r>
      <w:r>
        <w:rPr>
          <w:rFonts w:cs="Times New Roman"/>
          <w:color w:val="000000" w:themeColor="text1"/>
          <w:sz w:val="21"/>
          <w:szCs w:val="21"/>
          <w:lang w:val="en-US" w:eastAsia="zh-CN" w:bidi="ar-SA"/>
          <w14:textFill>
            <w14:solidFill>
              <w14:schemeClr w14:val="tx1"/>
            </w14:solidFill>
          </w14:textFill>
        </w:rPr>
        <w:t>GJ/T 177</w:t>
      </w:r>
    </w:p>
    <w:p>
      <w:pPr>
        <w:pStyle w:val="236"/>
        <w:spacing w:line="240" w:lineRule="auto"/>
        <w:ind w:firstLine="0"/>
        <w:jc w:val="left"/>
        <w:rPr>
          <w:rFonts w:cs="Times New Roman"/>
          <w:color w:val="000000" w:themeColor="text1"/>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bidi="ar-SA"/>
          <w14:textFill>
            <w14:solidFill>
              <w14:schemeClr w14:val="tx1"/>
            </w14:solidFill>
          </w14:textFill>
        </w:rPr>
        <w:t>的规定。</w:t>
      </w:r>
    </w:p>
    <w:p>
      <w:pPr>
        <w:pStyle w:val="69"/>
        <w:spacing w:before="120" w:after="120"/>
        <w:rPr>
          <w:rFonts w:eastAsia="PMingLiU"/>
          <w:lang w:val="zh-TW" w:eastAsia="zh-TW" w:bidi="zh-TW"/>
        </w:rPr>
      </w:pPr>
      <w:r>
        <w:rPr>
          <w:rFonts w:hint="eastAsia" w:eastAsiaTheme="minorEastAsia"/>
          <w:szCs w:val="21"/>
        </w:rPr>
        <w:t>8</w:t>
      </w:r>
      <w:r>
        <w:rPr>
          <w:rFonts w:eastAsia="PMingLiU"/>
          <w:szCs w:val="21"/>
        </w:rPr>
        <w:t xml:space="preserve">.8 </w:t>
      </w:r>
      <w:r>
        <w:rPr>
          <w:rFonts w:hint="eastAsia" w:hAnsi="黑体"/>
          <w:szCs w:val="21"/>
          <w:lang w:val="zh-TW" w:eastAsia="zh-TW" w:bidi="zh-TW"/>
        </w:rPr>
        <w:t>热回收新风机组</w:t>
      </w:r>
      <w:r>
        <w:rPr>
          <w:lang w:val="zh-TW" w:eastAsia="zh-TW" w:bidi="zh-TW"/>
        </w:rPr>
        <w:t>交换效率检测</w:t>
      </w:r>
    </w:p>
    <w:p>
      <w:pPr>
        <w:pStyle w:val="260"/>
        <w:numPr>
          <w:ilvl w:val="0"/>
          <w:numId w:val="70"/>
        </w:numPr>
        <w:spacing w:line="240" w:lineRule="auto"/>
        <w:ind w:hanging="1016" w:firstLineChars="0"/>
        <w:rPr>
          <w:rFonts w:ascii="宋体" w:hAnsi="宋体"/>
        </w:rPr>
      </w:pPr>
      <w:r>
        <w:rPr>
          <w:rFonts w:hint="eastAsia" w:ascii="宋体" w:hAnsi="宋体"/>
        </w:rPr>
        <w:t xml:space="preserve"> 热回收新风机组的检测数量应符合下列规定：</w:t>
      </w:r>
    </w:p>
    <w:p>
      <w:pPr>
        <w:pStyle w:val="178"/>
        <w:numPr>
          <w:ilvl w:val="0"/>
          <w:numId w:val="71"/>
        </w:numPr>
        <w:rPr>
          <w:rFonts w:hAnsi="宋体"/>
        </w:rPr>
      </w:pPr>
      <w:r>
        <w:rPr>
          <w:rFonts w:hAnsi="宋体"/>
        </w:rPr>
        <w:t xml:space="preserve"> </w:t>
      </w:r>
      <w:r>
        <w:rPr>
          <w:rFonts w:hint="eastAsia" w:hAnsi="宋体"/>
        </w:rPr>
        <w:t>抽检比例不应少于热回收新风机组总数量的5%；</w:t>
      </w:r>
    </w:p>
    <w:p>
      <w:pPr>
        <w:pStyle w:val="178"/>
        <w:numPr>
          <w:ilvl w:val="0"/>
          <w:numId w:val="62"/>
        </w:numPr>
        <w:rPr>
          <w:rFonts w:hAnsi="宋体"/>
        </w:rPr>
      </w:pPr>
      <w:r>
        <w:rPr>
          <w:rFonts w:hAnsi="宋体"/>
        </w:rPr>
        <w:t xml:space="preserve"> </w:t>
      </w:r>
      <w:r>
        <w:rPr>
          <w:rFonts w:hint="eastAsia" w:hAnsi="宋体"/>
        </w:rPr>
        <w:t>不同型号的热回收新风机组检测数量不少于1台。</w:t>
      </w:r>
    </w:p>
    <w:p>
      <w:pPr>
        <w:pStyle w:val="260"/>
        <w:numPr>
          <w:ilvl w:val="0"/>
          <w:numId w:val="70"/>
        </w:numPr>
        <w:spacing w:line="240" w:lineRule="auto"/>
        <w:ind w:hanging="1016" w:firstLineChars="0"/>
        <w:rPr>
          <w:rFonts w:ascii="宋体" w:hAnsi="宋体"/>
        </w:rPr>
      </w:pPr>
      <w:r>
        <w:rPr>
          <w:rFonts w:hint="eastAsia" w:ascii="宋体" w:hAnsi="宋体"/>
        </w:rPr>
        <w:t xml:space="preserve"> 热回收新风机组的额定新风量应大于3</w:t>
      </w:r>
      <w:r>
        <w:rPr>
          <w:rFonts w:ascii="宋体" w:hAnsi="宋体"/>
        </w:rPr>
        <w:t>000</w:t>
      </w:r>
      <w:r>
        <w:rPr>
          <w:rFonts w:hint="eastAsia" w:ascii="宋体" w:hAnsi="宋体"/>
        </w:rPr>
        <w:t>m</w:t>
      </w:r>
      <w:r>
        <w:rPr>
          <w:rFonts w:ascii="宋体" w:hAnsi="宋体"/>
          <w:vertAlign w:val="superscript"/>
        </w:rPr>
        <w:t>3</w:t>
      </w:r>
      <w:r>
        <w:rPr>
          <w:rFonts w:ascii="宋体" w:hAnsi="宋体"/>
        </w:rPr>
        <w:t>/</w:t>
      </w:r>
      <w:r>
        <w:rPr>
          <w:rFonts w:hint="eastAsia" w:ascii="宋体" w:hAnsi="宋体"/>
        </w:rPr>
        <w:t>h。</w:t>
      </w:r>
    </w:p>
    <w:p>
      <w:pPr>
        <w:pStyle w:val="260"/>
        <w:numPr>
          <w:ilvl w:val="0"/>
          <w:numId w:val="70"/>
        </w:numPr>
        <w:spacing w:line="240" w:lineRule="auto"/>
        <w:ind w:hanging="1016" w:firstLineChars="0"/>
        <w:rPr>
          <w:rFonts w:ascii="宋体" w:hAnsi="宋体"/>
        </w:rPr>
      </w:pPr>
      <w:r>
        <w:rPr>
          <w:rFonts w:ascii="宋体" w:hAnsi="宋体"/>
        </w:rPr>
        <w:t xml:space="preserve"> </w:t>
      </w:r>
      <w:r>
        <w:rPr>
          <w:rFonts w:hint="eastAsia" w:ascii="宋体" w:hAnsi="宋体"/>
        </w:rPr>
        <w:t>热回收新风机组的现场检测应在机组热回收运行状态下进行，且应符合下列规定:</w:t>
      </w:r>
    </w:p>
    <w:p>
      <w:pPr>
        <w:pStyle w:val="178"/>
        <w:numPr>
          <w:ilvl w:val="0"/>
          <w:numId w:val="72"/>
        </w:numPr>
        <w:rPr>
          <w:rFonts w:hAnsi="宋体"/>
        </w:rPr>
      </w:pPr>
      <w:r>
        <w:rPr>
          <w:rFonts w:hAnsi="宋体"/>
        </w:rPr>
        <w:t xml:space="preserve"> </w:t>
      </w:r>
      <w:r>
        <w:rPr>
          <w:rFonts w:hint="eastAsia" w:hAnsi="宋体"/>
        </w:rPr>
        <w:t>对于带旁通功能的机组，应关闭旁通功能；</w:t>
      </w:r>
    </w:p>
    <w:p>
      <w:pPr>
        <w:pStyle w:val="178"/>
        <w:numPr>
          <w:ilvl w:val="0"/>
          <w:numId w:val="72"/>
        </w:numPr>
        <w:rPr>
          <w:rFonts w:hAnsi="宋体"/>
        </w:rPr>
      </w:pPr>
      <w:r>
        <w:rPr>
          <w:rFonts w:hAnsi="宋体"/>
        </w:rPr>
        <w:t xml:space="preserve"> </w:t>
      </w:r>
      <w:r>
        <w:rPr>
          <w:rFonts w:hint="eastAsia" w:hAnsi="宋体"/>
        </w:rPr>
        <w:t>对于带风量调节功能的机组，应使机组运行于最大风量；</w:t>
      </w:r>
    </w:p>
    <w:p>
      <w:pPr>
        <w:pStyle w:val="178"/>
        <w:numPr>
          <w:ilvl w:val="0"/>
          <w:numId w:val="72"/>
        </w:numPr>
        <w:rPr>
          <w:rFonts w:hAnsi="宋体"/>
        </w:rPr>
      </w:pPr>
      <w:r>
        <w:rPr>
          <w:rFonts w:hAnsi="宋体"/>
        </w:rPr>
        <w:t xml:space="preserve"> </w:t>
      </w:r>
      <w:r>
        <w:rPr>
          <w:rFonts w:hint="eastAsia" w:hAnsi="宋体"/>
        </w:rPr>
        <w:t>对于新风热回收功能和空调功能集成于一体的机组，应关闭室内循环风路，使机组运</w:t>
      </w:r>
    </w:p>
    <w:p>
      <w:pPr>
        <w:spacing w:line="240" w:lineRule="auto"/>
        <w:rPr>
          <w:rFonts w:ascii="宋体" w:hAnsi="宋体"/>
        </w:rPr>
      </w:pPr>
      <w:r>
        <w:rPr>
          <w:rFonts w:hint="eastAsia" w:ascii="宋体" w:hAnsi="宋体"/>
        </w:rPr>
        <w:t>行于新风——排风热回收模式。</w:t>
      </w:r>
    </w:p>
    <w:p>
      <w:pPr>
        <w:pStyle w:val="260"/>
        <w:numPr>
          <w:ilvl w:val="0"/>
          <w:numId w:val="70"/>
        </w:numPr>
        <w:spacing w:line="240" w:lineRule="auto"/>
        <w:ind w:hanging="1016" w:firstLineChars="0"/>
        <w:rPr>
          <w:rFonts w:ascii="宋体" w:hAnsi="宋体"/>
        </w:rPr>
      </w:pPr>
      <w:r>
        <w:rPr>
          <w:rFonts w:ascii="宋体" w:hAnsi="宋体"/>
        </w:rPr>
        <w:t xml:space="preserve"> </w:t>
      </w:r>
      <w:r>
        <w:rPr>
          <w:rFonts w:hint="eastAsia" w:ascii="宋体" w:hAnsi="宋体"/>
        </w:rPr>
        <w:t>热回收新风机组交换效率现场检测应符合下列规定：</w:t>
      </w:r>
    </w:p>
    <w:p>
      <w:pPr>
        <w:pStyle w:val="178"/>
        <w:numPr>
          <w:ilvl w:val="0"/>
          <w:numId w:val="73"/>
        </w:numPr>
        <w:rPr>
          <w:rFonts w:hAnsi="宋体"/>
        </w:rPr>
      </w:pPr>
      <w:r>
        <w:rPr>
          <w:rFonts w:hAnsi="宋体"/>
        </w:rPr>
        <w:t xml:space="preserve"> </w:t>
      </w:r>
      <w:r>
        <w:rPr>
          <w:rFonts w:hint="eastAsia" w:hAnsi="宋体"/>
        </w:rPr>
        <w:t>新风量、排风量的检测应采用风管风量检测法并应符合现行行业标准《公共建筑节能</w:t>
      </w:r>
    </w:p>
    <w:p>
      <w:pPr>
        <w:spacing w:line="240" w:lineRule="auto"/>
        <w:rPr>
          <w:rFonts w:ascii="宋体" w:hAnsi="宋体"/>
        </w:rPr>
      </w:pPr>
      <w:r>
        <w:rPr>
          <w:rFonts w:hint="eastAsia" w:ascii="宋体" w:hAnsi="宋体"/>
        </w:rPr>
        <w:t>检测标准》J</w:t>
      </w:r>
      <w:r>
        <w:rPr>
          <w:rFonts w:ascii="宋体" w:hAnsi="宋体"/>
        </w:rPr>
        <w:t>GJ/T 177</w:t>
      </w:r>
      <w:r>
        <w:rPr>
          <w:rFonts w:hint="eastAsia" w:ascii="宋体" w:hAnsi="宋体"/>
        </w:rPr>
        <w:t>的有关规定，输入功率检测应在机组进线端同时测量并应符合现行行业标准《公共建筑节能检测标准》J</w:t>
      </w:r>
      <w:r>
        <w:rPr>
          <w:rFonts w:ascii="宋体" w:hAnsi="宋体"/>
        </w:rPr>
        <w:t>GJ/T 177</w:t>
      </w:r>
      <w:r>
        <w:rPr>
          <w:rFonts w:hint="eastAsia" w:ascii="宋体" w:hAnsi="宋体"/>
        </w:rPr>
        <w:t>的有关规定。</w:t>
      </w:r>
    </w:p>
    <w:p>
      <w:pPr>
        <w:pStyle w:val="178"/>
        <w:numPr>
          <w:ilvl w:val="0"/>
          <w:numId w:val="72"/>
        </w:numPr>
        <w:rPr>
          <w:rFonts w:hAnsi="宋体"/>
        </w:rPr>
      </w:pPr>
      <w:r>
        <w:rPr>
          <w:rFonts w:hAnsi="宋体"/>
        </w:rPr>
        <w:t xml:space="preserve"> </w:t>
      </w:r>
      <w:r>
        <w:rPr>
          <w:rFonts w:hint="eastAsia" w:hAnsi="宋体"/>
        </w:rPr>
        <w:t>应在热回收新风机组的新风进口、送风出口、回风进口布置温度、相对湿度测点，温</w:t>
      </w:r>
    </w:p>
    <w:p>
      <w:pPr>
        <w:spacing w:line="240" w:lineRule="auto"/>
        <w:rPr>
          <w:rFonts w:ascii="宋体" w:hAnsi="宋体"/>
        </w:rPr>
      </w:pPr>
      <w:r>
        <w:rPr>
          <w:rFonts w:hint="eastAsia" w:ascii="宋体" w:hAnsi="宋体"/>
        </w:rPr>
        <w:t>度、相对湿度测试应采用具有自动记录功能的温度、相对湿度测试仪表；</w:t>
      </w:r>
    </w:p>
    <w:p>
      <w:pPr>
        <w:pStyle w:val="178"/>
        <w:numPr>
          <w:ilvl w:val="0"/>
          <w:numId w:val="72"/>
        </w:numPr>
        <w:rPr>
          <w:rFonts w:hAnsi="宋体"/>
        </w:rPr>
      </w:pPr>
      <w:r>
        <w:rPr>
          <w:rFonts w:hAnsi="宋体"/>
        </w:rPr>
        <w:t xml:space="preserve"> </w:t>
      </w:r>
      <w:r>
        <w:rPr>
          <w:rFonts w:hint="eastAsia" w:hAnsi="宋体"/>
        </w:rPr>
        <w:t>应在热回收新风机组稳定运行3</w:t>
      </w:r>
      <w:r>
        <w:rPr>
          <w:rFonts w:hAnsi="宋体"/>
        </w:rPr>
        <w:t>0</w:t>
      </w:r>
      <w:r>
        <w:rPr>
          <w:rFonts w:hint="eastAsia" w:hAnsi="宋体"/>
        </w:rPr>
        <w:t>min后开始交换效率的测试，各个位置处的温度、相</w:t>
      </w:r>
    </w:p>
    <w:p>
      <w:pPr>
        <w:spacing w:line="240" w:lineRule="auto"/>
        <w:rPr>
          <w:rFonts w:ascii="宋体" w:hAnsi="宋体"/>
        </w:rPr>
      </w:pPr>
      <w:r>
        <w:rPr>
          <w:rFonts w:hint="eastAsia" w:ascii="宋体" w:hAnsi="宋体"/>
        </w:rPr>
        <w:t>对湿度测试时间间隔宜为1min，测试时间不应少于3</w:t>
      </w:r>
      <w:r>
        <w:rPr>
          <w:rFonts w:ascii="宋体" w:hAnsi="宋体"/>
        </w:rPr>
        <w:t>0</w:t>
      </w:r>
      <w:r>
        <w:rPr>
          <w:rFonts w:hint="eastAsia" w:ascii="宋体" w:hAnsi="宋体"/>
        </w:rPr>
        <w:t>min。</w:t>
      </w:r>
    </w:p>
    <w:p>
      <w:pPr>
        <w:pStyle w:val="178"/>
        <w:numPr>
          <w:ilvl w:val="0"/>
          <w:numId w:val="72"/>
        </w:numPr>
        <w:rPr>
          <w:rFonts w:hAnsi="宋体"/>
        </w:rPr>
      </w:pPr>
      <w:r>
        <w:rPr>
          <w:rFonts w:hAnsi="宋体"/>
        </w:rPr>
        <w:t xml:space="preserve"> </w:t>
      </w:r>
      <w:r>
        <w:rPr>
          <w:rFonts w:hint="eastAsia" w:hAnsi="宋体"/>
        </w:rPr>
        <w:t>测试时新风进口、回风进口的空气温差不小于8</w:t>
      </w:r>
      <w:r>
        <w:rPr>
          <w:rFonts w:hint="eastAsia" w:ascii="微软雅黑" w:hAnsi="微软雅黑" w:eastAsia="微软雅黑"/>
        </w:rPr>
        <w:t>℃</w:t>
      </w:r>
      <w:r>
        <w:rPr>
          <w:rFonts w:hint="eastAsia" w:hAnsi="宋体"/>
        </w:rPr>
        <w:t>。</w:t>
      </w:r>
    </w:p>
    <w:p>
      <w:pPr>
        <w:pStyle w:val="260"/>
        <w:numPr>
          <w:ilvl w:val="0"/>
          <w:numId w:val="70"/>
        </w:numPr>
        <w:spacing w:line="240" w:lineRule="auto"/>
        <w:ind w:hanging="1016" w:firstLineChars="0"/>
        <w:rPr>
          <w:rFonts w:ascii="宋体" w:hAnsi="宋体"/>
        </w:rPr>
      </w:pPr>
      <w:r>
        <w:rPr>
          <w:rFonts w:ascii="宋体" w:hAnsi="宋体"/>
        </w:rPr>
        <w:t xml:space="preserve"> </w:t>
      </w:r>
      <w:r>
        <w:rPr>
          <w:rFonts w:hint="eastAsia" w:ascii="宋体" w:hAnsi="宋体"/>
        </w:rPr>
        <w:t>热回收新风机组的交换效率应按下列公式计算：</w:t>
      </w:r>
    </w:p>
    <w:p>
      <w:pPr>
        <w:pStyle w:val="117"/>
      </w:pPr>
      <w:r>
        <w:tab/>
      </w:r>
      <m:oMath>
        <m:sSub>
          <m:sSubPr>
            <m:ctrlPr>
              <w:rPr>
                <w:rFonts w:ascii="Cambria Math" w:hAnsi="Cambria Math"/>
                <w:i/>
              </w:rPr>
            </m:ctrlPr>
          </m:sSubPr>
          <m:e>
            <m:r>
              <m:rPr/>
              <w:rPr>
                <w:rFonts w:ascii="Cambria Math" w:hAnsi="Cambria Math"/>
              </w:rPr>
              <m:t>η</m:t>
            </m:r>
            <m:ctrlPr>
              <w:rPr>
                <w:rFonts w:ascii="Cambria Math" w:hAnsi="Cambria Math"/>
                <w:i/>
              </w:rPr>
            </m:ctrlPr>
          </m:e>
          <m:sub>
            <m:r>
              <m:rPr/>
              <w:rPr>
                <w:rFonts w:hint="eastAsia" w:ascii="Cambria Math" w:hAnsi="Cambria Math"/>
              </w:rPr>
              <m:t>wd</m:t>
            </m:r>
            <m:ctrlPr>
              <w:rPr>
                <w:rFonts w:ascii="Cambria Math" w:hAnsi="Cambria Math"/>
                <w:i/>
              </w:rPr>
            </m:ctrlPr>
          </m:sub>
        </m:sSub>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hint="eastAsia" w:ascii="Cambria Math" w:hAnsi="Cambria Math"/>
                  </w:rPr>
                  <m:t>t</m:t>
                </m:r>
                <m:ctrlPr>
                  <w:rPr>
                    <w:rFonts w:ascii="Cambria Math" w:hAnsi="Cambria Math"/>
                    <w:i/>
                  </w:rPr>
                </m:ctrlPr>
              </m:e>
              <m:sub>
                <m:r>
                  <m:rPr/>
                  <w:rPr>
                    <w:rFonts w:ascii="Cambria Math" w:hAnsi="Cambria Math"/>
                  </w:rPr>
                  <m:t>OA</m:t>
                </m:r>
                <m:ctrlPr>
                  <w:rPr>
                    <w:rFonts w:ascii="Cambria Math" w:hAnsi="Cambria Math"/>
                    <w:i/>
                  </w:rPr>
                </m:ctrlPr>
              </m:sub>
            </m:sSub>
            <m:r>
              <m:rPr/>
              <w:rPr>
                <w:rFonts w:hint="eastAsia" w:ascii="微软雅黑" w:hAnsi="微软雅黑" w:eastAsia="微软雅黑" w:cs="微软雅黑"/>
              </w:rPr>
              <m:t>−</m:t>
            </m:r>
            <m:sSub>
              <m:sSubPr>
                <m:ctrlPr>
                  <w:rPr>
                    <w:rFonts w:ascii="Cambria Math" w:hAnsi="Cambria Math"/>
                    <w:i/>
                  </w:rPr>
                </m:ctrlPr>
              </m:sSubPr>
              <m:e>
                <m:r>
                  <m:rPr/>
                  <w:rPr>
                    <w:rFonts w:hint="eastAsia" w:ascii="Cambria Math" w:hAnsi="Cambria Math"/>
                  </w:rPr>
                  <m:t>t</m:t>
                </m:r>
                <m:ctrlPr>
                  <w:rPr>
                    <w:rFonts w:ascii="Cambria Math" w:hAnsi="Cambria Math"/>
                    <w:i/>
                  </w:rPr>
                </m:ctrlPr>
              </m:e>
              <m:sub>
                <m:r>
                  <m:rPr/>
                  <w:rPr>
                    <w:rFonts w:ascii="Cambria Math" w:hAnsi="Cambria Math"/>
                  </w:rPr>
                  <m:t>SA</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t</m:t>
                </m:r>
                <m:ctrlPr>
                  <w:rPr>
                    <w:rFonts w:ascii="Cambria Math" w:hAnsi="Cambria Math"/>
                    <w:i/>
                  </w:rPr>
                </m:ctrlPr>
              </m:e>
              <m:sub>
                <m:r>
                  <m:rPr/>
                  <w:rPr>
                    <w:rFonts w:ascii="Cambria Math" w:hAnsi="Cambria Math"/>
                  </w:rPr>
                  <m:t>OA</m:t>
                </m:r>
                <m:ctrlPr>
                  <w:rPr>
                    <w:rFonts w:ascii="Cambria Math" w:hAnsi="Cambria Math"/>
                    <w:i/>
                  </w:rPr>
                </m:ctrlPr>
              </m:sub>
            </m:sSub>
            <m:r>
              <m:rPr/>
              <w:rPr>
                <w:rFonts w:hint="eastAsia" w:ascii="微软雅黑" w:hAnsi="微软雅黑" w:eastAsia="微软雅黑" w:cs="微软雅黑"/>
              </w:rPr>
              <m:t>−</m:t>
            </m:r>
            <m:sSub>
              <m:sSubPr>
                <m:ctrlPr>
                  <w:rPr>
                    <w:rFonts w:ascii="Cambria Math" w:hAnsi="Cambria Math"/>
                    <w:i/>
                  </w:rPr>
                </m:ctrlPr>
              </m:sSubPr>
              <m:e>
                <m:r>
                  <m:rPr/>
                  <w:rPr>
                    <w:rFonts w:hint="eastAsia" w:ascii="Cambria Math" w:hAnsi="Cambria Math"/>
                  </w:rPr>
                  <m:t>t</m:t>
                </m:r>
                <m:ctrlPr>
                  <w:rPr>
                    <w:rFonts w:ascii="Cambria Math" w:hAnsi="Cambria Math"/>
                    <w:i/>
                  </w:rPr>
                </m:ctrlPr>
              </m:e>
              <m:sub>
                <m:r>
                  <m:rPr/>
                  <w:rPr>
                    <w:rFonts w:ascii="Cambria Math" w:hAnsi="Cambria Math"/>
                  </w:rPr>
                  <m:t>RA</m:t>
                </m:r>
                <m:ctrlPr>
                  <w:rPr>
                    <w:rFonts w:ascii="Cambria Math" w:hAnsi="Cambria Math"/>
                    <w:i/>
                  </w:rPr>
                </m:ctrlPr>
              </m:sub>
            </m:sSub>
            <m:ctrlPr>
              <w:rPr>
                <w:rFonts w:ascii="Cambria Math" w:hAnsi="Cambria Math"/>
                <w:i/>
              </w:rPr>
            </m:ctrlPr>
          </m:den>
        </m:f>
        <m:r>
          <m:rPr/>
          <w:rPr>
            <w:rFonts w:ascii="Cambria Math" w:hAnsi="Cambria Math"/>
          </w:rPr>
          <m:t>×100</m:t>
        </m:r>
        <m:r>
          <m:rPr/>
          <w:rPr>
            <w:rFonts w:hint="eastAsia" w:ascii="Cambria Math" w:hAnsi="Cambria Math"/>
          </w:rPr>
          <m:t>%</m:t>
        </m:r>
      </m:oMath>
      <w:r>
        <w:rPr>
          <w:rFonts w:ascii="微软雅黑" w:hAnsi="微软雅黑" w:eastAsia="微软雅黑"/>
        </w:rPr>
        <w:tab/>
      </w:r>
      <w:r>
        <w:t>(</w:t>
      </w:r>
      <w:r>
        <w:fldChar w:fldCharType="begin"/>
      </w:r>
      <w:r>
        <w:instrText xml:space="preserve"> AUTONUM </w:instrText>
      </w:r>
      <w:r>
        <w:fldChar w:fldCharType="end"/>
      </w:r>
      <w:r>
        <w:t>)</w:t>
      </w:r>
    </w:p>
    <w:p>
      <w:pPr>
        <w:pStyle w:val="117"/>
      </w:pPr>
      <w:r>
        <w:tab/>
      </w:r>
      <m:oMath>
        <m:sSub>
          <m:sSubPr>
            <m:ctrlPr>
              <w:rPr>
                <w:rFonts w:ascii="Cambria Math" w:hAnsi="Cambria Math"/>
                <w:i/>
              </w:rPr>
            </m:ctrlPr>
          </m:sSubPr>
          <m:e>
            <m:r>
              <m:rPr/>
              <w:rPr>
                <w:rFonts w:ascii="Cambria Math" w:hAnsi="Cambria Math"/>
              </w:rPr>
              <m:t>η</m:t>
            </m:r>
            <m:ctrlPr>
              <w:rPr>
                <w:rFonts w:ascii="Cambria Math" w:hAnsi="Cambria Math"/>
                <w:i/>
              </w:rPr>
            </m:ctrlPr>
          </m:e>
          <m:sub>
            <m:r>
              <m:rPr/>
              <w:rPr>
                <w:rFonts w:hint="eastAsia" w:ascii="MS Gothic" w:hAnsi="MS Gothic" w:eastAsia="MS Gothic" w:cs="MS Gothic"/>
              </w:rPr>
              <m:t>ℎ</m:t>
            </m:r>
            <m:ctrlPr>
              <w:rPr>
                <w:rFonts w:ascii="Cambria Math" w:hAnsi="Cambria Math"/>
                <w:i/>
              </w:rPr>
            </m:ctrlPr>
          </m:sub>
        </m:sSub>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hint="eastAsia" w:ascii="MS Gothic" w:hAnsi="MS Gothic" w:eastAsia="MS Gothic" w:cs="MS Gothic"/>
                  </w:rPr>
                  <m:t>ℎ</m:t>
                </m:r>
                <m:ctrlPr>
                  <w:rPr>
                    <w:rFonts w:ascii="Cambria Math" w:hAnsi="Cambria Math"/>
                    <w:i/>
                  </w:rPr>
                </m:ctrlPr>
              </m:e>
              <m:sub>
                <m:r>
                  <m:rPr/>
                  <w:rPr>
                    <w:rFonts w:ascii="Cambria Math" w:hAnsi="Cambria Math"/>
                  </w:rPr>
                  <m:t>OA</m:t>
                </m:r>
                <m:ctrlPr>
                  <w:rPr>
                    <w:rFonts w:ascii="Cambria Math" w:hAnsi="Cambria Math"/>
                    <w:i/>
                  </w:rPr>
                </m:ctrlPr>
              </m:sub>
            </m:sSub>
            <m:r>
              <m:rPr/>
              <w:rPr>
                <w:rFonts w:hint="eastAsia" w:ascii="Cambria Math" w:hAnsi="Cambria Math" w:eastAsia="微软雅黑" w:cs="微软雅黑"/>
              </w:rPr>
              <m:t>−</m:t>
            </m:r>
            <m:sSub>
              <m:sSubPr>
                <m:ctrlPr>
                  <w:rPr>
                    <w:rFonts w:ascii="Cambria Math" w:hAnsi="Cambria Math"/>
                    <w:i/>
                  </w:rPr>
                </m:ctrlPr>
              </m:sSubPr>
              <m:e>
                <m:r>
                  <m:rPr/>
                  <w:rPr>
                    <w:rFonts w:hint="eastAsia" w:ascii="MS Gothic" w:hAnsi="MS Gothic" w:eastAsia="MS Gothic" w:cs="MS Gothic"/>
                  </w:rPr>
                  <m:t>ℎ</m:t>
                </m:r>
                <m:ctrlPr>
                  <w:rPr>
                    <w:rFonts w:ascii="Cambria Math" w:hAnsi="Cambria Math"/>
                    <w:i/>
                  </w:rPr>
                </m:ctrlPr>
              </m:e>
              <m:sub>
                <m:r>
                  <m:rPr/>
                  <w:rPr>
                    <w:rFonts w:ascii="Cambria Math" w:hAnsi="Cambria Math"/>
                  </w:rPr>
                  <m:t>SA</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MS Gothic" w:hAnsi="MS Gothic" w:eastAsia="MS Gothic" w:cs="MS Gothic"/>
                  </w:rPr>
                  <m:t>ℎ</m:t>
                </m:r>
                <m:ctrlPr>
                  <w:rPr>
                    <w:rFonts w:ascii="Cambria Math" w:hAnsi="Cambria Math"/>
                    <w:i/>
                  </w:rPr>
                </m:ctrlPr>
              </m:e>
              <m:sub>
                <m:r>
                  <m:rPr/>
                  <w:rPr>
                    <w:rFonts w:ascii="Cambria Math" w:hAnsi="Cambria Math"/>
                  </w:rPr>
                  <m:t>OA</m:t>
                </m:r>
                <m:ctrlPr>
                  <w:rPr>
                    <w:rFonts w:ascii="Cambria Math" w:hAnsi="Cambria Math"/>
                    <w:i/>
                  </w:rPr>
                </m:ctrlPr>
              </m:sub>
            </m:sSub>
            <m:r>
              <m:rPr/>
              <w:rPr>
                <w:rFonts w:hint="eastAsia" w:ascii="Cambria Math" w:hAnsi="Cambria Math" w:eastAsia="微软雅黑" w:cs="微软雅黑"/>
              </w:rPr>
              <m:t>−</m:t>
            </m:r>
            <m:sSub>
              <m:sSubPr>
                <m:ctrlPr>
                  <w:rPr>
                    <w:rFonts w:ascii="Cambria Math" w:hAnsi="Cambria Math"/>
                    <w:i/>
                  </w:rPr>
                </m:ctrlPr>
              </m:sSubPr>
              <m:e>
                <m:r>
                  <m:rPr/>
                  <w:rPr>
                    <w:rFonts w:hint="eastAsia" w:ascii="MS Gothic" w:hAnsi="MS Gothic" w:eastAsia="MS Gothic" w:cs="MS Gothic"/>
                  </w:rPr>
                  <m:t>ℎ</m:t>
                </m:r>
                <m:ctrlPr>
                  <w:rPr>
                    <w:rFonts w:ascii="Cambria Math" w:hAnsi="Cambria Math"/>
                    <w:i/>
                  </w:rPr>
                </m:ctrlPr>
              </m:e>
              <m:sub>
                <m:r>
                  <m:rPr/>
                  <w:rPr>
                    <w:rFonts w:ascii="Cambria Math" w:hAnsi="Cambria Math"/>
                  </w:rPr>
                  <m:t>RA</m:t>
                </m:r>
                <m:ctrlPr>
                  <w:rPr>
                    <w:rFonts w:ascii="Cambria Math" w:hAnsi="Cambria Math"/>
                    <w:i/>
                  </w:rPr>
                </m:ctrlPr>
              </m:sub>
            </m:sSub>
            <m:ctrlPr>
              <w:rPr>
                <w:rFonts w:ascii="Cambria Math" w:hAnsi="Cambria Math"/>
                <w:i/>
              </w:rPr>
            </m:ctrlPr>
          </m:den>
        </m:f>
        <m:r>
          <m:rPr/>
          <w:rPr>
            <w:rFonts w:ascii="Cambria Math" w:hAnsi="Cambria Math"/>
          </w:rPr>
          <m:t>×100</m:t>
        </m:r>
        <m:r>
          <m:rPr/>
          <w:rPr>
            <w:rFonts w:hint="eastAsia" w:ascii="Cambria Math" w:hAnsi="Cambria Math"/>
          </w:rPr>
          <m:t>%</m:t>
        </m:r>
      </m:oMath>
      <w:r>
        <w:rPr>
          <w:rFonts w:ascii="微软雅黑" w:hAnsi="微软雅黑" w:eastAsia="微软雅黑"/>
        </w:rPr>
        <w:tab/>
      </w:r>
      <w:r>
        <w:t>(</w:t>
      </w:r>
      <w:r>
        <w:fldChar w:fldCharType="begin"/>
      </w:r>
      <w:r>
        <w:instrText xml:space="preserve"> AUTONUM </w:instrText>
      </w:r>
      <w:r>
        <w:fldChar w:fldCharType="end"/>
      </w:r>
      <w:r>
        <w:t>)</w:t>
      </w:r>
    </w:p>
    <w:p>
      <w:pPr>
        <w:pStyle w:val="59"/>
        <w:spacing w:line="240" w:lineRule="auto"/>
        <w:ind w:firstLine="420"/>
        <w:rPr>
          <w:kern w:val="2"/>
        </w:rPr>
      </w:pPr>
      <w:r>
        <w:rPr>
          <w:rFonts w:hint="eastAsia"/>
        </w:rPr>
        <w:t>式中：</w:t>
      </w:r>
      <m:oMath>
        <m:sSub>
          <m:sSubPr>
            <m:ctrlPr>
              <w:rPr>
                <w:rFonts w:ascii="Cambria Math" w:hAnsi="Cambria Math"/>
                <w:i/>
                <w:kern w:val="2"/>
              </w:rPr>
            </m:ctrlPr>
          </m:sSubPr>
          <m:e>
            <m:r>
              <m:rPr/>
              <w:rPr>
                <w:rFonts w:ascii="Cambria Math" w:hAnsi="Cambria Math"/>
              </w:rPr>
              <m:t>η</m:t>
            </m:r>
            <m:ctrlPr>
              <w:rPr>
                <w:rFonts w:ascii="Cambria Math" w:hAnsi="Cambria Math"/>
                <w:i/>
                <w:kern w:val="2"/>
              </w:rPr>
            </m:ctrlPr>
          </m:e>
          <m:sub>
            <m:r>
              <m:rPr/>
              <w:rPr>
                <w:rFonts w:hint="eastAsia" w:ascii="Cambria Math" w:hAnsi="Cambria Math"/>
              </w:rPr>
              <m:t>wd</m:t>
            </m:r>
            <m:ctrlPr>
              <w:rPr>
                <w:rFonts w:ascii="Cambria Math" w:hAnsi="Cambria Math"/>
                <w:i/>
                <w:kern w:val="2"/>
              </w:rPr>
            </m:ctrlPr>
          </m:sub>
        </m:sSub>
      </m:oMath>
      <w:r>
        <w:rPr>
          <w:rFonts w:hint="eastAsia"/>
          <w:kern w:val="2"/>
        </w:rPr>
        <w:t>、</w:t>
      </w:r>
      <m:oMath>
        <m:sSub>
          <m:sSubPr>
            <m:ctrlPr>
              <w:rPr>
                <w:rFonts w:ascii="Cambria Math" w:hAnsi="Cambria Math"/>
                <w:i/>
                <w:kern w:val="2"/>
              </w:rPr>
            </m:ctrlPr>
          </m:sSubPr>
          <m:e>
            <m:r>
              <m:rPr/>
              <w:rPr>
                <w:rFonts w:ascii="Cambria Math" w:hAnsi="Cambria Math"/>
              </w:rPr>
              <m:t>η</m:t>
            </m:r>
            <m:ctrlPr>
              <w:rPr>
                <w:rFonts w:ascii="Cambria Math" w:hAnsi="Cambria Math"/>
                <w:i/>
                <w:kern w:val="2"/>
              </w:rPr>
            </m:ctrlPr>
          </m:e>
          <m:sub>
            <m:r>
              <m:rPr/>
              <w:rPr>
                <w:rFonts w:hint="eastAsia" w:ascii="Cambria Math" w:hAnsi="Cambria Math" w:eastAsia="MS Gothic" w:cs="MS Gothic"/>
              </w:rPr>
              <m:t>ℎ</m:t>
            </m:r>
            <m:ctrlPr>
              <w:rPr>
                <w:rFonts w:ascii="Cambria Math" w:hAnsi="Cambria Math"/>
                <w:i/>
                <w:kern w:val="2"/>
              </w:rPr>
            </m:ctrlPr>
          </m:sub>
        </m:sSub>
      </m:oMath>
      <w:r>
        <w:rPr>
          <w:rFonts w:hint="eastAsia"/>
          <w:kern w:val="2"/>
        </w:rPr>
        <w:t>——分别为机组的显热、全热交换效率（%）；</w:t>
      </w:r>
    </w:p>
    <w:p>
      <w:pPr>
        <w:pStyle w:val="60"/>
        <w:ind w:firstLine="420"/>
        <w:rPr>
          <w:kern w:val="2"/>
          <w:szCs w:val="21"/>
        </w:rPr>
      </w:pPr>
      <w:r>
        <w:rPr>
          <w:rFonts w:hint="eastAsia"/>
        </w:rPr>
        <w:t xml:space="preserve"> </w:t>
      </w:r>
      <w:r>
        <w:t xml:space="preserve">     </w:t>
      </w:r>
      <m:oMath>
        <m:sSub>
          <m:sSubPr>
            <m:ctrlPr>
              <w:rPr>
                <w:rFonts w:ascii="Cambria Math" w:hAnsi="Cambria Math"/>
                <w:i/>
                <w:kern w:val="2"/>
                <w:szCs w:val="21"/>
              </w:rPr>
            </m:ctrlPr>
          </m:sSubPr>
          <m:e>
            <m:r>
              <m:rPr/>
              <w:rPr>
                <w:rFonts w:hint="eastAsia" w:ascii="Cambria Math" w:hAnsi="Cambria Math"/>
              </w:rPr>
              <m:t>t</m:t>
            </m:r>
            <m:ctrlPr>
              <w:rPr>
                <w:rFonts w:ascii="Cambria Math" w:hAnsi="Cambria Math"/>
                <w:i/>
                <w:kern w:val="2"/>
                <w:szCs w:val="21"/>
              </w:rPr>
            </m:ctrlPr>
          </m:e>
          <m:sub>
            <m:r>
              <m:rPr/>
              <w:rPr>
                <w:rFonts w:ascii="Cambria Math" w:hAnsi="Cambria Math"/>
              </w:rPr>
              <m:t>OA</m:t>
            </m:r>
            <m:ctrlPr>
              <w:rPr>
                <w:rFonts w:ascii="Cambria Math" w:hAnsi="Cambria Math"/>
                <w:i/>
                <w:kern w:val="2"/>
                <w:szCs w:val="21"/>
              </w:rPr>
            </m:ctrlPr>
          </m:sub>
        </m:sSub>
      </m:oMath>
      <w:r>
        <w:rPr>
          <w:rFonts w:hint="eastAsia"/>
          <w:kern w:val="2"/>
          <w:szCs w:val="21"/>
        </w:rPr>
        <w:t>、</w:t>
      </w:r>
      <m:oMath>
        <m:sSub>
          <m:sSubPr>
            <m:ctrlPr>
              <w:rPr>
                <w:rFonts w:ascii="Cambria Math" w:hAnsi="Cambria Math"/>
                <w:i/>
                <w:kern w:val="2"/>
                <w:szCs w:val="21"/>
              </w:rPr>
            </m:ctrlPr>
          </m:sSubPr>
          <m:e>
            <m:r>
              <m:rPr/>
              <w:rPr>
                <w:rFonts w:hint="eastAsia" w:ascii="Cambria Math" w:hAnsi="Cambria Math"/>
              </w:rPr>
              <m:t>t</m:t>
            </m:r>
            <m:ctrlPr>
              <w:rPr>
                <w:rFonts w:ascii="Cambria Math" w:hAnsi="Cambria Math"/>
                <w:i/>
                <w:kern w:val="2"/>
                <w:szCs w:val="21"/>
              </w:rPr>
            </m:ctrlPr>
          </m:e>
          <m:sub>
            <m:r>
              <m:rPr/>
              <w:rPr>
                <w:rFonts w:ascii="Cambria Math" w:hAnsi="Cambria Math"/>
              </w:rPr>
              <m:t>SA</m:t>
            </m:r>
            <m:ctrlPr>
              <w:rPr>
                <w:rFonts w:ascii="Cambria Math" w:hAnsi="Cambria Math"/>
                <w:i/>
                <w:kern w:val="2"/>
                <w:szCs w:val="21"/>
              </w:rPr>
            </m:ctrlPr>
          </m:sub>
        </m:sSub>
      </m:oMath>
      <w:r>
        <w:rPr>
          <w:rFonts w:hint="eastAsia"/>
          <w:kern w:val="2"/>
          <w:szCs w:val="21"/>
        </w:rPr>
        <w:t>、</w:t>
      </w:r>
      <m:oMath>
        <m:sSub>
          <m:sSubPr>
            <m:ctrlPr>
              <w:rPr>
                <w:rFonts w:ascii="Cambria Math" w:hAnsi="Cambria Math"/>
                <w:i/>
                <w:kern w:val="2"/>
                <w:szCs w:val="21"/>
              </w:rPr>
            </m:ctrlPr>
          </m:sSubPr>
          <m:e>
            <m:r>
              <m:rPr/>
              <w:rPr>
                <w:rFonts w:hint="eastAsia" w:ascii="Cambria Math" w:hAnsi="Cambria Math"/>
              </w:rPr>
              <m:t>t</m:t>
            </m:r>
            <m:ctrlPr>
              <w:rPr>
                <w:rFonts w:ascii="Cambria Math" w:hAnsi="Cambria Math"/>
                <w:i/>
                <w:kern w:val="2"/>
                <w:szCs w:val="21"/>
              </w:rPr>
            </m:ctrlPr>
          </m:e>
          <m:sub>
            <m:r>
              <m:rPr/>
              <w:rPr>
                <w:rFonts w:ascii="Cambria Math" w:hAnsi="Cambria Math"/>
              </w:rPr>
              <m:t>RA</m:t>
            </m:r>
            <m:ctrlPr>
              <w:rPr>
                <w:rFonts w:ascii="Cambria Math" w:hAnsi="Cambria Math"/>
                <w:i/>
                <w:kern w:val="2"/>
                <w:szCs w:val="21"/>
              </w:rPr>
            </m:ctrlPr>
          </m:sub>
        </m:sSub>
      </m:oMath>
      <w:r>
        <w:rPr>
          <w:rFonts w:hint="eastAsia"/>
          <w:kern w:val="2"/>
          <w:szCs w:val="21"/>
        </w:rPr>
        <w:t>——分别为新风进口、送风出口、回风进口的干球温度（</w:t>
      </w:r>
      <w:r>
        <w:rPr>
          <w:rFonts w:hint="eastAsia" w:ascii="微软雅黑" w:hAnsi="微软雅黑" w:eastAsia="微软雅黑"/>
          <w:kern w:val="2"/>
          <w:szCs w:val="21"/>
        </w:rPr>
        <w:t>℃</w:t>
      </w:r>
      <w:r>
        <w:rPr>
          <w:rFonts w:hint="eastAsia"/>
          <w:kern w:val="2"/>
          <w:szCs w:val="21"/>
        </w:rPr>
        <w:t>）；</w:t>
      </w:r>
    </w:p>
    <w:p>
      <w:pPr>
        <w:pStyle w:val="60"/>
        <w:ind w:firstLine="420"/>
      </w:pPr>
      <w:r>
        <w:rPr>
          <w:kern w:val="2"/>
          <w:szCs w:val="21"/>
        </w:rPr>
        <w:t xml:space="preserve">     </w:t>
      </w:r>
      <m:oMath>
        <m:r>
          <m:rPr/>
          <w:rPr>
            <w:rFonts w:ascii="Cambria Math" w:hAnsi="Cambria Math"/>
            <w:kern w:val="2"/>
            <w:szCs w:val="21"/>
          </w:rPr>
          <m:t xml:space="preserve">  </m:t>
        </m:r>
        <m:sSub>
          <m:sSubPr>
            <m:ctrlPr>
              <w:rPr>
                <w:rFonts w:ascii="Cambria Math" w:hAnsi="Cambria Math"/>
                <w:i/>
                <w:kern w:val="2"/>
                <w:szCs w:val="21"/>
              </w:rPr>
            </m:ctrlPr>
          </m:sSubPr>
          <m:e>
            <m:r>
              <m:rPr/>
              <w:rPr>
                <w:rFonts w:hint="eastAsia" w:ascii="Cambria Math" w:hAnsi="Cambria Math" w:eastAsia="MS Gothic" w:cs="MS Gothic"/>
              </w:rPr>
              <m:t>ℎ</m:t>
            </m:r>
            <m:ctrlPr>
              <w:rPr>
                <w:rFonts w:ascii="Cambria Math" w:hAnsi="Cambria Math"/>
                <w:i/>
                <w:kern w:val="2"/>
                <w:szCs w:val="21"/>
              </w:rPr>
            </m:ctrlPr>
          </m:e>
          <m:sub>
            <m:r>
              <m:rPr/>
              <w:rPr>
                <w:rFonts w:ascii="Cambria Math" w:hAnsi="Cambria Math"/>
              </w:rPr>
              <m:t>OA</m:t>
            </m:r>
            <m:ctrlPr>
              <w:rPr>
                <w:rFonts w:ascii="Cambria Math" w:hAnsi="Cambria Math"/>
                <w:i/>
                <w:kern w:val="2"/>
                <w:szCs w:val="21"/>
              </w:rPr>
            </m:ctrlPr>
          </m:sub>
        </m:sSub>
      </m:oMath>
      <w:r>
        <w:rPr>
          <w:rFonts w:hint="eastAsia"/>
          <w:kern w:val="2"/>
          <w:szCs w:val="21"/>
        </w:rPr>
        <w:t>、</w:t>
      </w:r>
      <m:oMath>
        <m:sSub>
          <m:sSubPr>
            <m:ctrlPr>
              <w:rPr>
                <w:rFonts w:ascii="Cambria Math" w:hAnsi="Cambria Math"/>
                <w:i/>
                <w:kern w:val="2"/>
                <w:szCs w:val="21"/>
              </w:rPr>
            </m:ctrlPr>
          </m:sSubPr>
          <m:e>
            <m:r>
              <m:rPr/>
              <w:rPr>
                <w:rFonts w:hint="eastAsia" w:ascii="Cambria Math" w:hAnsi="Cambria Math" w:eastAsia="MS Gothic" w:cs="MS Gothic"/>
              </w:rPr>
              <m:t>ℎ</m:t>
            </m:r>
            <m:ctrlPr>
              <w:rPr>
                <w:rFonts w:ascii="Cambria Math" w:hAnsi="Cambria Math"/>
                <w:i/>
                <w:kern w:val="2"/>
                <w:szCs w:val="21"/>
              </w:rPr>
            </m:ctrlPr>
          </m:e>
          <m:sub>
            <m:r>
              <m:rPr/>
              <w:rPr>
                <w:rFonts w:ascii="Cambria Math" w:hAnsi="Cambria Math"/>
              </w:rPr>
              <m:t>SA</m:t>
            </m:r>
            <m:ctrlPr>
              <w:rPr>
                <w:rFonts w:ascii="Cambria Math" w:hAnsi="Cambria Math"/>
                <w:i/>
                <w:kern w:val="2"/>
                <w:szCs w:val="21"/>
              </w:rPr>
            </m:ctrlPr>
          </m:sub>
        </m:sSub>
      </m:oMath>
      <w:r>
        <w:rPr>
          <w:rFonts w:hint="eastAsia"/>
          <w:kern w:val="2"/>
          <w:szCs w:val="21"/>
        </w:rPr>
        <w:t>、</w:t>
      </w:r>
      <m:oMath>
        <m:sSub>
          <m:sSubPr>
            <m:ctrlPr>
              <w:rPr>
                <w:rFonts w:ascii="Cambria Math" w:hAnsi="Cambria Math"/>
                <w:i/>
                <w:kern w:val="2"/>
                <w:szCs w:val="21"/>
              </w:rPr>
            </m:ctrlPr>
          </m:sSubPr>
          <m:e>
            <m:r>
              <m:rPr/>
              <w:rPr>
                <w:rFonts w:hint="eastAsia" w:ascii="Cambria Math" w:hAnsi="Cambria Math" w:eastAsia="MS Gothic" w:cs="MS Gothic"/>
              </w:rPr>
              <m:t>ℎ</m:t>
            </m:r>
            <m:ctrlPr>
              <w:rPr>
                <w:rFonts w:ascii="Cambria Math" w:hAnsi="Cambria Math"/>
                <w:i/>
                <w:kern w:val="2"/>
                <w:szCs w:val="21"/>
              </w:rPr>
            </m:ctrlPr>
          </m:e>
          <m:sub>
            <m:r>
              <m:rPr/>
              <w:rPr>
                <w:rFonts w:ascii="Cambria Math" w:hAnsi="Cambria Math"/>
              </w:rPr>
              <m:t>RA</m:t>
            </m:r>
            <m:ctrlPr>
              <w:rPr>
                <w:rFonts w:ascii="Cambria Math" w:hAnsi="Cambria Math"/>
                <w:i/>
                <w:kern w:val="2"/>
                <w:szCs w:val="21"/>
              </w:rPr>
            </m:ctrlPr>
          </m:sub>
        </m:sSub>
      </m:oMath>
      <w:r>
        <w:rPr>
          <w:rFonts w:hint="eastAsia"/>
          <w:kern w:val="2"/>
          <w:szCs w:val="21"/>
        </w:rPr>
        <w:t>——分别为新风进口、送风出口、回风进口的焓值（k</w:t>
      </w:r>
      <w:r>
        <w:rPr>
          <w:kern w:val="2"/>
          <w:szCs w:val="21"/>
        </w:rPr>
        <w:t>J/</w:t>
      </w:r>
      <w:r>
        <w:rPr>
          <w:rFonts w:hint="eastAsia"/>
          <w:kern w:val="2"/>
          <w:szCs w:val="21"/>
        </w:rPr>
        <w:t>kg）。</w:t>
      </w:r>
    </w:p>
    <w:p>
      <w:pPr>
        <w:pStyle w:val="236"/>
        <w:spacing w:line="240" w:lineRule="auto"/>
        <w:ind w:firstLine="0"/>
        <w:jc w:val="left"/>
        <w:rPr>
          <w:rFonts w:eastAsia="PMingLiU"/>
          <w:sz w:val="21"/>
          <w:szCs w:val="21"/>
          <w:lang w:val="en-US"/>
        </w:rPr>
        <w:sectPr>
          <w:footerReference r:id="rId21" w:type="default"/>
          <w:footerReference r:id="rId22" w:type="even"/>
          <w:type w:val="continuous"/>
          <w:pgSz w:w="11900" w:h="16840"/>
          <w:pgMar w:top="1310" w:right="1715" w:bottom="1515" w:left="1740" w:header="882" w:footer="3" w:gutter="0"/>
          <w:cols w:space="720" w:num="1"/>
          <w:docGrid w:linePitch="360" w:charSpace="0"/>
        </w:sectPr>
      </w:pPr>
    </w:p>
    <w:p>
      <w:pPr>
        <w:pStyle w:val="108"/>
        <w:spacing w:before="240" w:after="240"/>
        <w:ind w:left="0"/>
        <w:rPr>
          <w:lang w:bidi="en-US"/>
        </w:rPr>
      </w:pPr>
      <w:bookmarkStart w:id="158" w:name="bookmark121"/>
      <w:bookmarkStart w:id="159" w:name="bookmark122"/>
      <w:bookmarkStart w:id="160" w:name="bookmark120"/>
      <w:bookmarkStart w:id="161" w:name="_Toc129855991"/>
      <w:bookmarkStart w:id="162" w:name="_Toc129698158"/>
      <w:bookmarkStart w:id="163" w:name="_Toc129855765"/>
      <w:bookmarkStart w:id="164" w:name="_Toc129782130"/>
      <w:r>
        <w:rPr>
          <w:rFonts w:hint="eastAsia"/>
          <w:lang w:bidi="en-US"/>
        </w:rPr>
        <w:t>给水排水系统</w:t>
      </w:r>
      <w:bookmarkEnd w:id="158"/>
      <w:bookmarkEnd w:id="159"/>
      <w:bookmarkEnd w:id="160"/>
      <w:r>
        <w:rPr>
          <w:rFonts w:hint="eastAsia"/>
          <w:lang w:bidi="en-US"/>
        </w:rPr>
        <w:t>检测</w:t>
      </w:r>
      <w:bookmarkEnd w:id="161"/>
      <w:bookmarkEnd w:id="162"/>
      <w:bookmarkEnd w:id="163"/>
      <w:bookmarkEnd w:id="164"/>
    </w:p>
    <w:p>
      <w:pPr>
        <w:pStyle w:val="69"/>
        <w:spacing w:before="120" w:after="120"/>
        <w:rPr>
          <w:lang w:bidi="en-US"/>
        </w:rPr>
      </w:pPr>
      <w:bookmarkStart w:id="165" w:name="bookmark123"/>
      <w:bookmarkStart w:id="166" w:name="bookmark124"/>
      <w:bookmarkStart w:id="167" w:name="bookmark125"/>
      <w:r>
        <w:rPr>
          <w:rFonts w:hint="eastAsia"/>
          <w:lang w:bidi="en-US"/>
        </w:rPr>
        <w:t>9.1 一般规定</w:t>
      </w:r>
      <w:bookmarkEnd w:id="165"/>
      <w:bookmarkEnd w:id="166"/>
      <w:bookmarkEnd w:id="167"/>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.1.1</w:t>
      </w:r>
      <w:r>
        <w:rPr>
          <w:color w:val="000000"/>
          <w:sz w:val="21"/>
          <w:szCs w:val="21"/>
        </w:rPr>
        <w:t>绿色建筑给水排水系统的检测项目</w:t>
      </w:r>
      <w:r>
        <w:rPr>
          <w:rFonts w:hint="eastAsia"/>
          <w:color w:val="000000"/>
          <w:sz w:val="21"/>
          <w:szCs w:val="21"/>
        </w:rPr>
        <w:t>宜包括直饮水水质、生活热水水质、生活饮用水水质、游泳池水质、采暖空调循环水水质、景观水水质、非传统水源水质、污废水水质</w:t>
      </w:r>
      <w:r>
        <w:rPr>
          <w:color w:val="000000"/>
          <w:sz w:val="21"/>
          <w:szCs w:val="21"/>
        </w:rPr>
        <w:t>。</w:t>
      </w:r>
    </w:p>
    <w:p>
      <w:pPr>
        <w:pStyle w:val="236"/>
        <w:spacing w:line="240" w:lineRule="auto"/>
        <w:ind w:firstLine="0"/>
        <w:rPr>
          <w:color w:val="000000"/>
          <w:sz w:val="21"/>
          <w:szCs w:val="21"/>
        </w:rPr>
      </w:pPr>
      <w:r>
        <w:rPr>
          <w:rFonts w:hint="eastAsia"/>
          <w:color w:val="000000"/>
          <w:sz w:val="21"/>
          <w:szCs w:val="21"/>
        </w:rPr>
        <w:t>9</w:t>
      </w:r>
      <w:r>
        <w:rPr>
          <w:color w:val="000000"/>
          <w:sz w:val="21"/>
          <w:szCs w:val="21"/>
        </w:rPr>
        <w:t>.1.</w:t>
      </w:r>
      <w:r>
        <w:rPr>
          <w:rFonts w:eastAsia="PMingLiU"/>
          <w:color w:val="000000"/>
          <w:sz w:val="21"/>
          <w:szCs w:val="21"/>
        </w:rPr>
        <w:t>2</w:t>
      </w:r>
      <w:r>
        <w:rPr>
          <w:color w:val="000000"/>
          <w:sz w:val="21"/>
          <w:szCs w:val="21"/>
        </w:rPr>
        <w:t xml:space="preserve"> </w:t>
      </w:r>
      <w:r>
        <w:rPr>
          <w:rFonts w:hint="eastAsia"/>
          <w:color w:val="000000"/>
          <w:sz w:val="21"/>
          <w:szCs w:val="21"/>
        </w:rPr>
        <w:t>给水排水系统检测均应在系统、管道正常使用状态进行。</w:t>
      </w:r>
    </w:p>
    <w:p>
      <w:pPr>
        <w:pStyle w:val="69"/>
        <w:spacing w:before="120" w:after="120"/>
        <w:rPr>
          <w:lang w:bidi="en-US"/>
        </w:rPr>
      </w:pPr>
      <w:bookmarkStart w:id="168" w:name="bookmark133"/>
      <w:bookmarkStart w:id="169" w:name="bookmark134"/>
      <w:bookmarkStart w:id="170" w:name="bookmark132"/>
      <w:r>
        <w:rPr>
          <w:rFonts w:hint="eastAsia"/>
          <w:lang w:bidi="en-US"/>
        </w:rPr>
        <w:t>9</w:t>
      </w:r>
      <w:r>
        <w:rPr>
          <w:lang w:bidi="en-US"/>
        </w:rPr>
        <w:t xml:space="preserve">.2 </w:t>
      </w:r>
      <w:r>
        <w:rPr>
          <w:rFonts w:hint="eastAsia"/>
          <w:lang w:bidi="en-US"/>
        </w:rPr>
        <w:t>直饮水水质检测</w:t>
      </w:r>
      <w:bookmarkEnd w:id="168"/>
      <w:bookmarkEnd w:id="169"/>
      <w:bookmarkEnd w:id="170"/>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.2.1</w:t>
      </w:r>
      <w:r>
        <w:rPr>
          <w:color w:val="000000"/>
          <w:sz w:val="21"/>
          <w:szCs w:val="21"/>
        </w:rPr>
        <w:t>直饮水水质检测数量应符合下列规定：</w:t>
      </w:r>
    </w:p>
    <w:p>
      <w:pPr>
        <w:pStyle w:val="178"/>
        <w:numPr>
          <w:ilvl w:val="0"/>
          <w:numId w:val="74"/>
        </w:numPr>
        <w:rPr>
          <w:rFonts w:eastAsia="PMingLiU"/>
        </w:rPr>
      </w:pPr>
      <w:r>
        <w:t xml:space="preserve"> 集中供水系统的管道直饮水系统应在直饮水供水系统循环最不利用水点处取1组水</w:t>
      </w:r>
    </w:p>
    <w:p>
      <w:pPr>
        <w:pStyle w:val="178"/>
        <w:numPr>
          <w:ilvl w:val="0"/>
          <w:numId w:val="0"/>
        </w:numPr>
        <w:ind w:left="425" w:hanging="425"/>
        <w:rPr>
          <w:rFonts w:eastAsia="PMingLiU"/>
        </w:rPr>
      </w:pPr>
      <w:r>
        <w:t>样进行检测</w:t>
      </w:r>
      <w:r>
        <w:rPr>
          <w:rFonts w:hint="eastAsia"/>
        </w:rPr>
        <w:t>；</w:t>
      </w:r>
    </w:p>
    <w:p>
      <w:pPr>
        <w:pStyle w:val="178"/>
        <w:numPr>
          <w:ilvl w:val="0"/>
          <w:numId w:val="74"/>
        </w:numPr>
        <w:rPr>
          <w:rFonts w:eastAsia="PMingLiU"/>
          <w:color w:val="000000"/>
          <w:szCs w:val="21"/>
        </w:rPr>
      </w:pPr>
      <w:r>
        <w:rPr>
          <w:color w:val="000000"/>
          <w:szCs w:val="21"/>
        </w:rPr>
        <w:t xml:space="preserve"> 对于分散供水</w:t>
      </w:r>
      <w:r>
        <w:rPr>
          <w:rFonts w:hint="eastAsia"/>
          <w:color w:val="000000"/>
          <w:szCs w:val="21"/>
        </w:rPr>
        <w:t>，</w:t>
      </w:r>
      <w:r>
        <w:rPr>
          <w:color w:val="000000"/>
          <w:szCs w:val="21"/>
        </w:rPr>
        <w:t>应在用水人数最多的终端直饮水处理设备用水点取1组水样进行检</w:t>
      </w:r>
    </w:p>
    <w:p>
      <w:pPr>
        <w:pStyle w:val="178"/>
        <w:numPr>
          <w:ilvl w:val="0"/>
          <w:numId w:val="0"/>
        </w:numPr>
        <w:ind w:left="425" w:hanging="425"/>
        <w:rPr>
          <w:rFonts w:eastAsia="PMingLiU"/>
          <w:color w:val="000000"/>
          <w:szCs w:val="21"/>
        </w:rPr>
      </w:pPr>
      <w:r>
        <w:rPr>
          <w:color w:val="000000"/>
          <w:szCs w:val="21"/>
        </w:rPr>
        <w:t>测。</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.2.2</w:t>
      </w:r>
      <w:r>
        <w:rPr>
          <w:color w:val="000000"/>
          <w:sz w:val="21"/>
          <w:szCs w:val="21"/>
        </w:rPr>
        <w:t>直饮水的水质应符合现行国家标准《生活饮用水卫生标准》</w:t>
      </w:r>
      <w:r>
        <w:rPr>
          <w:color w:val="000000"/>
          <w:sz w:val="21"/>
          <w:szCs w:val="21"/>
          <w:lang w:val="en-US" w:eastAsia="zh-CN" w:bidi="en-US"/>
        </w:rPr>
        <w:t xml:space="preserve">GB </w:t>
      </w:r>
      <w:r>
        <w:rPr>
          <w:color w:val="000000"/>
          <w:sz w:val="21"/>
          <w:szCs w:val="21"/>
        </w:rPr>
        <w:t>5749的有关规定，水质的检测方法应执行国家对生活饮用水检验的有关规定。集中供水的管道直饮水系统，水质取样点应设在直饮水供水系统循环最不利用水点处：分散供水的终端直饮水，水质取样点应设在用水人数最多的用水点处。</w:t>
      </w:r>
    </w:p>
    <w:p>
      <w:pPr>
        <w:pStyle w:val="69"/>
        <w:spacing w:before="120" w:after="120"/>
        <w:rPr>
          <w:lang w:bidi="en-US"/>
        </w:rPr>
      </w:pPr>
      <w:r>
        <w:rPr>
          <w:rFonts w:hint="eastAsia"/>
          <w:lang w:bidi="en-US"/>
        </w:rPr>
        <w:t>9</w:t>
      </w:r>
      <w:r>
        <w:rPr>
          <w:lang w:bidi="en-US"/>
        </w:rPr>
        <w:t xml:space="preserve">.3 </w:t>
      </w:r>
      <w:r>
        <w:rPr>
          <w:rFonts w:hint="eastAsia"/>
          <w:lang w:bidi="en-US"/>
        </w:rPr>
        <w:t>生活热水水质检测</w:t>
      </w:r>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.3.1</w:t>
      </w:r>
      <w:r>
        <w:rPr>
          <w:color w:val="000000"/>
          <w:sz w:val="21"/>
          <w:szCs w:val="21"/>
        </w:rPr>
        <w:t>集中生活热水的水质检测时，应在集中生活热水供水系统循环最不利用水点处取1组水样。</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.3.2</w:t>
      </w:r>
      <w:r>
        <w:rPr>
          <w:color w:val="000000"/>
          <w:sz w:val="21"/>
          <w:szCs w:val="21"/>
        </w:rPr>
        <w:t>集中生活热水的水质检测应符合现行行业标准《生活热水水质标准》</w:t>
      </w:r>
      <w:r>
        <w:rPr>
          <w:color w:val="000000"/>
          <w:sz w:val="21"/>
          <w:szCs w:val="21"/>
          <w:lang w:val="en-US" w:eastAsia="zh-CN" w:bidi="en-US"/>
        </w:rPr>
        <w:t xml:space="preserve">CJ/T </w:t>
      </w:r>
      <w:r>
        <w:rPr>
          <w:color w:val="000000"/>
          <w:sz w:val="21"/>
          <w:szCs w:val="21"/>
        </w:rPr>
        <w:t>521的有关规定。</w:t>
      </w:r>
    </w:p>
    <w:p>
      <w:pPr>
        <w:pStyle w:val="69"/>
        <w:spacing w:before="120" w:after="120"/>
        <w:rPr>
          <w:lang w:bidi="en-US"/>
        </w:rPr>
      </w:pPr>
      <w:r>
        <w:rPr>
          <w:rFonts w:hint="eastAsia"/>
          <w:lang w:bidi="en-US"/>
        </w:rPr>
        <w:t>9</w:t>
      </w:r>
      <w:r>
        <w:rPr>
          <w:lang w:bidi="en-US"/>
        </w:rPr>
        <w:t xml:space="preserve">.4 </w:t>
      </w:r>
      <w:bookmarkStart w:id="171" w:name="_Hlk129788293"/>
      <w:r>
        <w:rPr>
          <w:rFonts w:hint="eastAsia"/>
          <w:lang w:bidi="en-US"/>
        </w:rPr>
        <w:t>生活饮用水水质检测</w:t>
      </w:r>
      <w:bookmarkEnd w:id="171"/>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.4.1</w:t>
      </w:r>
      <w:r>
        <w:rPr>
          <w:color w:val="000000"/>
          <w:sz w:val="21"/>
          <w:szCs w:val="21"/>
        </w:rPr>
        <w:t>生活饮用水的水质检测时，应在每个生活饮用水水池、水箱等储水设施各取1组水样。</w:t>
      </w:r>
    </w:p>
    <w:p>
      <w:pPr>
        <w:pStyle w:val="236"/>
        <w:spacing w:line="240" w:lineRule="auto"/>
        <w:ind w:firstLine="0"/>
        <w:rPr>
          <w:dstrike/>
          <w:sz w:val="21"/>
          <w:szCs w:val="21"/>
        </w:rPr>
      </w:pPr>
      <w:r>
        <w:rPr>
          <w:rFonts w:hint="eastAsia"/>
          <w:color w:val="000000"/>
          <w:sz w:val="21"/>
          <w:szCs w:val="21"/>
          <w:lang w:val="en-US" w:eastAsia="zh-CN" w:bidi="en-US"/>
        </w:rPr>
        <w:t>9</w:t>
      </w:r>
      <w:r>
        <w:rPr>
          <w:color w:val="000000"/>
          <w:sz w:val="21"/>
          <w:szCs w:val="21"/>
          <w:lang w:val="en-US" w:eastAsia="zh-CN" w:bidi="en-US"/>
        </w:rPr>
        <w:t>.4.2</w:t>
      </w:r>
      <w:r>
        <w:rPr>
          <w:color w:val="000000"/>
          <w:sz w:val="21"/>
          <w:szCs w:val="21"/>
        </w:rPr>
        <w:t xml:space="preserve">生活饮用水的水质检测应符合国家现行标准《二次供水设施卫生规范》 </w:t>
      </w:r>
      <w:r>
        <w:rPr>
          <w:color w:val="000000"/>
          <w:sz w:val="21"/>
          <w:szCs w:val="21"/>
          <w:lang w:val="en-US" w:eastAsia="zh-CN" w:bidi="en-US"/>
        </w:rPr>
        <w:t xml:space="preserve">GB </w:t>
      </w:r>
      <w:r>
        <w:rPr>
          <w:color w:val="000000"/>
          <w:sz w:val="21"/>
          <w:szCs w:val="21"/>
        </w:rPr>
        <w:t>17051和《二次供水工程技术规程》</w:t>
      </w:r>
      <w:r>
        <w:rPr>
          <w:color w:val="000000"/>
          <w:sz w:val="21"/>
          <w:szCs w:val="21"/>
          <w:lang w:val="en-US" w:eastAsia="zh-CN" w:bidi="en-US"/>
        </w:rPr>
        <w:t xml:space="preserve">CJJ </w:t>
      </w:r>
      <w:r>
        <w:rPr>
          <w:color w:val="000000"/>
          <w:sz w:val="21"/>
          <w:szCs w:val="21"/>
        </w:rPr>
        <w:t>140有关规定。</w:t>
      </w:r>
    </w:p>
    <w:p>
      <w:pPr>
        <w:pStyle w:val="69"/>
        <w:spacing w:before="120" w:after="120"/>
        <w:rPr>
          <w:lang w:bidi="en-US"/>
        </w:rPr>
      </w:pPr>
      <w:r>
        <w:rPr>
          <w:rFonts w:hint="eastAsia"/>
          <w:lang w:bidi="en-US"/>
        </w:rPr>
        <w:t>9</w:t>
      </w:r>
      <w:r>
        <w:rPr>
          <w:lang w:bidi="en-US"/>
        </w:rPr>
        <w:t xml:space="preserve">.5 </w:t>
      </w:r>
      <w:r>
        <w:rPr>
          <w:rFonts w:hint="eastAsia"/>
          <w:lang w:bidi="en-US"/>
        </w:rPr>
        <w:t>游泳池水质检测</w:t>
      </w:r>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.5.1</w:t>
      </w:r>
      <w:r>
        <w:rPr>
          <w:color w:val="000000"/>
          <w:sz w:val="21"/>
          <w:szCs w:val="21"/>
        </w:rPr>
        <w:t>游泳池水质检测时，应在游泳池内水循环较不利的区域取1组水样。</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.5.2</w:t>
      </w:r>
      <w:r>
        <w:rPr>
          <w:color w:val="000000"/>
          <w:sz w:val="21"/>
          <w:szCs w:val="21"/>
        </w:rPr>
        <w:t>游泳池水质检测应符合现行行业标准《游泳池水质标准》</w:t>
      </w:r>
      <w:r>
        <w:rPr>
          <w:color w:val="000000"/>
          <w:sz w:val="21"/>
          <w:szCs w:val="21"/>
          <w:lang w:val="en-US" w:eastAsia="zh-CN" w:bidi="en-US"/>
        </w:rPr>
        <w:t>CJ/T244</w:t>
      </w:r>
      <w:r>
        <w:rPr>
          <w:color w:val="000000"/>
          <w:sz w:val="21"/>
          <w:szCs w:val="21"/>
        </w:rPr>
        <w:t>有关规定。</w:t>
      </w:r>
    </w:p>
    <w:p>
      <w:pPr>
        <w:pStyle w:val="69"/>
        <w:spacing w:before="120" w:after="120"/>
        <w:rPr>
          <w:lang w:bidi="en-US"/>
        </w:rPr>
      </w:pPr>
      <w:r>
        <w:rPr>
          <w:rFonts w:hint="eastAsia"/>
          <w:lang w:bidi="en-US"/>
        </w:rPr>
        <w:t>9</w:t>
      </w:r>
      <w:r>
        <w:rPr>
          <w:lang w:bidi="en-US"/>
        </w:rPr>
        <w:t xml:space="preserve">.6 </w:t>
      </w:r>
      <w:r>
        <w:rPr>
          <w:rFonts w:hint="eastAsia"/>
          <w:lang w:bidi="en-US"/>
        </w:rPr>
        <w:t>采暖空调循环水水质检测</w:t>
      </w:r>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.6.1</w:t>
      </w:r>
      <w:r>
        <w:rPr>
          <w:color w:val="000000"/>
          <w:sz w:val="21"/>
          <w:szCs w:val="21"/>
        </w:rPr>
        <w:t>采暖空调循环水系统水质检测时，应在空调循环水系统循环最不利的末端处取1组水样。</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.6.2</w:t>
      </w:r>
      <w:r>
        <w:rPr>
          <w:color w:val="000000"/>
          <w:sz w:val="21"/>
          <w:szCs w:val="21"/>
        </w:rPr>
        <w:t xml:space="preserve">采暖空调循环水系统水质检测应符合现行国家标准《采暖空调系统水质》 </w:t>
      </w:r>
      <w:r>
        <w:rPr>
          <w:color w:val="000000"/>
          <w:sz w:val="21"/>
          <w:szCs w:val="21"/>
          <w:lang w:val="en-US" w:eastAsia="zh-CN" w:bidi="en-US"/>
        </w:rPr>
        <w:t xml:space="preserve">GB/T </w:t>
      </w:r>
      <w:r>
        <w:rPr>
          <w:color w:val="000000"/>
          <w:sz w:val="21"/>
          <w:szCs w:val="21"/>
        </w:rPr>
        <w:t>29044有关规定。</w:t>
      </w:r>
    </w:p>
    <w:p>
      <w:pPr>
        <w:pStyle w:val="69"/>
        <w:spacing w:before="120" w:after="120"/>
        <w:rPr>
          <w:lang w:bidi="en-US"/>
        </w:rPr>
      </w:pPr>
      <w:r>
        <w:rPr>
          <w:rFonts w:hint="eastAsia"/>
          <w:lang w:bidi="en-US"/>
        </w:rPr>
        <w:t>9</w:t>
      </w:r>
      <w:r>
        <w:rPr>
          <w:lang w:bidi="en-US"/>
        </w:rPr>
        <w:t xml:space="preserve">.7 </w:t>
      </w:r>
      <w:r>
        <w:rPr>
          <w:rFonts w:hint="eastAsia"/>
          <w:lang w:bidi="en-US"/>
        </w:rPr>
        <w:t>景观水水质检测</w:t>
      </w:r>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.7.1</w:t>
      </w:r>
      <w:r>
        <w:rPr>
          <w:color w:val="000000"/>
          <w:sz w:val="21"/>
          <w:szCs w:val="21"/>
        </w:rPr>
        <w:t>景观水体水质检测时，应选择在景观水体易受污染且水质较差的区域取1组水样。</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.7.2</w:t>
      </w:r>
      <w:r>
        <w:rPr>
          <w:color w:val="000000"/>
          <w:sz w:val="21"/>
          <w:szCs w:val="21"/>
        </w:rPr>
        <w:t>景观水体水质检测应符合现行国家标准《城市污水再生利用</w:t>
      </w:r>
      <w:r>
        <w:rPr>
          <w:rFonts w:hint="eastAsia"/>
          <w:color w:val="000000"/>
          <w:sz w:val="21"/>
          <w:szCs w:val="21"/>
          <w:lang w:eastAsia="zh-CN"/>
        </w:rPr>
        <w:t xml:space="preserve"> </w:t>
      </w:r>
      <w:r>
        <w:rPr>
          <w:color w:val="000000"/>
          <w:sz w:val="21"/>
          <w:szCs w:val="21"/>
        </w:rPr>
        <w:t>景观环境用水水质》</w:t>
      </w:r>
      <w:r>
        <w:rPr>
          <w:color w:val="000000"/>
          <w:sz w:val="21"/>
          <w:szCs w:val="21"/>
          <w:lang w:val="en-US" w:eastAsia="zh-CN" w:bidi="en-US"/>
        </w:rPr>
        <w:t>GB</w:t>
      </w:r>
      <w:r>
        <w:rPr>
          <w:rFonts w:hint="eastAsia"/>
          <w:color w:val="000000"/>
          <w:sz w:val="21"/>
          <w:szCs w:val="21"/>
          <w:lang w:eastAsia="zh-CN"/>
        </w:rPr>
        <w:t>/</w:t>
      </w:r>
      <w:r>
        <w:rPr>
          <w:rFonts w:eastAsia="PMingLiU"/>
          <w:color w:val="000000"/>
          <w:sz w:val="21"/>
          <w:szCs w:val="21"/>
        </w:rPr>
        <w:t xml:space="preserve">T </w:t>
      </w:r>
      <w:r>
        <w:rPr>
          <w:color w:val="000000"/>
          <w:sz w:val="21"/>
          <w:szCs w:val="21"/>
        </w:rPr>
        <w:t>18921有关规定。</w:t>
      </w:r>
    </w:p>
    <w:p>
      <w:pPr>
        <w:pStyle w:val="236"/>
        <w:spacing w:line="240" w:lineRule="auto"/>
        <w:ind w:firstLine="0"/>
        <w:rPr>
          <w:sz w:val="21"/>
          <w:szCs w:val="21"/>
        </w:rPr>
      </w:pPr>
    </w:p>
    <w:p>
      <w:pPr>
        <w:pStyle w:val="69"/>
        <w:spacing w:before="120" w:after="120"/>
        <w:rPr>
          <w:lang w:bidi="en-US"/>
        </w:rPr>
      </w:pPr>
      <w:r>
        <w:rPr>
          <w:rFonts w:hint="eastAsia"/>
          <w:lang w:bidi="en-US"/>
        </w:rPr>
        <w:t>9</w:t>
      </w:r>
      <w:r>
        <w:rPr>
          <w:lang w:bidi="en-US"/>
        </w:rPr>
        <w:t xml:space="preserve">.8 </w:t>
      </w:r>
      <w:r>
        <w:rPr>
          <w:rFonts w:hint="eastAsia"/>
          <w:lang w:bidi="en-US"/>
        </w:rPr>
        <w:t>非传统水源水质检测</w:t>
      </w:r>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.8.1</w:t>
      </w:r>
      <w:r>
        <w:rPr>
          <w:color w:val="000000"/>
          <w:sz w:val="21"/>
          <w:szCs w:val="21"/>
        </w:rPr>
        <w:t>景观用非传统水源水质检测时，应在每个自建中（雨）水站总出水口处 取1组水样。</w:t>
      </w:r>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.8.2</w:t>
      </w:r>
      <w:r>
        <w:rPr>
          <w:color w:val="000000"/>
          <w:sz w:val="21"/>
          <w:szCs w:val="21"/>
        </w:rPr>
        <w:t>当采用非传统水源作为景观环境用水时，非传统水源供水水质检测应符合现行国家标准《城市污水再生利用 景观环境用水水质》</w:t>
      </w:r>
      <w:r>
        <w:rPr>
          <w:color w:val="000000"/>
          <w:sz w:val="21"/>
          <w:szCs w:val="21"/>
          <w:lang w:val="en-US" w:eastAsia="zh-CN" w:bidi="en-US"/>
        </w:rPr>
        <w:t xml:space="preserve">GB/T </w:t>
      </w:r>
      <w:r>
        <w:rPr>
          <w:color w:val="000000"/>
          <w:sz w:val="21"/>
          <w:szCs w:val="21"/>
        </w:rPr>
        <w:t>18921有关规定。</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.8.3</w:t>
      </w:r>
      <w:r>
        <w:rPr>
          <w:color w:val="000000"/>
          <w:sz w:val="21"/>
          <w:szCs w:val="21"/>
        </w:rPr>
        <w:t>城市杂用非传统水源水质检测时，应在每个自建中（雨）水站总出水口处取1组水样。</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.8.4</w:t>
      </w:r>
      <w:r>
        <w:rPr>
          <w:color w:val="000000"/>
          <w:sz w:val="21"/>
          <w:szCs w:val="21"/>
        </w:rPr>
        <w:t>当采用非传统水源进行冲厕、道路淸扫及消防、城市绿化、车辆淸洗</w:t>
      </w:r>
      <w:r>
        <w:rPr>
          <w:rFonts w:hint="eastAsia"/>
          <w:color w:val="000000"/>
          <w:sz w:val="21"/>
          <w:szCs w:val="21"/>
        </w:rPr>
        <w:t>、</w:t>
      </w:r>
      <w:r>
        <w:rPr>
          <w:color w:val="000000"/>
          <w:sz w:val="21"/>
          <w:szCs w:val="21"/>
        </w:rPr>
        <w:t>非传统水源供水水质检测应符合现行国家标准《城市污水 再生利用城市杂用水水质</w:t>
      </w:r>
      <w:r>
        <w:rPr>
          <w:color w:val="000000"/>
          <w:sz w:val="21"/>
          <w:szCs w:val="21"/>
          <w:lang w:val="en-US" w:eastAsia="zh-CN" w:bidi="en-US"/>
        </w:rPr>
        <w:t xml:space="preserve">》GB/T </w:t>
      </w:r>
      <w:r>
        <w:rPr>
          <w:color w:val="000000"/>
          <w:sz w:val="21"/>
          <w:szCs w:val="21"/>
        </w:rPr>
        <w:t>18920有关规定。</w:t>
      </w:r>
    </w:p>
    <w:p>
      <w:pPr>
        <w:pStyle w:val="236"/>
        <w:spacing w:line="240" w:lineRule="auto"/>
        <w:ind w:firstLine="0"/>
        <w:rPr>
          <w:rFonts w:eastAsia="PMingLiU"/>
          <w:color w:val="000000"/>
          <w:sz w:val="21"/>
          <w:szCs w:val="21"/>
        </w:rPr>
      </w:pPr>
      <w:r>
        <w:rPr>
          <w:rFonts w:hint="eastAsia"/>
          <w:color w:val="000000"/>
          <w:sz w:val="21"/>
          <w:szCs w:val="21"/>
          <w:lang w:val="en-US" w:eastAsia="zh-CN" w:bidi="en-US"/>
        </w:rPr>
        <w:t>9</w:t>
      </w:r>
      <w:r>
        <w:rPr>
          <w:color w:val="000000"/>
          <w:sz w:val="21"/>
          <w:szCs w:val="21"/>
          <w:lang w:val="en-US" w:eastAsia="zh-CN" w:bidi="en-US"/>
        </w:rPr>
        <w:t>.8.5</w:t>
      </w:r>
      <w:r>
        <w:rPr>
          <w:color w:val="000000"/>
          <w:sz w:val="21"/>
          <w:szCs w:val="21"/>
        </w:rPr>
        <w:t>冷却塔补水用非传统水源水质检测时，应在每个采用非传统水源补水的冷却补水总出水口处取1组水样。</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.8.6</w:t>
      </w:r>
      <w:r>
        <w:rPr>
          <w:color w:val="000000"/>
          <w:sz w:val="21"/>
          <w:szCs w:val="21"/>
        </w:rPr>
        <w:t>当采用非传统水源进行冷却塔补水时，非传统水源供水水质及检测应符合现行国家标准《采暖空调系统水质》</w:t>
      </w:r>
      <w:r>
        <w:rPr>
          <w:color w:val="000000"/>
          <w:sz w:val="21"/>
          <w:szCs w:val="21"/>
          <w:lang w:val="en-US" w:eastAsia="zh-CN" w:bidi="en-US"/>
        </w:rPr>
        <w:t xml:space="preserve">GB/T </w:t>
      </w:r>
      <w:r>
        <w:rPr>
          <w:color w:val="000000"/>
          <w:sz w:val="21"/>
          <w:szCs w:val="21"/>
        </w:rPr>
        <w:t>29044有关规定。</w:t>
      </w:r>
    </w:p>
    <w:p>
      <w:pPr>
        <w:pStyle w:val="69"/>
        <w:spacing w:before="120" w:after="120"/>
        <w:rPr>
          <w:lang w:bidi="en-US"/>
        </w:rPr>
      </w:pPr>
      <w:r>
        <w:rPr>
          <w:rFonts w:hint="eastAsia"/>
          <w:lang w:bidi="en-US"/>
        </w:rPr>
        <w:t>9</w:t>
      </w:r>
      <w:r>
        <w:rPr>
          <w:lang w:bidi="en-US"/>
        </w:rPr>
        <w:t xml:space="preserve">.9 </w:t>
      </w:r>
      <w:r>
        <w:rPr>
          <w:rFonts w:hint="eastAsia"/>
          <w:lang w:bidi="en-US"/>
        </w:rPr>
        <w:t>生活污水废水水质检测</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.9.1</w:t>
      </w:r>
      <w:r>
        <w:rPr>
          <w:color w:val="000000"/>
          <w:sz w:val="21"/>
          <w:szCs w:val="21"/>
        </w:rPr>
        <w:t>生活污水排放水质检测时，应在每个排入市政管道前最近的污水检查井，或受纳水体前的污水排放口处取1组水样。</w:t>
      </w:r>
    </w:p>
    <w:p>
      <w:pPr>
        <w:pStyle w:val="236"/>
        <w:spacing w:line="240" w:lineRule="auto"/>
        <w:ind w:firstLine="0"/>
        <w:rPr>
          <w:sz w:val="21"/>
          <w:szCs w:val="21"/>
        </w:rPr>
      </w:pPr>
      <w:r>
        <w:rPr>
          <w:rFonts w:hint="eastAsia"/>
          <w:color w:val="000000"/>
          <w:sz w:val="21"/>
          <w:szCs w:val="21"/>
          <w:lang w:val="en-US" w:eastAsia="zh-CN" w:bidi="en-US"/>
        </w:rPr>
        <w:t>9</w:t>
      </w:r>
      <w:r>
        <w:rPr>
          <w:color w:val="000000"/>
          <w:sz w:val="21"/>
          <w:szCs w:val="21"/>
          <w:lang w:val="en-US" w:eastAsia="zh-CN" w:bidi="en-US"/>
        </w:rPr>
        <w:t>.9.2</w:t>
      </w:r>
      <w:r>
        <w:rPr>
          <w:color w:val="000000"/>
          <w:sz w:val="21"/>
          <w:szCs w:val="21"/>
        </w:rPr>
        <w:t>生活污水排放水质检测应符合现行国家标准《污水综合排放标准》</w:t>
      </w:r>
      <w:r>
        <w:rPr>
          <w:color w:val="000000"/>
          <w:sz w:val="21"/>
          <w:szCs w:val="21"/>
          <w:lang w:val="en-US" w:eastAsia="zh-CN" w:bidi="en-US"/>
        </w:rPr>
        <w:t xml:space="preserve">GB </w:t>
      </w:r>
      <w:r>
        <w:rPr>
          <w:color w:val="000000"/>
          <w:sz w:val="21"/>
          <w:szCs w:val="21"/>
        </w:rPr>
        <w:t>8978有关规定。工业废水、医疗废水排放水质检测应按所属行业标准的要求进行。含有放射性物质的水质检测，还应符合现行国家标准《电离辐射防护与辐射源安全基本标准》</w:t>
      </w:r>
      <w:r>
        <w:rPr>
          <w:color w:val="000000"/>
          <w:sz w:val="21"/>
          <w:szCs w:val="21"/>
          <w:lang w:val="en-US" w:eastAsia="zh-CN" w:bidi="en-US"/>
        </w:rPr>
        <w:t xml:space="preserve">GB </w:t>
      </w:r>
      <w:r>
        <w:rPr>
          <w:color w:val="000000"/>
          <w:sz w:val="21"/>
          <w:szCs w:val="21"/>
        </w:rPr>
        <w:t>18871的有关规定。</w:t>
      </w:r>
    </w:p>
    <w:p>
      <w:pPr>
        <w:pStyle w:val="236"/>
        <w:spacing w:line="240" w:lineRule="auto"/>
        <w:ind w:firstLine="0"/>
        <w:rPr>
          <w:color w:val="000000"/>
          <w:sz w:val="21"/>
          <w:szCs w:val="21"/>
        </w:rPr>
      </w:pPr>
      <w:r>
        <w:rPr>
          <w:rFonts w:hint="eastAsia"/>
          <w:color w:val="000000"/>
          <w:sz w:val="21"/>
          <w:szCs w:val="21"/>
          <w:lang w:val="en-US" w:eastAsia="zh-CN" w:bidi="en-US"/>
        </w:rPr>
        <w:t>9</w:t>
      </w:r>
      <w:r>
        <w:rPr>
          <w:color w:val="000000"/>
          <w:sz w:val="21"/>
          <w:szCs w:val="21"/>
          <w:lang w:val="en-US" w:eastAsia="zh-CN" w:bidi="en-US"/>
        </w:rPr>
        <w:t>.9.3</w:t>
      </w:r>
      <w:r>
        <w:rPr>
          <w:color w:val="000000"/>
          <w:sz w:val="21"/>
          <w:szCs w:val="21"/>
        </w:rPr>
        <w:t>水质检测采样工作应符合现行行业标准《水质 釆样技术指导》</w:t>
      </w:r>
      <w:r>
        <w:rPr>
          <w:color w:val="000000"/>
          <w:sz w:val="21"/>
          <w:szCs w:val="21"/>
          <w:lang w:val="en-US" w:eastAsia="zh-CN" w:bidi="en-US"/>
        </w:rPr>
        <w:t xml:space="preserve">HJ </w:t>
      </w:r>
      <w:r>
        <w:rPr>
          <w:color w:val="000000"/>
          <w:sz w:val="21"/>
          <w:szCs w:val="21"/>
        </w:rPr>
        <w:t>494 和《水质 采样方案设计技术规定》</w:t>
      </w:r>
      <w:r>
        <w:rPr>
          <w:color w:val="000000"/>
          <w:sz w:val="21"/>
          <w:szCs w:val="21"/>
          <w:lang w:val="en-US" w:eastAsia="zh-CN" w:bidi="en-US"/>
        </w:rPr>
        <w:t xml:space="preserve">HJ </w:t>
      </w:r>
      <w:r>
        <w:rPr>
          <w:color w:val="000000"/>
          <w:sz w:val="21"/>
          <w:szCs w:val="21"/>
        </w:rPr>
        <w:t>495的有关规定。</w:t>
      </w:r>
    </w:p>
    <w:p>
      <w:pPr>
        <w:widowControl/>
        <w:adjustRightInd/>
        <w:spacing w:line="240" w:lineRule="auto"/>
        <w:jc w:val="left"/>
        <w:rPr>
          <w:rFonts w:ascii="宋体" w:hAnsi="宋体" w:cs="宋体"/>
          <w:color w:val="000000"/>
          <w:lang w:val="zh-TW" w:eastAsia="zh-TW" w:bidi="zh-TW"/>
        </w:rPr>
      </w:pPr>
      <w:r>
        <w:rPr>
          <w:color w:val="000000"/>
        </w:rPr>
        <w:br w:type="page"/>
      </w:r>
    </w:p>
    <w:p>
      <w:pPr>
        <w:pStyle w:val="108"/>
        <w:spacing w:before="240" w:after="240"/>
        <w:ind w:left="0"/>
        <w:rPr>
          <w:lang w:bidi="en-US"/>
        </w:rPr>
      </w:pPr>
      <w:bookmarkStart w:id="172" w:name="_Toc129698159"/>
      <w:bookmarkStart w:id="173" w:name="_Toc129855992"/>
      <w:bookmarkStart w:id="174" w:name="_Toc129855766"/>
      <w:bookmarkStart w:id="175" w:name="_Toc129782131"/>
      <w:bookmarkStart w:id="176" w:name="bookmark138"/>
      <w:bookmarkStart w:id="177" w:name="bookmark193"/>
      <w:bookmarkStart w:id="178" w:name="bookmark192"/>
      <w:bookmarkStart w:id="179" w:name="bookmark194"/>
      <w:r>
        <w:rPr>
          <w:rFonts w:hint="eastAsia"/>
          <w:lang w:bidi="en-US"/>
        </w:rPr>
        <w:t>供配电系统检测</w:t>
      </w:r>
      <w:bookmarkEnd w:id="172"/>
      <w:bookmarkEnd w:id="173"/>
      <w:bookmarkEnd w:id="174"/>
      <w:bookmarkEnd w:id="175"/>
    </w:p>
    <w:p>
      <w:pPr>
        <w:pStyle w:val="69"/>
        <w:spacing w:before="120" w:after="120"/>
        <w:rPr>
          <w:lang w:bidi="en-US"/>
        </w:rPr>
      </w:pPr>
      <w:r>
        <w:rPr>
          <w:rFonts w:hint="eastAsia"/>
          <w:lang w:bidi="en-US"/>
        </w:rPr>
        <w:t xml:space="preserve">10.1 一 般 规 定 </w:t>
      </w:r>
    </w:p>
    <w:p>
      <w:pPr>
        <w:spacing w:line="240" w:lineRule="auto"/>
        <w:ind w:left="867" w:leftChars="13" w:hanging="840" w:hangingChars="400"/>
        <w:rPr>
          <w:rFonts w:ascii="宋体" w:hAnsi="宋体"/>
        </w:rPr>
      </w:pPr>
      <w:r>
        <w:rPr>
          <w:rFonts w:hint="eastAsia" w:ascii="宋体" w:hAnsi="宋体"/>
          <w:lang w:bidi="ar"/>
        </w:rPr>
        <w:t xml:space="preserve">10.1.1 </w:t>
      </w:r>
      <w:r>
        <w:rPr>
          <w:rFonts w:hint="eastAsia" w:ascii="宋体" w:hAnsi="宋体"/>
        </w:rPr>
        <w:t>供配电系统电能质量检测项目宜包括三相电压不平衡、谐波电压及谐波电流、功率因</w:t>
      </w:r>
    </w:p>
    <w:p>
      <w:pPr>
        <w:spacing w:line="240" w:lineRule="auto"/>
        <w:ind w:firstLine="840" w:firstLineChars="400"/>
        <w:rPr>
          <w:rFonts w:ascii="宋体" w:hAnsi="宋体"/>
        </w:rPr>
      </w:pPr>
      <w:r>
        <w:rPr>
          <w:rFonts w:hint="eastAsia" w:ascii="宋体" w:hAnsi="宋体"/>
        </w:rPr>
        <w:t>数、电压偏差。</w:t>
      </w:r>
    </w:p>
    <w:p>
      <w:pPr>
        <w:spacing w:line="240" w:lineRule="auto"/>
        <w:rPr>
          <w:rFonts w:ascii="Times New Roman" w:hAnsi="Times New Roman"/>
        </w:rPr>
      </w:pPr>
      <w:r>
        <w:rPr>
          <w:rFonts w:hint="eastAsia" w:ascii="宋体" w:hAnsi="宋体"/>
        </w:rPr>
        <w:t>1</w:t>
      </w:r>
      <w:r>
        <w:rPr>
          <w:rFonts w:ascii="宋体" w:hAnsi="宋体"/>
        </w:rPr>
        <w:t xml:space="preserve">0.1.2 </w:t>
      </w:r>
      <w:r>
        <w:rPr>
          <w:rFonts w:hint="eastAsia" w:ascii="宋体" w:hAnsi="宋体"/>
        </w:rPr>
        <w:t>电能质量检测应在负荷率大于</w:t>
      </w:r>
      <w:r>
        <w:rPr>
          <w:rFonts w:hint="eastAsia"/>
        </w:rPr>
        <w:t>20%</w:t>
      </w:r>
      <w:r>
        <w:rPr>
          <w:rFonts w:hint="eastAsia" w:ascii="宋体" w:hAnsi="宋体"/>
        </w:rPr>
        <w:t>的配电回路，且应在负载正常使用的时间内进行。</w:t>
      </w:r>
    </w:p>
    <w:p>
      <w:pPr>
        <w:pStyle w:val="69"/>
        <w:spacing w:before="120" w:after="120"/>
        <w:rPr>
          <w:lang w:bidi="en-US"/>
        </w:rPr>
      </w:pPr>
      <w:r>
        <w:rPr>
          <w:rFonts w:hint="eastAsia"/>
          <w:lang w:bidi="en-US"/>
        </w:rPr>
        <w:t>1</w:t>
      </w:r>
      <w:r>
        <w:rPr>
          <w:lang w:bidi="en-US"/>
        </w:rPr>
        <w:t xml:space="preserve">0.2 </w:t>
      </w:r>
      <w:r>
        <w:rPr>
          <w:rFonts w:hint="eastAsia"/>
          <w:lang w:bidi="en-US"/>
        </w:rPr>
        <w:t>三相电压不平衡检测</w:t>
      </w:r>
    </w:p>
    <w:p>
      <w:pPr>
        <w:spacing w:line="240" w:lineRule="auto"/>
        <w:rPr>
          <w:rFonts w:ascii="宋体" w:hAnsi="宋体"/>
        </w:rPr>
      </w:pPr>
      <w:r>
        <w:rPr>
          <w:rFonts w:hint="eastAsia" w:ascii="宋体" w:hAnsi="宋体"/>
        </w:rPr>
        <w:t>1</w:t>
      </w:r>
      <w:r>
        <w:rPr>
          <w:rFonts w:ascii="宋体" w:hAnsi="宋体"/>
        </w:rPr>
        <w:t xml:space="preserve">0.2.1 </w:t>
      </w:r>
      <w:r>
        <w:rPr>
          <w:rFonts w:hint="eastAsia" w:ascii="宋体" w:hAnsi="宋体"/>
        </w:rPr>
        <w:t>每种用途的电气线路应至少抽取1个回路进行三相电压不平衡检测。</w:t>
      </w:r>
    </w:p>
    <w:p>
      <w:pPr>
        <w:spacing w:line="240" w:lineRule="auto"/>
        <w:rPr>
          <w:rFonts w:ascii="宋体" w:hAnsi="宋体"/>
        </w:rPr>
      </w:pPr>
      <w:r>
        <w:rPr>
          <w:rFonts w:hint="eastAsia" w:ascii="宋体" w:hAnsi="宋体"/>
        </w:rPr>
        <w:t>1</w:t>
      </w:r>
      <w:r>
        <w:rPr>
          <w:rFonts w:ascii="宋体" w:hAnsi="宋体"/>
        </w:rPr>
        <w:t xml:space="preserve">0.2.2 </w:t>
      </w:r>
      <w:r>
        <w:rPr>
          <w:rFonts w:hint="eastAsia" w:ascii="宋体" w:hAnsi="宋体"/>
        </w:rPr>
        <w:t>三相电压不平衡检测方法应符合现行行业标准《公共建筑节能检测标准》J</w:t>
      </w:r>
      <w:r>
        <w:rPr>
          <w:rFonts w:ascii="宋体" w:hAnsi="宋体"/>
        </w:rPr>
        <w:t>GJ/T 177</w:t>
      </w:r>
    </w:p>
    <w:p>
      <w:pPr>
        <w:spacing w:line="240" w:lineRule="auto"/>
        <w:ind w:left="97" w:leftChars="46" w:firstLine="630" w:firstLineChars="300"/>
        <w:rPr>
          <w:rFonts w:ascii="Times New Roman" w:hAnsi="Times New Roman"/>
        </w:rPr>
      </w:pPr>
      <w:r>
        <w:rPr>
          <w:rFonts w:hint="eastAsia" w:ascii="宋体" w:hAnsi="宋体"/>
        </w:rPr>
        <w:t>的规定。</w:t>
      </w:r>
    </w:p>
    <w:p>
      <w:pPr>
        <w:pStyle w:val="69"/>
        <w:spacing w:before="120" w:after="120"/>
        <w:rPr>
          <w:lang w:bidi="en-US"/>
        </w:rPr>
      </w:pPr>
      <w:r>
        <w:rPr>
          <w:lang w:bidi="en-US"/>
        </w:rPr>
        <w:t xml:space="preserve">10.3 </w:t>
      </w:r>
      <w:r>
        <w:rPr>
          <w:rFonts w:hint="eastAsia"/>
          <w:lang w:bidi="en-US"/>
        </w:rPr>
        <w:t>谐波电压及谐波电流检测</w:t>
      </w:r>
    </w:p>
    <w:p>
      <w:pPr>
        <w:spacing w:line="240" w:lineRule="auto"/>
        <w:rPr>
          <w:rFonts w:ascii="Times New Roman" w:hAnsi="Times New Roman"/>
        </w:rPr>
      </w:pPr>
      <w:r>
        <w:rPr>
          <w:rFonts w:hint="eastAsia" w:ascii="宋体" w:hAnsi="宋体"/>
        </w:rPr>
        <w:t>1</w:t>
      </w:r>
      <w:r>
        <w:rPr>
          <w:rFonts w:ascii="宋体" w:hAnsi="宋体"/>
        </w:rPr>
        <w:t xml:space="preserve">0.3.1 </w:t>
      </w:r>
      <w:r>
        <w:rPr>
          <w:rFonts w:hint="eastAsia" w:ascii="宋体" w:hAnsi="宋体"/>
        </w:rPr>
        <w:t>谐波电压及谐波电流的检测数量应符合下列规定：</w:t>
      </w:r>
    </w:p>
    <w:p>
      <w:pPr>
        <w:pStyle w:val="178"/>
        <w:numPr>
          <w:ilvl w:val="0"/>
          <w:numId w:val="75"/>
        </w:numPr>
      </w:pPr>
      <w:r>
        <w:t xml:space="preserve"> </w:t>
      </w:r>
      <w:r>
        <w:rPr>
          <w:rFonts w:hint="eastAsia"/>
        </w:rPr>
        <w:t>变压器出线回路应全部检测；</w:t>
      </w:r>
    </w:p>
    <w:p>
      <w:pPr>
        <w:pStyle w:val="178"/>
        <w:numPr>
          <w:ilvl w:val="0"/>
          <w:numId w:val="75"/>
        </w:numPr>
      </w:pPr>
      <w:r>
        <w:rPr>
          <w:rFonts w:hAnsi="宋体"/>
        </w:rPr>
        <w:t xml:space="preserve"> </w:t>
      </w:r>
      <w:r>
        <w:rPr>
          <w:rFonts w:hint="eastAsia" w:hAnsi="宋体"/>
        </w:rPr>
        <w:t>照明回路应抽测</w:t>
      </w:r>
      <w:r>
        <w:rPr>
          <w:rFonts w:hint="eastAsia"/>
        </w:rPr>
        <w:t>5%</w:t>
      </w:r>
      <w:r>
        <w:rPr>
          <w:rFonts w:hint="eastAsia" w:hAnsi="宋体"/>
        </w:rPr>
        <w:t>，且不得少于</w:t>
      </w:r>
      <w:r>
        <w:rPr>
          <w:rFonts w:hint="eastAsia"/>
        </w:rPr>
        <w:t>2</w:t>
      </w:r>
      <w:r>
        <w:rPr>
          <w:rFonts w:hint="eastAsia" w:hAnsi="宋体"/>
        </w:rPr>
        <w:t>个回路；</w:t>
      </w:r>
    </w:p>
    <w:p>
      <w:pPr>
        <w:pStyle w:val="178"/>
        <w:numPr>
          <w:ilvl w:val="0"/>
          <w:numId w:val="75"/>
        </w:numPr>
      </w:pPr>
      <w:r>
        <w:t xml:space="preserve"> </w:t>
      </w:r>
      <w:r>
        <w:rPr>
          <w:rFonts w:hint="eastAsia" w:hAnsi="宋体"/>
        </w:rPr>
        <w:t>配置变频设备的动力回路应抽测</w:t>
      </w:r>
      <w:r>
        <w:rPr>
          <w:rFonts w:hint="eastAsia"/>
        </w:rPr>
        <w:t>2%</w:t>
      </w:r>
      <w:r>
        <w:rPr>
          <w:rFonts w:hint="eastAsia" w:hAnsi="宋体"/>
        </w:rPr>
        <w:t>，且不得少于</w:t>
      </w:r>
      <w:r>
        <w:rPr>
          <w:rFonts w:hint="eastAsia"/>
        </w:rPr>
        <w:t>1</w:t>
      </w:r>
      <w:r>
        <w:rPr>
          <w:rFonts w:hint="eastAsia" w:hAnsi="宋体"/>
        </w:rPr>
        <w:t>个回路；</w:t>
      </w:r>
    </w:p>
    <w:p>
      <w:pPr>
        <w:pStyle w:val="178"/>
        <w:numPr>
          <w:ilvl w:val="0"/>
          <w:numId w:val="75"/>
        </w:numPr>
      </w:pPr>
      <w:r>
        <w:t xml:space="preserve"> </w:t>
      </w:r>
      <w:r>
        <w:rPr>
          <w:rFonts w:hint="eastAsia" w:hAnsi="宋体"/>
        </w:rPr>
        <w:t>配置大型</w:t>
      </w:r>
      <w:r>
        <w:rPr>
          <w:rFonts w:hint="eastAsia"/>
        </w:rPr>
        <w:t>UPS</w:t>
      </w:r>
      <w:r>
        <w:rPr>
          <w:rFonts w:hint="eastAsia" w:hAnsi="宋体"/>
        </w:rPr>
        <w:t>的回路应抽测</w:t>
      </w:r>
      <w:r>
        <w:rPr>
          <w:rFonts w:hint="eastAsia"/>
        </w:rPr>
        <w:t>2%</w:t>
      </w:r>
      <w:r>
        <w:rPr>
          <w:rFonts w:hint="eastAsia" w:hAnsi="宋体"/>
        </w:rPr>
        <w:t>，且不得少于</w:t>
      </w:r>
      <w:r>
        <w:rPr>
          <w:rFonts w:hint="eastAsia"/>
        </w:rPr>
        <w:t>1</w:t>
      </w:r>
      <w:r>
        <w:rPr>
          <w:rFonts w:hint="eastAsia" w:hAnsi="宋体"/>
        </w:rPr>
        <w:t>个回路。</w:t>
      </w:r>
    </w:p>
    <w:p>
      <w:pPr>
        <w:spacing w:line="240" w:lineRule="auto"/>
        <w:ind w:left="840" w:hanging="840" w:hangingChars="400"/>
        <w:rPr>
          <w:rFonts w:ascii="宋体" w:hAnsi="宋体"/>
        </w:rPr>
      </w:pPr>
      <w:r>
        <w:rPr>
          <w:rFonts w:hint="eastAsia" w:ascii="宋体" w:hAnsi="宋体"/>
          <w:lang w:bidi="ar"/>
        </w:rPr>
        <w:t>1</w:t>
      </w:r>
      <w:r>
        <w:rPr>
          <w:rFonts w:ascii="宋体" w:hAnsi="宋体"/>
          <w:lang w:bidi="ar"/>
        </w:rPr>
        <w:t xml:space="preserve">0.3.2 </w:t>
      </w:r>
      <w:r>
        <w:rPr>
          <w:rFonts w:hint="eastAsia" w:ascii="宋体" w:hAnsi="宋体"/>
          <w:lang w:bidi="ar"/>
        </w:rPr>
        <w:t>谐波电压及谐波电流检测方法应符合</w:t>
      </w:r>
      <w:r>
        <w:rPr>
          <w:rFonts w:hint="eastAsia" w:ascii="宋体" w:hAnsi="宋体"/>
        </w:rPr>
        <w:t>现行行业标准《公共建筑节能检测标准》J</w:t>
      </w:r>
      <w:r>
        <w:rPr>
          <w:rFonts w:ascii="宋体" w:hAnsi="宋体"/>
        </w:rPr>
        <w:t xml:space="preserve">GJ/T </w:t>
      </w:r>
    </w:p>
    <w:p>
      <w:pPr>
        <w:spacing w:line="240" w:lineRule="auto"/>
        <w:rPr>
          <w:rFonts w:ascii="宋体" w:hAnsi="宋体"/>
        </w:rPr>
      </w:pPr>
      <w:r>
        <w:rPr>
          <w:rFonts w:ascii="宋体" w:hAnsi="宋体"/>
        </w:rPr>
        <w:t>177</w:t>
      </w:r>
      <w:r>
        <w:rPr>
          <w:rFonts w:hint="eastAsia" w:ascii="宋体" w:hAnsi="宋体"/>
        </w:rPr>
        <w:t>的规定。</w:t>
      </w:r>
    </w:p>
    <w:p>
      <w:pPr>
        <w:pStyle w:val="69"/>
        <w:spacing w:before="120" w:after="120"/>
        <w:rPr>
          <w:lang w:bidi="en-US"/>
        </w:rPr>
      </w:pPr>
      <w:r>
        <w:rPr>
          <w:rFonts w:hint="eastAsia"/>
          <w:lang w:bidi="en-US"/>
        </w:rPr>
        <w:t>1</w:t>
      </w:r>
      <w:r>
        <w:rPr>
          <w:lang w:bidi="en-US"/>
        </w:rPr>
        <w:t xml:space="preserve">0.4 </w:t>
      </w:r>
      <w:r>
        <w:rPr>
          <w:rFonts w:hint="eastAsia"/>
          <w:lang w:bidi="en-US"/>
        </w:rPr>
        <w:t>功率因数检测</w:t>
      </w:r>
    </w:p>
    <w:p>
      <w:pPr>
        <w:pStyle w:val="60"/>
        <w:ind w:firstLine="0" w:firstLineChars="0"/>
        <w:rPr>
          <w:lang w:bidi="ar"/>
        </w:rPr>
      </w:pPr>
      <w:r>
        <w:rPr>
          <w:rFonts w:hint="eastAsia"/>
          <w:lang w:bidi="ar"/>
        </w:rPr>
        <w:t>1</w:t>
      </w:r>
      <w:r>
        <w:rPr>
          <w:lang w:bidi="ar"/>
        </w:rPr>
        <w:t xml:space="preserve">0.4.1 </w:t>
      </w:r>
      <w:r>
        <w:rPr>
          <w:rFonts w:hint="eastAsia"/>
          <w:lang w:bidi="ar"/>
        </w:rPr>
        <w:t>应对有补偿要求的电气回路抽取</w:t>
      </w:r>
      <w:r>
        <w:rPr>
          <w:lang w:bidi="ar"/>
        </w:rPr>
        <w:t>1</w:t>
      </w:r>
      <w:r>
        <w:rPr>
          <w:rFonts w:hint="eastAsia"/>
          <w:lang w:bidi="ar"/>
        </w:rPr>
        <w:t>个进行功率因数检测。</w:t>
      </w:r>
    </w:p>
    <w:p>
      <w:pPr>
        <w:spacing w:line="240" w:lineRule="auto"/>
        <w:ind w:left="840" w:hanging="840" w:hangingChars="400"/>
        <w:rPr>
          <w:rFonts w:ascii="宋体" w:hAnsi="宋体"/>
        </w:rPr>
      </w:pPr>
      <w:r>
        <w:rPr>
          <w:rFonts w:hint="eastAsia" w:ascii="宋体" w:hAnsi="Times New Roman"/>
          <w:kern w:val="0"/>
          <w:szCs w:val="20"/>
          <w:lang w:bidi="ar"/>
        </w:rPr>
        <w:t>1</w:t>
      </w:r>
      <w:r>
        <w:rPr>
          <w:rFonts w:ascii="宋体" w:hAnsi="Times New Roman"/>
          <w:kern w:val="0"/>
          <w:szCs w:val="20"/>
          <w:lang w:bidi="ar"/>
        </w:rPr>
        <w:t>0.4.2</w:t>
      </w:r>
      <w:r>
        <w:rPr>
          <w:lang w:bidi="ar"/>
        </w:rPr>
        <w:t xml:space="preserve"> </w:t>
      </w:r>
      <w:r>
        <w:rPr>
          <w:rFonts w:hint="eastAsia"/>
          <w:lang w:bidi="ar"/>
        </w:rPr>
        <w:t>功率因数检测方法应符合</w:t>
      </w:r>
      <w:r>
        <w:rPr>
          <w:rFonts w:hint="eastAsia" w:ascii="宋体" w:hAnsi="宋体"/>
        </w:rPr>
        <w:t>现行行业标准《公共建筑节能检测标准》J</w:t>
      </w:r>
      <w:r>
        <w:rPr>
          <w:rFonts w:ascii="宋体" w:hAnsi="宋体"/>
        </w:rPr>
        <w:t>GJ/T 177</w:t>
      </w:r>
      <w:r>
        <w:rPr>
          <w:rFonts w:hint="eastAsia" w:ascii="宋体" w:hAnsi="宋体"/>
        </w:rPr>
        <w:t>的规定。</w:t>
      </w:r>
    </w:p>
    <w:p>
      <w:pPr>
        <w:pStyle w:val="60"/>
        <w:ind w:firstLine="199" w:firstLineChars="95"/>
        <w:rPr>
          <w:lang w:bidi="ar"/>
        </w:rPr>
      </w:pPr>
    </w:p>
    <w:p>
      <w:pPr>
        <w:pStyle w:val="69"/>
        <w:spacing w:before="120" w:after="120"/>
        <w:rPr>
          <w:lang w:bidi="en-US"/>
        </w:rPr>
      </w:pPr>
      <w:r>
        <w:rPr>
          <w:rFonts w:hint="eastAsia"/>
          <w:lang w:bidi="en-US"/>
        </w:rPr>
        <w:t>1</w:t>
      </w:r>
      <w:r>
        <w:rPr>
          <w:lang w:bidi="en-US"/>
        </w:rPr>
        <w:t xml:space="preserve">0.5 </w:t>
      </w:r>
      <w:r>
        <w:rPr>
          <w:rFonts w:hint="eastAsia"/>
          <w:lang w:bidi="en-US"/>
        </w:rPr>
        <w:t>电压偏差检测</w:t>
      </w:r>
    </w:p>
    <w:p>
      <w:pPr>
        <w:pStyle w:val="60"/>
        <w:ind w:firstLine="0" w:firstLineChars="0"/>
        <w:rPr>
          <w:lang w:bidi="ar"/>
        </w:rPr>
      </w:pPr>
      <w:r>
        <w:rPr>
          <w:rFonts w:hint="eastAsia"/>
          <w:lang w:bidi="ar"/>
        </w:rPr>
        <w:t>1</w:t>
      </w:r>
      <w:r>
        <w:rPr>
          <w:lang w:bidi="ar"/>
        </w:rPr>
        <w:t xml:space="preserve">0.5.1 </w:t>
      </w:r>
      <w:r>
        <w:rPr>
          <w:rFonts w:hint="eastAsia"/>
          <w:lang w:bidi="ar"/>
        </w:rPr>
        <w:t>电压偏差检测抽样数量应符合下列规定：</w:t>
      </w:r>
    </w:p>
    <w:p>
      <w:pPr>
        <w:pStyle w:val="178"/>
        <w:numPr>
          <w:ilvl w:val="0"/>
          <w:numId w:val="76"/>
        </w:numPr>
        <w:rPr>
          <w:lang w:bidi="ar"/>
        </w:rPr>
      </w:pPr>
      <w:r>
        <w:rPr>
          <w:lang w:bidi="ar"/>
        </w:rPr>
        <w:t xml:space="preserve"> </w:t>
      </w:r>
      <w:r>
        <w:rPr>
          <w:rFonts w:hint="eastAsia"/>
          <w:lang w:bidi="ar"/>
        </w:rPr>
        <w:t>电压（3</w:t>
      </w:r>
      <w:r>
        <w:rPr>
          <w:lang w:bidi="ar"/>
        </w:rPr>
        <w:t>80V</w:t>
      </w:r>
      <w:r>
        <w:rPr>
          <w:rFonts w:hint="eastAsia"/>
          <w:lang w:bidi="ar"/>
        </w:rPr>
        <w:t>）时，变压器出线回路应全部测量；</w:t>
      </w:r>
    </w:p>
    <w:p>
      <w:pPr>
        <w:pStyle w:val="178"/>
        <w:numPr>
          <w:ilvl w:val="0"/>
          <w:numId w:val="75"/>
        </w:numPr>
        <w:rPr>
          <w:lang w:bidi="ar"/>
        </w:rPr>
      </w:pPr>
      <w:r>
        <w:rPr>
          <w:lang w:bidi="ar"/>
        </w:rPr>
        <w:t xml:space="preserve"> </w:t>
      </w:r>
      <w:r>
        <w:rPr>
          <w:rFonts w:hint="eastAsia"/>
          <w:lang w:bidi="ar"/>
        </w:rPr>
        <w:t>电压（2</w:t>
      </w:r>
      <w:r>
        <w:rPr>
          <w:lang w:bidi="ar"/>
        </w:rPr>
        <w:t>20V</w:t>
      </w:r>
      <w:r>
        <w:rPr>
          <w:rFonts w:hint="eastAsia"/>
          <w:lang w:bidi="ar"/>
        </w:rPr>
        <w:t>）时，照明出线回路应抽测5%，且不应少于2个回路。</w:t>
      </w:r>
    </w:p>
    <w:p>
      <w:pPr>
        <w:pStyle w:val="60"/>
        <w:ind w:firstLine="0" w:firstLineChars="0"/>
        <w:rPr>
          <w:lang w:bidi="ar"/>
        </w:rPr>
      </w:pPr>
      <w:r>
        <w:rPr>
          <w:rFonts w:hint="eastAsia"/>
          <w:lang w:bidi="ar"/>
        </w:rPr>
        <w:t>1</w:t>
      </w:r>
      <w:r>
        <w:rPr>
          <w:lang w:bidi="ar"/>
        </w:rPr>
        <w:t xml:space="preserve">0.5.2 </w:t>
      </w:r>
      <w:r>
        <w:rPr>
          <w:rFonts w:hint="eastAsia"/>
          <w:lang w:bidi="ar"/>
        </w:rPr>
        <w:t>电压偏差检测方法应符合</w:t>
      </w:r>
      <w:r>
        <w:rPr>
          <w:rFonts w:hint="eastAsia" w:hAnsi="宋体"/>
        </w:rPr>
        <w:t>现行行业标准《公共建筑节能检测标准》J</w:t>
      </w:r>
      <w:r>
        <w:rPr>
          <w:rFonts w:hAnsi="宋体"/>
        </w:rPr>
        <w:t>GJ/T 177</w:t>
      </w:r>
      <w:r>
        <w:rPr>
          <w:rFonts w:hint="eastAsia" w:hAnsi="宋体"/>
        </w:rPr>
        <w:t>的规定。</w:t>
      </w:r>
    </w:p>
    <w:p>
      <w:pPr>
        <w:widowControl/>
        <w:adjustRightInd/>
        <w:spacing w:line="240" w:lineRule="auto"/>
        <w:jc w:val="left"/>
        <w:rPr>
          <w:rFonts w:ascii="宋体" w:hAnsi="Times New Roman"/>
          <w:kern w:val="0"/>
          <w:szCs w:val="20"/>
          <w:lang w:bidi="ar"/>
        </w:rPr>
      </w:pPr>
      <w:r>
        <w:rPr>
          <w:lang w:bidi="ar"/>
        </w:rPr>
        <w:br w:type="page"/>
      </w:r>
    </w:p>
    <w:p>
      <w:pPr>
        <w:pStyle w:val="108"/>
        <w:spacing w:before="240" w:after="240"/>
        <w:ind w:left="0"/>
        <w:rPr>
          <w:lang w:bidi="en-US"/>
        </w:rPr>
      </w:pPr>
      <w:bookmarkStart w:id="180" w:name="_Toc129698160"/>
      <w:bookmarkStart w:id="181" w:name="_Toc129782132"/>
      <w:bookmarkStart w:id="182" w:name="_Toc129855767"/>
      <w:bookmarkStart w:id="183" w:name="_Toc129855993"/>
      <w:r>
        <w:rPr>
          <w:rFonts w:hint="eastAsia"/>
          <w:lang w:bidi="en-US"/>
        </w:rPr>
        <w:t>照明系统检测</w:t>
      </w:r>
      <w:bookmarkEnd w:id="180"/>
      <w:bookmarkEnd w:id="181"/>
      <w:bookmarkEnd w:id="182"/>
      <w:bookmarkEnd w:id="183"/>
    </w:p>
    <w:p>
      <w:pPr>
        <w:pStyle w:val="69"/>
        <w:spacing w:before="120" w:after="120"/>
        <w:rPr>
          <w:b/>
          <w:bCs/>
          <w:lang w:bidi="en-US"/>
        </w:rPr>
      </w:pPr>
      <w:r>
        <w:rPr>
          <w:rFonts w:hint="eastAsia"/>
          <w:b/>
          <w:bCs/>
          <w:lang w:bidi="en-US"/>
        </w:rPr>
        <w:t>1</w:t>
      </w:r>
      <w:r>
        <w:rPr>
          <w:b/>
          <w:bCs/>
          <w:lang w:bidi="en-US"/>
        </w:rPr>
        <w:t xml:space="preserve">1.1 </w:t>
      </w:r>
      <w:r>
        <w:rPr>
          <w:rFonts w:hint="eastAsia"/>
          <w:b/>
          <w:bCs/>
          <w:lang w:bidi="en-US"/>
        </w:rPr>
        <w:t>一般规定</w:t>
      </w:r>
    </w:p>
    <w:p>
      <w:pPr>
        <w:pStyle w:val="69"/>
        <w:spacing w:before="120" w:after="120"/>
        <w:outlineLvl w:val="9"/>
        <w:rPr>
          <w:rFonts w:ascii="宋体" w:hAnsi="宋体" w:eastAsia="宋体"/>
          <w:lang w:bidi="ar"/>
        </w:rPr>
      </w:pPr>
      <w:r>
        <w:rPr>
          <w:rFonts w:hint="eastAsia" w:ascii="宋体" w:hAnsi="宋体" w:eastAsia="宋体"/>
          <w:lang w:bidi="ar"/>
        </w:rPr>
        <w:t>1</w:t>
      </w:r>
      <w:r>
        <w:rPr>
          <w:rFonts w:ascii="宋体" w:hAnsi="宋体" w:eastAsia="宋体"/>
          <w:lang w:bidi="ar"/>
        </w:rPr>
        <w:t xml:space="preserve">1.1.1 </w:t>
      </w:r>
      <w:r>
        <w:rPr>
          <w:rFonts w:hint="eastAsia" w:ascii="宋体" w:hAnsi="宋体" w:eastAsia="宋体"/>
          <w:lang w:bidi="ar"/>
        </w:rPr>
        <w:t>照明系统检测内容宜包括照度、照度均匀度、照明功率密度、色温、一般显色指数和统一眩光值。</w:t>
      </w:r>
    </w:p>
    <w:p>
      <w:pPr>
        <w:widowControl/>
        <w:jc w:val="left"/>
        <w:rPr>
          <w:rFonts w:ascii="宋体" w:hAnsi="宋体"/>
          <w:kern w:val="0"/>
        </w:rPr>
      </w:pPr>
      <w:r>
        <w:rPr>
          <w:rFonts w:hint="eastAsia" w:ascii="宋体" w:hAnsi="宋体"/>
          <w:kern w:val="0"/>
          <w:szCs w:val="20"/>
          <w:lang w:bidi="ar"/>
        </w:rPr>
        <w:t>1</w:t>
      </w:r>
      <w:r>
        <w:rPr>
          <w:rFonts w:ascii="宋体" w:hAnsi="宋体"/>
          <w:kern w:val="0"/>
          <w:szCs w:val="20"/>
          <w:lang w:bidi="ar"/>
        </w:rPr>
        <w:t>1.1.2</w:t>
      </w:r>
      <w:r>
        <w:rPr>
          <w:rFonts w:hint="eastAsia" w:ascii="宋体" w:hAnsi="宋体"/>
          <w:kern w:val="0"/>
          <w:szCs w:val="20"/>
          <w:lang w:bidi="ar"/>
        </w:rPr>
        <w:t xml:space="preserve"> </w:t>
      </w:r>
      <w:r>
        <w:rPr>
          <w:rFonts w:hint="eastAsia" w:ascii="宋体" w:hAnsi="宋体"/>
          <w:kern w:val="0"/>
        </w:rPr>
        <w:t>照明系统典型功能的房间或场所的选取与划分原则</w:t>
      </w:r>
      <w:r>
        <w:rPr>
          <w:rFonts w:hint="eastAsia" w:ascii="宋体" w:hAnsi="宋体"/>
          <w:color w:val="000000" w:themeColor="text1"/>
          <w:kern w:val="0"/>
          <w14:textFill>
            <w14:solidFill>
              <w14:schemeClr w14:val="tx1"/>
            </w14:solidFill>
          </w14:textFill>
        </w:rPr>
        <w:t>应</w:t>
      </w:r>
      <w:r>
        <w:rPr>
          <w:rFonts w:hint="eastAsia" w:ascii="宋体" w:hAnsi="宋体"/>
          <w:kern w:val="0"/>
        </w:rPr>
        <w:t xml:space="preserve">符合现行标准《建筑照明设计标准》GB 50034 中的规定。 </w:t>
      </w:r>
    </w:p>
    <w:p>
      <w:pPr>
        <w:widowControl/>
        <w:jc w:val="left"/>
        <w:rPr>
          <w:rFonts w:ascii="宋体" w:hAnsi="Times New Roman"/>
          <w:kern w:val="0"/>
        </w:rPr>
      </w:pPr>
      <w:r>
        <w:rPr>
          <w:rFonts w:hint="eastAsia" w:ascii="宋体" w:hAnsi="宋体"/>
          <w:kern w:val="0"/>
          <w:szCs w:val="20"/>
          <w:lang w:bidi="ar"/>
        </w:rPr>
        <w:t>1</w:t>
      </w:r>
      <w:r>
        <w:rPr>
          <w:rFonts w:ascii="宋体" w:hAnsi="宋体"/>
          <w:kern w:val="0"/>
          <w:szCs w:val="20"/>
          <w:lang w:bidi="ar"/>
        </w:rPr>
        <w:t>1.1.3</w:t>
      </w:r>
      <w:r>
        <w:rPr>
          <w:rFonts w:hint="eastAsia" w:ascii="宋体" w:hAnsi="宋体"/>
          <w:kern w:val="0"/>
          <w:szCs w:val="20"/>
          <w:lang w:bidi="ar"/>
        </w:rPr>
        <w:t xml:space="preserve"> </w:t>
      </w:r>
      <w:r>
        <w:rPr>
          <w:rFonts w:hint="eastAsia" w:ascii="宋体" w:hAnsi="宋体"/>
          <w:kern w:val="0"/>
        </w:rPr>
        <w:t>一般显色指数、照明功率密度、照度均匀度的测试空间，宜与照度测试的空间一致。</w:t>
      </w:r>
      <w:r>
        <w:rPr>
          <w:rFonts w:hint="eastAsia" w:ascii="宋体" w:hAnsi="Times New Roman"/>
          <w:kern w:val="0"/>
        </w:rPr>
        <w:t xml:space="preserve"> </w:t>
      </w:r>
    </w:p>
    <w:p>
      <w:pPr>
        <w:pStyle w:val="60"/>
        <w:ind w:firstLine="0" w:firstLineChars="0"/>
        <w:rPr>
          <w:rFonts w:hAnsi="宋体" w:cs="黑体"/>
          <w:color w:val="000000"/>
          <w:szCs w:val="21"/>
        </w:rPr>
      </w:pPr>
      <w:r>
        <w:rPr>
          <w:rFonts w:hint="eastAsia" w:hAnsi="宋体"/>
        </w:rPr>
        <w:t>1</w:t>
      </w:r>
      <w:r>
        <w:rPr>
          <w:rFonts w:hint="eastAsia"/>
        </w:rPr>
        <w:t>1.1.</w:t>
      </w:r>
      <w:r>
        <w:rPr>
          <w:rFonts w:hAnsi="宋体"/>
        </w:rPr>
        <w:t>4</w:t>
      </w:r>
      <w:r>
        <w:rPr>
          <w:rFonts w:hint="eastAsia"/>
        </w:rPr>
        <w:t xml:space="preserve"> </w:t>
      </w:r>
      <w:r>
        <w:rPr>
          <w:rFonts w:hint="eastAsia" w:hAnsi="宋体"/>
        </w:rPr>
        <w:t>照明系统现场检测仪器的技术要求应符合</w:t>
      </w:r>
      <w:r>
        <w:rPr>
          <w:rFonts w:hint="eastAsia" w:hAnsi="宋体" w:cs="黑体"/>
          <w:color w:val="000000"/>
        </w:rPr>
        <w:t>《照明测量方法》 GB/T 5700的规定。</w:t>
      </w:r>
    </w:p>
    <w:p>
      <w:pPr>
        <w:pStyle w:val="69"/>
        <w:spacing w:before="120" w:after="120"/>
        <w:rPr>
          <w:b/>
          <w:bCs/>
          <w:lang w:bidi="en-US"/>
        </w:rPr>
      </w:pPr>
      <w:r>
        <w:rPr>
          <w:rFonts w:hint="eastAsia"/>
          <w:b/>
          <w:bCs/>
          <w:lang w:bidi="en-US"/>
        </w:rPr>
        <w:t>1</w:t>
      </w:r>
      <w:r>
        <w:rPr>
          <w:b/>
          <w:bCs/>
          <w:lang w:bidi="en-US"/>
        </w:rPr>
        <w:t>1</w:t>
      </w:r>
      <w:r>
        <w:rPr>
          <w:rFonts w:hint="eastAsia"/>
          <w:b/>
          <w:bCs/>
          <w:lang w:bidi="en-US"/>
        </w:rPr>
        <w:t>.2 照度检测</w:t>
      </w:r>
    </w:p>
    <w:p>
      <w:pPr>
        <w:widowControl/>
        <w:spacing w:line="240" w:lineRule="auto"/>
        <w:jc w:val="left"/>
        <w:rPr>
          <w:rFonts w:ascii="宋体" w:hAnsi="宋体" w:cs="黑体"/>
          <w:color w:val="000000"/>
        </w:rPr>
      </w:pPr>
      <w:r>
        <w:rPr>
          <w:rFonts w:hint="eastAsia" w:ascii="宋体" w:hAnsi="宋体" w:cs="黑体"/>
          <w:color w:val="000000"/>
        </w:rPr>
        <w:t>11.2.1 照度检测数量应符合：每种典型功能的房间或场所不应少于 2 个，并具有代表性。</w:t>
      </w:r>
    </w:p>
    <w:p>
      <w:pPr>
        <w:pStyle w:val="239"/>
        <w:keepNext/>
        <w:keepLines/>
        <w:spacing w:after="0" w:line="240" w:lineRule="auto"/>
        <w:jc w:val="left"/>
        <w:outlineLvl w:val="9"/>
        <w:rPr>
          <w:rFonts w:cs="黑体"/>
          <w:color w:val="000000"/>
          <w:sz w:val="21"/>
          <w:szCs w:val="21"/>
        </w:rPr>
      </w:pPr>
      <w:r>
        <w:rPr>
          <w:rFonts w:hint="eastAsia" w:cs="黑体"/>
          <w:color w:val="000000"/>
          <w:sz w:val="21"/>
          <w:szCs w:val="21"/>
        </w:rPr>
        <w:t>11.2.2 照度检测应采用《照明测量方法》 GB/T 5700中规定的方法进行。</w:t>
      </w:r>
    </w:p>
    <w:p>
      <w:pPr>
        <w:pStyle w:val="239"/>
        <w:keepNext/>
        <w:keepLines/>
        <w:spacing w:before="120" w:beforeLines="50" w:after="120" w:afterLines="50"/>
        <w:jc w:val="left"/>
        <w:rPr>
          <w:rFonts w:ascii="黑体" w:hAnsi="黑体" w:eastAsia="黑体"/>
          <w:b/>
          <w:bCs/>
          <w:color w:val="000000"/>
          <w:sz w:val="21"/>
          <w:szCs w:val="21"/>
        </w:rPr>
      </w:pPr>
      <w:r>
        <w:rPr>
          <w:rFonts w:hint="eastAsia" w:ascii="黑体" w:hAnsi="黑体" w:eastAsia="黑体"/>
          <w:b/>
          <w:bCs/>
          <w:color w:val="000000"/>
          <w:sz w:val="21"/>
          <w:szCs w:val="21"/>
        </w:rPr>
        <w:t>11.3 照度均匀度检测</w:t>
      </w:r>
    </w:p>
    <w:p>
      <w:pPr>
        <w:widowControl/>
        <w:spacing w:line="240" w:lineRule="auto"/>
        <w:jc w:val="left"/>
        <w:rPr>
          <w:rFonts w:cs="黑体"/>
          <w:color w:val="000000"/>
        </w:rPr>
      </w:pPr>
      <w:r>
        <w:rPr>
          <w:rFonts w:hint="eastAsia" w:ascii="宋体" w:hAnsi="宋体" w:cs="黑体"/>
          <w:color w:val="000000"/>
        </w:rPr>
        <w:t>11.3.1 照度均匀度检测数量应符合：每种典型功能的房间或场所不应少于 2 个，并具有代表性。</w:t>
      </w:r>
    </w:p>
    <w:p>
      <w:pPr>
        <w:pStyle w:val="239"/>
        <w:keepNext/>
        <w:keepLines/>
        <w:spacing w:after="0" w:line="240" w:lineRule="auto"/>
        <w:jc w:val="left"/>
        <w:outlineLvl w:val="9"/>
        <w:rPr>
          <w:rFonts w:cs="黑体"/>
          <w:color w:val="000000"/>
          <w:sz w:val="21"/>
          <w:szCs w:val="21"/>
        </w:rPr>
      </w:pPr>
      <w:r>
        <w:rPr>
          <w:rFonts w:hint="eastAsia" w:cs="黑体"/>
          <w:color w:val="000000"/>
          <w:sz w:val="21"/>
          <w:szCs w:val="21"/>
        </w:rPr>
        <w:t>11.3.2 照度均匀度检测应采用《照明测量方法》 GB/T 5700中规定的方法进行。</w:t>
      </w:r>
    </w:p>
    <w:p>
      <w:pPr>
        <w:pStyle w:val="239"/>
        <w:keepNext/>
        <w:keepLines/>
        <w:spacing w:before="120" w:beforeLines="50" w:after="120" w:afterLines="50"/>
        <w:jc w:val="left"/>
        <w:rPr>
          <w:rFonts w:ascii="黑体" w:hAnsi="黑体" w:eastAsia="黑体"/>
          <w:b/>
          <w:bCs/>
          <w:color w:val="000000"/>
          <w:sz w:val="21"/>
          <w:szCs w:val="21"/>
        </w:rPr>
      </w:pPr>
      <w:r>
        <w:rPr>
          <w:rFonts w:hint="eastAsia" w:ascii="黑体" w:hAnsi="黑体" w:eastAsia="黑体"/>
          <w:b/>
          <w:bCs/>
          <w:color w:val="000000"/>
          <w:sz w:val="21"/>
          <w:szCs w:val="21"/>
        </w:rPr>
        <w:t>11.4 照明功率密度检测</w:t>
      </w:r>
    </w:p>
    <w:p>
      <w:pPr>
        <w:widowControl/>
        <w:spacing w:line="240" w:lineRule="auto"/>
        <w:jc w:val="left"/>
        <w:rPr>
          <w:rFonts w:ascii="宋体" w:hAnsi="宋体" w:cs="黑体"/>
          <w:color w:val="000000"/>
        </w:rPr>
      </w:pPr>
      <w:r>
        <w:rPr>
          <w:rFonts w:hint="eastAsia" w:ascii="宋体" w:hAnsi="宋体" w:cs="黑体"/>
          <w:color w:val="000000"/>
        </w:rPr>
        <w:t xml:space="preserve">11.4.1照明功率密度检测数量应符合每种典型功能的房间或场所不应少于 2个， 并具有代表性。 </w:t>
      </w:r>
    </w:p>
    <w:p>
      <w:pPr>
        <w:widowControl/>
        <w:spacing w:line="240" w:lineRule="auto"/>
        <w:jc w:val="left"/>
        <w:rPr>
          <w:rFonts w:ascii="宋体" w:hAnsi="宋体" w:cs="黑体"/>
          <w:color w:val="000000"/>
        </w:rPr>
      </w:pPr>
      <w:r>
        <w:rPr>
          <w:rFonts w:hint="eastAsia" w:ascii="宋体" w:hAnsi="宋体" w:cs="黑体"/>
          <w:color w:val="000000"/>
        </w:rPr>
        <w:t xml:space="preserve">11.4.2 照明功率密度检测和计算方法应按照现行标准《照明检测方法》GB/T 5700 中的规定方法进行； </w:t>
      </w:r>
    </w:p>
    <w:p>
      <w:pPr>
        <w:pStyle w:val="239"/>
        <w:keepNext/>
        <w:keepLines/>
        <w:spacing w:before="120" w:beforeLines="50" w:after="120" w:afterLines="50"/>
        <w:jc w:val="left"/>
        <w:rPr>
          <w:rFonts w:ascii="黑体" w:hAnsi="黑体" w:eastAsia="黑体"/>
          <w:b/>
          <w:bCs/>
          <w:color w:val="000000"/>
          <w:sz w:val="21"/>
          <w:szCs w:val="21"/>
        </w:rPr>
      </w:pPr>
      <w:r>
        <w:rPr>
          <w:rFonts w:hint="eastAsia" w:ascii="黑体" w:hAnsi="黑体" w:eastAsia="黑体"/>
          <w:b/>
          <w:bCs/>
          <w:color w:val="000000"/>
          <w:sz w:val="21"/>
          <w:szCs w:val="21"/>
        </w:rPr>
        <w:t>11.5 色温和一般显色指数检测</w:t>
      </w:r>
    </w:p>
    <w:p>
      <w:pPr>
        <w:widowControl/>
        <w:spacing w:line="240" w:lineRule="auto"/>
        <w:jc w:val="left"/>
        <w:rPr>
          <w:rFonts w:ascii="宋体" w:hAnsi="宋体" w:cs="黑体"/>
          <w:color w:val="000000"/>
        </w:rPr>
      </w:pPr>
      <w:r>
        <w:rPr>
          <w:rFonts w:hint="eastAsia" w:ascii="宋体" w:hAnsi="宋体" w:cs="黑体"/>
          <w:color w:val="000000"/>
        </w:rPr>
        <w:t>11.5.1 色温和一般显色指数检测数量应符合下列规定：</w:t>
      </w:r>
    </w:p>
    <w:p>
      <w:pPr>
        <w:pStyle w:val="178"/>
        <w:numPr>
          <w:ilvl w:val="0"/>
          <w:numId w:val="77"/>
        </w:numPr>
      </w:pPr>
      <w:r>
        <w:t xml:space="preserve"> </w:t>
      </w:r>
      <w:r>
        <w:rPr>
          <w:rFonts w:hint="eastAsia"/>
        </w:rPr>
        <w:t>对于有色温和显色指数要求的功能区域，至少抽取2处进行检测，并具有代表性。</w:t>
      </w:r>
    </w:p>
    <w:p>
      <w:pPr>
        <w:pStyle w:val="178"/>
        <w:numPr>
          <w:ilvl w:val="0"/>
          <w:numId w:val="77"/>
        </w:numPr>
        <w:rPr>
          <w:rFonts w:hAnsi="宋体" w:cs="黑体"/>
          <w:color w:val="000000"/>
        </w:rPr>
      </w:pPr>
      <w:r>
        <w:rPr>
          <w:rFonts w:hAnsi="宋体" w:cs="黑体"/>
          <w:color w:val="000000"/>
        </w:rPr>
        <w:t xml:space="preserve"> </w:t>
      </w:r>
      <w:r>
        <w:rPr>
          <w:rFonts w:hint="eastAsia" w:hAnsi="宋体" w:cs="黑体"/>
          <w:color w:val="000000"/>
        </w:rPr>
        <w:t>每个被抽检的区域场地测量点数不少于9个，住宅单个房间可不少于3个。</w:t>
      </w:r>
    </w:p>
    <w:p>
      <w:pPr>
        <w:widowControl/>
        <w:spacing w:line="240" w:lineRule="auto"/>
        <w:jc w:val="left"/>
        <w:rPr>
          <w:rFonts w:ascii="宋体" w:hAnsi="宋体" w:cs="黑体"/>
          <w:color w:val="000000"/>
        </w:rPr>
      </w:pPr>
      <w:r>
        <w:rPr>
          <w:rFonts w:hint="eastAsia" w:ascii="宋体" w:hAnsi="宋体" w:cs="黑体"/>
          <w:color w:val="000000"/>
        </w:rPr>
        <w:t>11.5.2 色温和一般显色指数的检测应符合《照明光源颜色的测量方法》GB/T 7922的规定，计算应符合《光源显色性的评价方法》GB/T 5702的规定。</w:t>
      </w:r>
    </w:p>
    <w:p>
      <w:pPr>
        <w:pStyle w:val="239"/>
        <w:keepNext/>
        <w:keepLines/>
        <w:spacing w:before="120" w:beforeLines="50" w:after="120" w:afterLines="50"/>
        <w:jc w:val="left"/>
        <w:rPr>
          <w:rFonts w:ascii="黑体" w:hAnsi="黑体" w:eastAsia="黑体"/>
          <w:b/>
          <w:bCs/>
          <w:color w:val="000000"/>
          <w:sz w:val="21"/>
          <w:szCs w:val="21"/>
        </w:rPr>
      </w:pPr>
      <w:r>
        <w:rPr>
          <w:rFonts w:hint="eastAsia" w:ascii="黑体" w:hAnsi="黑体" w:eastAsia="黑体"/>
          <w:b/>
          <w:bCs/>
          <w:color w:val="000000"/>
          <w:sz w:val="21"/>
          <w:szCs w:val="21"/>
        </w:rPr>
        <w:t>11.6</w:t>
      </w:r>
      <w:r>
        <w:rPr>
          <w:rFonts w:ascii="黑体" w:hAnsi="黑体" w:eastAsia="PMingLiU"/>
          <w:b/>
          <w:bCs/>
          <w:color w:val="000000"/>
          <w:sz w:val="21"/>
          <w:szCs w:val="21"/>
        </w:rPr>
        <w:t xml:space="preserve"> </w:t>
      </w:r>
      <w:r>
        <w:rPr>
          <w:rFonts w:hint="eastAsia" w:ascii="黑体" w:hAnsi="黑体" w:eastAsia="黑体"/>
          <w:b/>
          <w:bCs/>
          <w:color w:val="000000"/>
          <w:sz w:val="21"/>
          <w:szCs w:val="21"/>
        </w:rPr>
        <w:t>统一眩光值检测</w:t>
      </w:r>
    </w:p>
    <w:p>
      <w:pPr>
        <w:widowControl/>
        <w:spacing w:line="240" w:lineRule="auto"/>
        <w:jc w:val="left"/>
        <w:rPr>
          <w:rFonts w:ascii="宋体" w:hAnsi="宋体"/>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11.6.1 </w:t>
      </w:r>
      <w:r>
        <w:rPr>
          <w:rFonts w:hint="eastAsia" w:ascii="宋体" w:hAnsi="宋体"/>
          <w:color w:val="000000" w:themeColor="text1"/>
          <w14:textFill>
            <w14:solidFill>
              <w14:schemeClr w14:val="tx1"/>
            </w14:solidFill>
          </w14:textFill>
        </w:rPr>
        <w:t>对于统一眩光值有严格要求的体育场馆建筑，应进行统一眩光值检测。</w:t>
      </w:r>
    </w:p>
    <w:p>
      <w:pPr>
        <w:widowControl/>
        <w:spacing w:line="240" w:lineRule="auto"/>
        <w:jc w:val="left"/>
        <w:rPr>
          <w:rFonts w:ascii="宋体" w:hAnsi="宋体"/>
        </w:rPr>
      </w:pPr>
      <w:r>
        <w:rPr>
          <w:rFonts w:hint="eastAsia" w:ascii="宋体" w:hAnsi="宋体"/>
        </w:rPr>
        <w:t>1</w:t>
      </w:r>
      <w:r>
        <w:rPr>
          <w:rFonts w:ascii="宋体" w:hAnsi="宋体"/>
        </w:rPr>
        <w:t xml:space="preserve">1.6.2 </w:t>
      </w:r>
      <w:r>
        <w:rPr>
          <w:rFonts w:hint="eastAsia" w:ascii="宋体" w:hAnsi="宋体"/>
        </w:rPr>
        <w:t>统一眩光值检测数量应符合每种典型功能的房间或场所不应少于 1个，且具有代表性。</w:t>
      </w:r>
    </w:p>
    <w:p>
      <w:pPr>
        <w:spacing w:line="240" w:lineRule="auto"/>
        <w:rPr>
          <w:rFonts w:ascii="宋体" w:hAnsi="宋体"/>
        </w:rPr>
      </w:pPr>
      <w:r>
        <w:rPr>
          <w:rFonts w:hint="eastAsia" w:ascii="宋体" w:hAnsi="宋体"/>
          <w:bCs/>
        </w:rPr>
        <w:t>11.6.</w:t>
      </w:r>
      <w:r>
        <w:rPr>
          <w:rFonts w:ascii="宋体" w:hAnsi="宋体"/>
          <w:bCs/>
        </w:rPr>
        <w:t>3</w:t>
      </w:r>
      <w:r>
        <w:rPr>
          <w:rFonts w:hint="eastAsia" w:ascii="宋体" w:hAnsi="宋体"/>
        </w:rPr>
        <w:t xml:space="preserve">  统一眩光值的计算应符合现行国家标准《建筑照明设计标准》GB50034的规定；计算中涉及的背景亮度、灯具在观察者眼睛方向的亮度、观察者眼睛方向的间接照度等照明参数，其检测方法应符合现行国家标准《照明测量方法》GB/T 5700的规定。 </w:t>
      </w:r>
    </w:p>
    <w:bookmarkEnd w:id="176"/>
    <w:p>
      <w:pPr>
        <w:pStyle w:val="236"/>
        <w:spacing w:line="240" w:lineRule="auto"/>
        <w:ind w:firstLine="0"/>
        <w:rPr>
          <w:rFonts w:eastAsia="PMingLiU"/>
          <w:sz w:val="21"/>
          <w:szCs w:val="21"/>
        </w:rPr>
        <w:sectPr>
          <w:footerReference r:id="rId23" w:type="default"/>
          <w:footerReference r:id="rId24" w:type="even"/>
          <w:pgSz w:w="11900" w:h="16840"/>
          <w:pgMar w:top="1313" w:right="1717" w:bottom="1332" w:left="1738" w:header="0" w:footer="3" w:gutter="0"/>
          <w:cols w:space="720" w:num="1"/>
          <w:docGrid w:linePitch="360" w:charSpace="0"/>
        </w:sectPr>
      </w:pPr>
    </w:p>
    <w:p>
      <w:pPr>
        <w:pStyle w:val="108"/>
        <w:spacing w:before="240" w:after="240"/>
        <w:ind w:left="0"/>
      </w:pPr>
      <w:bookmarkStart w:id="184" w:name="_Toc129698161"/>
      <w:bookmarkStart w:id="185" w:name="_Toc129782133"/>
      <w:bookmarkStart w:id="186" w:name="_Toc129855768"/>
      <w:bookmarkStart w:id="187" w:name="bookmark150"/>
      <w:bookmarkStart w:id="188" w:name="_Toc129855994"/>
      <w:bookmarkStart w:id="189" w:name="bookmark151"/>
      <w:bookmarkStart w:id="190" w:name="bookmark152"/>
      <w:r>
        <w:rPr>
          <w:rFonts w:hint="eastAsia"/>
        </w:rPr>
        <w:t>可再生能源系统检测</w:t>
      </w:r>
      <w:bookmarkEnd w:id="184"/>
      <w:bookmarkEnd w:id="185"/>
      <w:bookmarkEnd w:id="186"/>
      <w:bookmarkEnd w:id="187"/>
      <w:bookmarkEnd w:id="188"/>
      <w:bookmarkEnd w:id="189"/>
      <w:bookmarkEnd w:id="190"/>
    </w:p>
    <w:p>
      <w:pPr>
        <w:pStyle w:val="69"/>
        <w:spacing w:before="120" w:after="120"/>
        <w:rPr>
          <w:lang w:val="zh-CN" w:bidi="zh-CN"/>
        </w:rPr>
      </w:pPr>
      <w:bookmarkStart w:id="191" w:name="bookmark155"/>
      <w:bookmarkStart w:id="192" w:name="bookmark153"/>
      <w:bookmarkStart w:id="193" w:name="bookmark154"/>
      <w:r>
        <w:rPr>
          <w:rFonts w:hint="eastAsia"/>
          <w:lang w:bidi="zh-CN"/>
        </w:rPr>
        <w:t>1</w:t>
      </w:r>
      <w:r>
        <w:rPr>
          <w:lang w:bidi="zh-CN"/>
        </w:rPr>
        <w:t>2</w:t>
      </w:r>
      <w:r>
        <w:rPr>
          <w:rFonts w:hint="eastAsia"/>
          <w:lang w:bidi="zh-CN"/>
        </w:rPr>
        <w:t xml:space="preserve">.1 </w:t>
      </w:r>
      <w:r>
        <w:rPr>
          <w:rFonts w:hint="eastAsia"/>
          <w:lang w:val="zh-CN" w:bidi="zh-CN"/>
        </w:rPr>
        <w:t>一般规定</w:t>
      </w:r>
      <w:bookmarkEnd w:id="191"/>
      <w:bookmarkEnd w:id="192"/>
      <w:bookmarkEnd w:id="193"/>
    </w:p>
    <w:p>
      <w:pPr>
        <w:pStyle w:val="236"/>
        <w:spacing w:line="240" w:lineRule="auto"/>
        <w:ind w:firstLine="0"/>
        <w:rPr>
          <w:rFonts w:eastAsia="PMingLiU"/>
          <w:sz w:val="21"/>
          <w:szCs w:val="21"/>
        </w:rPr>
      </w:pPr>
      <w:r>
        <w:rPr>
          <w:rFonts w:ascii="Times New Roman" w:hAnsi="Times New Roman" w:cs="Times New Roman"/>
          <w:color w:val="000000"/>
          <w:sz w:val="21"/>
          <w:szCs w:val="21"/>
          <w:lang w:val="en-US" w:eastAsia="zh-CN" w:bidi="en-US"/>
        </w:rPr>
        <w:t>12.1.1</w:t>
      </w:r>
      <w:r>
        <w:rPr>
          <w:color w:val="000000"/>
          <w:sz w:val="21"/>
          <w:szCs w:val="21"/>
        </w:rPr>
        <w:t>绿色建筑可再生能源系统包括太阳能热利用系统、太阳能光伏发电系统、地源热泵系统</w:t>
      </w:r>
      <w:r>
        <w:rPr>
          <w:rFonts w:hint="eastAsia"/>
          <w:color w:val="000000"/>
          <w:sz w:val="21"/>
          <w:szCs w:val="21"/>
        </w:rPr>
        <w:t>及空气源热泵热水系统</w:t>
      </w:r>
      <w:r>
        <w:rPr>
          <w:color w:val="000000"/>
          <w:sz w:val="21"/>
          <w:szCs w:val="21"/>
        </w:rPr>
        <w:t>。</w:t>
      </w:r>
    </w:p>
    <w:p>
      <w:pPr>
        <w:pStyle w:val="261"/>
      </w:pPr>
      <w:r>
        <w:rPr>
          <w:color w:val="000000"/>
          <w:lang w:bidi="en-US"/>
        </w:rPr>
        <w:t>12.1.2</w:t>
      </w:r>
      <w:r>
        <w:rPr>
          <w:rFonts w:hint="eastAsia" w:ascii="宋体" w:hAnsi="宋体"/>
          <w:color w:val="000000"/>
        </w:rPr>
        <w:t>可再生能源</w:t>
      </w:r>
      <w:r>
        <w:rPr>
          <w:rFonts w:ascii="宋体" w:hAnsi="宋体"/>
          <w:color w:val="000000"/>
        </w:rPr>
        <w:t>系统检测均</w:t>
      </w:r>
      <w:r>
        <w:rPr>
          <w:rFonts w:hint="eastAsia" w:ascii="宋体" w:hAnsi="宋体"/>
          <w:color w:val="000000"/>
        </w:rPr>
        <w:t>应</w:t>
      </w:r>
      <w:r>
        <w:rPr>
          <w:rFonts w:ascii="宋体" w:hAnsi="宋体"/>
          <w:color w:val="000000"/>
        </w:rPr>
        <w:t>在系统、</w:t>
      </w:r>
      <w:r>
        <w:rPr>
          <w:rFonts w:hint="eastAsia" w:ascii="宋体" w:hAnsi="宋体"/>
          <w:color w:val="000000"/>
        </w:rPr>
        <w:t>设备</w:t>
      </w:r>
      <w:r>
        <w:rPr>
          <w:rFonts w:ascii="宋体" w:hAnsi="宋体"/>
          <w:color w:val="000000"/>
        </w:rPr>
        <w:t>实际运行状态下进行。</w:t>
      </w:r>
    </w:p>
    <w:p>
      <w:pPr>
        <w:pStyle w:val="236"/>
        <w:spacing w:line="240" w:lineRule="auto"/>
        <w:ind w:firstLine="0"/>
        <w:rPr>
          <w:rFonts w:eastAsia="PMingLiU"/>
          <w:sz w:val="21"/>
          <w:szCs w:val="21"/>
        </w:rPr>
      </w:pPr>
    </w:p>
    <w:p>
      <w:pPr>
        <w:pStyle w:val="69"/>
        <w:spacing w:before="120" w:after="120"/>
        <w:rPr>
          <w:lang w:bidi="zh-CN"/>
        </w:rPr>
      </w:pPr>
      <w:bookmarkStart w:id="194" w:name="bookmark157"/>
      <w:bookmarkStart w:id="195" w:name="bookmark158"/>
      <w:bookmarkStart w:id="196" w:name="bookmark156"/>
      <w:r>
        <w:rPr>
          <w:rFonts w:hint="eastAsia"/>
          <w:lang w:bidi="zh-CN"/>
        </w:rPr>
        <w:t>1</w:t>
      </w:r>
      <w:r>
        <w:rPr>
          <w:lang w:bidi="zh-CN"/>
        </w:rPr>
        <w:t>2</w:t>
      </w:r>
      <w:r>
        <w:rPr>
          <w:rFonts w:hint="eastAsia"/>
          <w:lang w:bidi="zh-CN"/>
        </w:rPr>
        <w:t>.2</w:t>
      </w:r>
      <w:r>
        <w:rPr>
          <w:lang w:bidi="zh-CN"/>
        </w:rPr>
        <w:t xml:space="preserve"> </w:t>
      </w:r>
      <w:r>
        <w:rPr>
          <w:rFonts w:hint="eastAsia"/>
          <w:lang w:bidi="zh-CN"/>
        </w:rPr>
        <w:t>太阳能热利用系统检测</w:t>
      </w:r>
      <w:bookmarkEnd w:id="194"/>
      <w:bookmarkEnd w:id="195"/>
      <w:bookmarkEnd w:id="196"/>
    </w:p>
    <w:p>
      <w:pPr>
        <w:pStyle w:val="69"/>
        <w:spacing w:before="120" w:after="120"/>
        <w:outlineLvl w:val="9"/>
        <w:rPr>
          <w:rFonts w:ascii="宋体" w:hAnsi="宋体" w:eastAsia="宋体"/>
          <w:color w:val="000000"/>
        </w:rPr>
      </w:pPr>
      <w:r>
        <w:rPr>
          <w:rFonts w:ascii="宋体" w:hAnsi="宋体" w:eastAsia="宋体"/>
          <w:color w:val="000000"/>
        </w:rPr>
        <w:t>12.2.</w:t>
      </w:r>
      <w:r>
        <w:rPr>
          <w:rFonts w:hint="eastAsia" w:ascii="宋体" w:hAnsi="宋体" w:eastAsia="宋体"/>
          <w:color w:val="000000"/>
        </w:rPr>
        <w:t>1</w:t>
      </w:r>
      <w:r>
        <w:rPr>
          <w:rFonts w:ascii="宋体" w:hAnsi="宋体" w:eastAsia="宋体"/>
          <w:color w:val="000000"/>
        </w:rPr>
        <w:t xml:space="preserve"> </w:t>
      </w:r>
      <w:r>
        <w:rPr>
          <w:rFonts w:hint="eastAsia" w:ascii="宋体" w:hAnsi="宋体" w:eastAsia="宋体"/>
          <w:color w:val="000000"/>
        </w:rPr>
        <w:t>太阳能热利用系统检测应包括集热系统效率、系统总能耗、集热系统得热量、制冷机组制冷量、制冷机组耗热量、贮热水箱热损因数、供热水温度、室内温度等指标，其中制冷机组制冷量、制冷机组耗热量仅适用于太阳能空调系统，供热水温度仅适用于太阳能供热水系统，室内温度仅适用于太阳能采暖或太阳能空调系统。</w:t>
      </w:r>
    </w:p>
    <w:p>
      <w:pPr>
        <w:pStyle w:val="69"/>
        <w:spacing w:before="120" w:after="120"/>
        <w:outlineLvl w:val="9"/>
        <w:rPr>
          <w:rFonts w:ascii="宋体" w:hAnsi="宋体" w:eastAsia="宋体"/>
          <w:szCs w:val="21"/>
        </w:rPr>
      </w:pPr>
      <w:r>
        <w:rPr>
          <w:rFonts w:ascii="宋体" w:hAnsi="宋体" w:eastAsia="宋体"/>
          <w:color w:val="000000"/>
        </w:rPr>
        <w:t>12.2.2</w:t>
      </w:r>
      <w:r>
        <w:rPr>
          <w:rFonts w:hint="eastAsia" w:ascii="宋体" w:hAnsi="宋体" w:eastAsia="宋体"/>
          <w:color w:val="000000"/>
        </w:rPr>
        <w:t>太阳能热利用系统检测应</w:t>
      </w:r>
      <w:r>
        <w:rPr>
          <w:rFonts w:hint="eastAsia" w:ascii="宋体" w:hAnsi="宋体" w:eastAsia="宋体"/>
        </w:rPr>
        <w:t>符合下列规定：</w:t>
      </w:r>
    </w:p>
    <w:p>
      <w:pPr>
        <w:pStyle w:val="178"/>
        <w:numPr>
          <w:ilvl w:val="0"/>
          <w:numId w:val="78"/>
        </w:numPr>
        <w:rPr>
          <w:color w:val="000000" w:themeColor="text1"/>
          <w14:textFill>
            <w14:solidFill>
              <w14:schemeClr w14:val="tx1"/>
            </w14:solidFill>
          </w14:textFill>
        </w:rPr>
      </w:pPr>
      <w:r>
        <w:rPr>
          <w:color w:val="000000"/>
        </w:rPr>
        <w:t xml:space="preserve"> </w:t>
      </w:r>
      <w:r>
        <w:rPr>
          <w:rFonts w:hint="eastAsia"/>
          <w:color w:val="000000"/>
        </w:rPr>
        <w:t>抽样数量：同类型太阳能供热水系统应抽取该类型系统总数量的2%, 且不得少于1</w:t>
      </w:r>
    </w:p>
    <w:p>
      <w:pPr>
        <w:pStyle w:val="178"/>
        <w:numPr>
          <w:ilvl w:val="0"/>
          <w:numId w:val="0"/>
        </w:numPr>
        <w:rPr>
          <w:color w:val="000000" w:themeColor="text1"/>
          <w14:textFill>
            <w14:solidFill>
              <w14:schemeClr w14:val="tx1"/>
            </w14:solidFill>
          </w14:textFill>
        </w:rPr>
      </w:pPr>
      <w:r>
        <w:rPr>
          <w:rFonts w:hint="eastAsia"/>
          <w:color w:val="000000"/>
        </w:rPr>
        <w:t>套。</w:t>
      </w:r>
      <w:r>
        <w:rPr>
          <w:rFonts w:hint="eastAsia"/>
          <w:color w:val="000000" w:themeColor="text1"/>
          <w14:textFill>
            <w14:solidFill>
              <w14:schemeClr w14:val="tx1"/>
            </w14:solidFill>
          </w14:textFill>
        </w:rPr>
        <w:t>同类型太阳能采暖空调系统应抽测该类型系统总数量的5%, 且不得少于1套。</w:t>
      </w:r>
    </w:p>
    <w:p>
      <w:pPr>
        <w:pStyle w:val="178"/>
        <w:numPr>
          <w:ilvl w:val="0"/>
          <w:numId w:val="78"/>
        </w:numPr>
        <w:rPr>
          <w:rFonts w:hAnsi="宋体"/>
          <w:color w:val="000000"/>
        </w:rPr>
      </w:pPr>
      <w:r>
        <w:rPr>
          <w:rFonts w:hAnsi="宋体"/>
          <w:color w:val="000000"/>
        </w:rPr>
        <w:t xml:space="preserve"> </w:t>
      </w:r>
      <w:r>
        <w:rPr>
          <w:rFonts w:hint="eastAsia" w:hAnsi="宋体"/>
          <w:color w:val="000000"/>
        </w:rPr>
        <w:t>检测方法：应符合现行国家标准《可再生能源建筑应用工程评价标准》GB/T 50801的</w:t>
      </w:r>
    </w:p>
    <w:p>
      <w:pPr>
        <w:pStyle w:val="178"/>
        <w:numPr>
          <w:ilvl w:val="0"/>
          <w:numId w:val="0"/>
        </w:numPr>
        <w:ind w:left="425" w:hanging="425"/>
        <w:rPr>
          <w:rFonts w:hAnsi="宋体"/>
          <w:color w:val="000000"/>
        </w:rPr>
      </w:pPr>
      <w:r>
        <w:rPr>
          <w:rFonts w:hint="eastAsia" w:hAnsi="宋体"/>
          <w:color w:val="000000"/>
        </w:rPr>
        <w:t>有关规定。</w:t>
      </w:r>
    </w:p>
    <w:p>
      <w:pPr>
        <w:pStyle w:val="236"/>
        <w:spacing w:line="240" w:lineRule="auto"/>
        <w:ind w:firstLine="0"/>
        <w:rPr>
          <w:rFonts w:eastAsia="PMingLiU"/>
          <w:color w:val="000000"/>
          <w:sz w:val="21"/>
          <w:szCs w:val="21"/>
          <w:lang w:val="en-US" w:bidi="en-US"/>
        </w:rPr>
      </w:pPr>
    </w:p>
    <w:p>
      <w:pPr>
        <w:pStyle w:val="69"/>
        <w:spacing w:before="120" w:after="120"/>
        <w:rPr>
          <w:lang w:bidi="zh-CN"/>
        </w:rPr>
      </w:pPr>
      <w:bookmarkStart w:id="197" w:name="bookmark159"/>
      <w:bookmarkStart w:id="198" w:name="bookmark160"/>
      <w:bookmarkStart w:id="199" w:name="bookmark161"/>
      <w:r>
        <w:rPr>
          <w:rFonts w:hint="eastAsia"/>
          <w:lang w:bidi="zh-CN"/>
        </w:rPr>
        <w:t>1</w:t>
      </w:r>
      <w:r>
        <w:rPr>
          <w:lang w:bidi="zh-CN"/>
        </w:rPr>
        <w:t>2</w:t>
      </w:r>
      <w:r>
        <w:rPr>
          <w:rFonts w:hint="eastAsia"/>
          <w:lang w:bidi="zh-CN"/>
        </w:rPr>
        <w:t>.3</w:t>
      </w:r>
      <w:r>
        <w:rPr>
          <w:lang w:bidi="zh-CN"/>
        </w:rPr>
        <w:t xml:space="preserve"> </w:t>
      </w:r>
      <w:r>
        <w:rPr>
          <w:rFonts w:hint="eastAsia"/>
          <w:lang w:bidi="zh-CN"/>
        </w:rPr>
        <w:t>太阳能光伏系统检测</w:t>
      </w:r>
      <w:bookmarkEnd w:id="197"/>
      <w:bookmarkEnd w:id="198"/>
      <w:bookmarkEnd w:id="199"/>
    </w:p>
    <w:p>
      <w:pPr>
        <w:pStyle w:val="236"/>
        <w:spacing w:line="240" w:lineRule="auto"/>
        <w:ind w:firstLine="0"/>
        <w:rPr>
          <w:rFonts w:eastAsia="PMingLiU"/>
          <w:color w:val="000000"/>
        </w:rPr>
      </w:pPr>
      <w:r>
        <w:rPr>
          <w:color w:val="000000"/>
          <w:sz w:val="21"/>
          <w:szCs w:val="21"/>
          <w:lang w:val="en-US" w:eastAsia="zh-CN" w:bidi="en-US"/>
        </w:rPr>
        <w:t>12.3.</w:t>
      </w:r>
      <w:r>
        <w:rPr>
          <w:rFonts w:hint="eastAsia"/>
          <w:color w:val="000000"/>
          <w:sz w:val="21"/>
          <w:szCs w:val="21"/>
          <w:lang w:val="en-US" w:eastAsia="zh-CN" w:bidi="en-US"/>
        </w:rPr>
        <w:t>1</w:t>
      </w:r>
      <w:r>
        <w:rPr>
          <w:rFonts w:eastAsia="PMingLiU"/>
          <w:color w:val="000000"/>
          <w:sz w:val="21"/>
          <w:szCs w:val="21"/>
        </w:rPr>
        <w:t xml:space="preserve"> </w:t>
      </w:r>
      <w:r>
        <w:rPr>
          <w:rFonts w:hint="eastAsia"/>
          <w:color w:val="000000"/>
          <w:sz w:val="21"/>
          <w:szCs w:val="21"/>
        </w:rPr>
        <w:t>太阳能光伏系统检测指标为</w:t>
      </w:r>
      <w:r>
        <w:rPr>
          <w:rFonts w:hint="eastAsia"/>
          <w:color w:val="000000"/>
        </w:rPr>
        <w:t>光电转换效率。</w:t>
      </w:r>
    </w:p>
    <w:p>
      <w:pPr>
        <w:pStyle w:val="236"/>
        <w:spacing w:line="240" w:lineRule="auto"/>
        <w:ind w:firstLine="0"/>
        <w:rPr>
          <w:rFonts w:eastAsia="PMingLiU"/>
        </w:rPr>
      </w:pPr>
      <w:r>
        <w:rPr>
          <w:rFonts w:hint="eastAsia" w:eastAsiaTheme="minorEastAsia"/>
          <w:color w:val="000000"/>
          <w:lang w:eastAsia="zh-CN"/>
        </w:rPr>
        <w:t>1</w:t>
      </w:r>
      <w:r>
        <w:rPr>
          <w:rFonts w:eastAsia="PMingLiU"/>
          <w:color w:val="000000"/>
        </w:rPr>
        <w:t xml:space="preserve">2.3.2 </w:t>
      </w:r>
      <w:r>
        <w:rPr>
          <w:rFonts w:hint="eastAsia"/>
          <w:color w:val="000000"/>
        </w:rPr>
        <w:t>太阳能光伏系统检测</w:t>
      </w:r>
      <w:r>
        <w:rPr>
          <w:rFonts w:hint="eastAsia"/>
        </w:rPr>
        <w:t>应符合下列规定：</w:t>
      </w:r>
    </w:p>
    <w:p>
      <w:pPr>
        <w:pStyle w:val="178"/>
        <w:numPr>
          <w:ilvl w:val="0"/>
          <w:numId w:val="79"/>
        </w:numPr>
      </w:pPr>
      <w:r>
        <w:t xml:space="preserve"> </w:t>
      </w:r>
      <w:r>
        <w:rPr>
          <w:rFonts w:hint="eastAsia"/>
        </w:rPr>
        <w:t>抽样数量：</w:t>
      </w:r>
      <w:r>
        <w:t>同类型</w:t>
      </w:r>
      <w:r>
        <w:rPr>
          <w:rFonts w:hint="eastAsia"/>
        </w:rPr>
        <w:t>太阳能光伏</w:t>
      </w:r>
      <w:r>
        <w:t>系统</w:t>
      </w:r>
      <w:r>
        <w:rPr>
          <w:rFonts w:hint="eastAsia"/>
        </w:rPr>
        <w:t>应抽取该类型</w:t>
      </w:r>
      <w:r>
        <w:t>总数量的5%, 且不得少于</w:t>
      </w:r>
      <w:r>
        <w:rPr>
          <w:rFonts w:cs="Calibri"/>
        </w:rPr>
        <w:t>1</w:t>
      </w:r>
      <w:r>
        <w:t>套</w:t>
      </w:r>
      <w:r>
        <w:rPr>
          <w:rFonts w:hint="eastAsia"/>
        </w:rPr>
        <w:t>。</w:t>
      </w:r>
    </w:p>
    <w:p>
      <w:pPr>
        <w:pStyle w:val="178"/>
        <w:numPr>
          <w:ilvl w:val="0"/>
          <w:numId w:val="78"/>
        </w:numPr>
        <w:rPr>
          <w:rFonts w:hAnsi="宋体"/>
          <w:color w:val="000000"/>
        </w:rPr>
      </w:pPr>
      <w:r>
        <w:rPr>
          <w:rFonts w:hAnsi="宋体"/>
        </w:rPr>
        <w:t xml:space="preserve"> </w:t>
      </w:r>
      <w:r>
        <w:rPr>
          <w:rFonts w:hint="eastAsia" w:hAnsi="宋体"/>
        </w:rPr>
        <w:t>检测方法：应符合现行国家标准《可再生能源建筑应用工程评价标准》GB/T 50801的</w:t>
      </w:r>
    </w:p>
    <w:p>
      <w:pPr>
        <w:pStyle w:val="178"/>
        <w:numPr>
          <w:ilvl w:val="0"/>
          <w:numId w:val="0"/>
        </w:numPr>
        <w:ind w:left="425" w:hanging="425"/>
        <w:rPr>
          <w:rFonts w:hAnsi="宋体"/>
          <w:color w:val="000000"/>
        </w:rPr>
      </w:pPr>
      <w:r>
        <w:rPr>
          <w:rFonts w:hint="eastAsia" w:hAnsi="宋体"/>
        </w:rPr>
        <w:t>有关规定。</w:t>
      </w:r>
    </w:p>
    <w:p>
      <w:pPr>
        <w:pStyle w:val="236"/>
        <w:spacing w:line="240" w:lineRule="auto"/>
        <w:ind w:firstLine="0"/>
        <w:rPr>
          <w:rFonts w:eastAsia="PMingLiU"/>
          <w:sz w:val="21"/>
          <w:szCs w:val="21"/>
          <w:lang w:val="en-US" w:eastAsia="zh-CN"/>
        </w:rPr>
      </w:pPr>
    </w:p>
    <w:p>
      <w:pPr>
        <w:pStyle w:val="69"/>
        <w:spacing w:before="120" w:after="120"/>
        <w:rPr>
          <w:lang w:bidi="zh-CN"/>
        </w:rPr>
      </w:pPr>
      <w:bookmarkStart w:id="200" w:name="bookmark162"/>
      <w:bookmarkStart w:id="201" w:name="bookmark164"/>
      <w:bookmarkStart w:id="202" w:name="bookmark163"/>
      <w:r>
        <w:rPr>
          <w:rFonts w:hint="eastAsia"/>
          <w:lang w:bidi="zh-CN"/>
        </w:rPr>
        <w:t>1</w:t>
      </w:r>
      <w:r>
        <w:rPr>
          <w:lang w:bidi="zh-CN"/>
        </w:rPr>
        <w:t>2</w:t>
      </w:r>
      <w:r>
        <w:rPr>
          <w:rFonts w:hint="eastAsia"/>
          <w:lang w:bidi="zh-CN"/>
        </w:rPr>
        <w:t>.4</w:t>
      </w:r>
      <w:r>
        <w:rPr>
          <w:lang w:bidi="zh-CN"/>
        </w:rPr>
        <w:t xml:space="preserve"> </w:t>
      </w:r>
      <w:r>
        <w:rPr>
          <w:rFonts w:hint="eastAsia"/>
          <w:lang w:bidi="zh-CN"/>
        </w:rPr>
        <w:t>地源热泵系统检测</w:t>
      </w:r>
      <w:bookmarkEnd w:id="200"/>
      <w:bookmarkEnd w:id="201"/>
      <w:bookmarkEnd w:id="202"/>
    </w:p>
    <w:p>
      <w:pPr>
        <w:pStyle w:val="236"/>
        <w:spacing w:line="240" w:lineRule="auto"/>
        <w:ind w:firstLine="0"/>
        <w:rPr>
          <w:rFonts w:eastAsia="PMingLiU"/>
          <w:color w:val="000000"/>
        </w:rPr>
      </w:pPr>
      <w:r>
        <w:rPr>
          <w:color w:val="000000"/>
          <w:sz w:val="21"/>
          <w:szCs w:val="21"/>
          <w:lang w:val="en-US" w:eastAsia="zh-CN" w:bidi="en-US"/>
        </w:rPr>
        <w:t>12.4.</w:t>
      </w:r>
      <w:r>
        <w:rPr>
          <w:rFonts w:hint="eastAsia"/>
          <w:color w:val="000000"/>
          <w:sz w:val="21"/>
          <w:szCs w:val="21"/>
          <w:lang w:val="en-US" w:eastAsia="zh-CN" w:bidi="en-US"/>
        </w:rPr>
        <w:t>1</w:t>
      </w:r>
      <w:r>
        <w:rPr>
          <w:color w:val="000000"/>
          <w:sz w:val="21"/>
          <w:szCs w:val="21"/>
          <w:lang w:val="en-US" w:eastAsia="zh-CN" w:bidi="en-US"/>
        </w:rPr>
        <w:t xml:space="preserve"> </w:t>
      </w:r>
      <w:r>
        <w:rPr>
          <w:rFonts w:hint="eastAsia"/>
          <w:color w:val="000000"/>
          <w:sz w:val="21"/>
          <w:szCs w:val="21"/>
        </w:rPr>
        <w:t>地源热泵系统检测指标</w:t>
      </w:r>
      <w:r>
        <w:rPr>
          <w:rFonts w:hint="eastAsia"/>
          <w:color w:val="000000"/>
        </w:rPr>
        <w:t>包括热泵机组制热性能系数、热泵机组制冷能效比、热泵系统制热性能系数、热泵系统制冷能效比。</w:t>
      </w:r>
    </w:p>
    <w:p>
      <w:pPr>
        <w:pStyle w:val="236"/>
        <w:spacing w:line="240" w:lineRule="auto"/>
        <w:ind w:firstLine="0"/>
        <w:rPr>
          <w:rFonts w:eastAsia="PMingLiU"/>
        </w:rPr>
      </w:pPr>
      <w:r>
        <w:rPr>
          <w:rFonts w:hint="eastAsia"/>
          <w:color w:val="000000"/>
        </w:rPr>
        <w:t>1</w:t>
      </w:r>
      <w:r>
        <w:rPr>
          <w:color w:val="000000"/>
        </w:rPr>
        <w:t xml:space="preserve">2.4.2 </w:t>
      </w:r>
      <w:r>
        <w:rPr>
          <w:rFonts w:hint="eastAsia"/>
          <w:color w:val="000000"/>
        </w:rPr>
        <w:t>地源热泵系统检测</w:t>
      </w:r>
      <w:r>
        <w:rPr>
          <w:rFonts w:hint="eastAsia"/>
        </w:rPr>
        <w:t>应符合下列规定：</w:t>
      </w:r>
    </w:p>
    <w:p>
      <w:pPr>
        <w:pStyle w:val="178"/>
        <w:numPr>
          <w:ilvl w:val="0"/>
          <w:numId w:val="80"/>
        </w:numPr>
      </w:pPr>
      <w:r>
        <w:rPr>
          <w:rFonts w:hint="eastAsia" w:hAnsi="宋体"/>
          <w:color w:val="000000"/>
        </w:rPr>
        <w:t xml:space="preserve"> 抽样数量：</w:t>
      </w:r>
      <w:r>
        <w:rPr>
          <w:rFonts w:hAnsi="宋体"/>
          <w:color w:val="000000"/>
        </w:rPr>
        <w:t>同类型</w:t>
      </w:r>
      <w:r>
        <w:rPr>
          <w:rFonts w:hint="eastAsia" w:hAnsi="宋体"/>
          <w:color w:val="000000"/>
        </w:rPr>
        <w:t>地源热泵</w:t>
      </w:r>
      <w:r>
        <w:rPr>
          <w:rFonts w:hAnsi="宋体"/>
          <w:color w:val="000000"/>
        </w:rPr>
        <w:t>系统</w:t>
      </w:r>
      <w:r>
        <w:rPr>
          <w:rFonts w:hint="eastAsia" w:hAnsi="宋体"/>
          <w:color w:val="000000"/>
        </w:rPr>
        <w:t>应选取该类型</w:t>
      </w:r>
      <w:r>
        <w:rPr>
          <w:rFonts w:hAnsi="宋体"/>
          <w:color w:val="000000"/>
        </w:rPr>
        <w:t>总数量的</w:t>
      </w:r>
      <w:r>
        <w:rPr>
          <w:color w:val="000000"/>
        </w:rPr>
        <w:t xml:space="preserve">5%, </w:t>
      </w:r>
      <w:r>
        <w:rPr>
          <w:rFonts w:hAnsi="宋体"/>
          <w:color w:val="000000"/>
        </w:rPr>
        <w:t>且不得少于</w:t>
      </w:r>
      <w:r>
        <w:rPr>
          <w:rFonts w:cs="Calibri"/>
          <w:color w:val="000000"/>
        </w:rPr>
        <w:t>1</w:t>
      </w:r>
      <w:r>
        <w:rPr>
          <w:rFonts w:hAnsi="宋体"/>
          <w:color w:val="000000"/>
        </w:rPr>
        <w:t>套</w:t>
      </w:r>
      <w:r>
        <w:rPr>
          <w:rFonts w:hint="eastAsia" w:hAnsi="宋体"/>
          <w:color w:val="000000"/>
        </w:rPr>
        <w:t>。</w:t>
      </w:r>
    </w:p>
    <w:p>
      <w:pPr>
        <w:pStyle w:val="178"/>
        <w:numPr>
          <w:ilvl w:val="0"/>
          <w:numId w:val="78"/>
        </w:numPr>
        <w:rPr>
          <w:rFonts w:hAnsi="宋体"/>
          <w:color w:val="000000"/>
        </w:rPr>
      </w:pPr>
      <w:r>
        <w:rPr>
          <w:rFonts w:hint="eastAsia" w:hAnsi="宋体"/>
          <w:color w:val="000000"/>
        </w:rPr>
        <w:t xml:space="preserve"> 检测方法：</w:t>
      </w:r>
      <w:r>
        <w:rPr>
          <w:rFonts w:hint="eastAsia" w:hAnsi="宋体"/>
        </w:rPr>
        <w:t>应符合现行国家标准《可再生能源建筑应用工程评价标准》GB/T 50801的</w:t>
      </w:r>
    </w:p>
    <w:p>
      <w:pPr>
        <w:pStyle w:val="178"/>
        <w:numPr>
          <w:ilvl w:val="0"/>
          <w:numId w:val="0"/>
        </w:numPr>
        <w:rPr>
          <w:rFonts w:hAnsi="宋体"/>
          <w:color w:val="000000"/>
        </w:rPr>
      </w:pPr>
      <w:r>
        <w:rPr>
          <w:rFonts w:hint="eastAsia" w:hAnsi="宋体"/>
        </w:rPr>
        <w:t>有关规定。</w:t>
      </w:r>
    </w:p>
    <w:p>
      <w:pPr>
        <w:pStyle w:val="236"/>
        <w:spacing w:line="240" w:lineRule="auto"/>
        <w:ind w:firstLine="0"/>
        <w:rPr>
          <w:rFonts w:eastAsia="PMingLiU"/>
          <w:color w:val="000000"/>
          <w:lang w:val="en-US"/>
        </w:rPr>
      </w:pPr>
    </w:p>
    <w:p>
      <w:pPr>
        <w:pStyle w:val="69"/>
        <w:spacing w:before="120" w:after="120"/>
        <w:rPr>
          <w:szCs w:val="21"/>
        </w:rPr>
      </w:pPr>
      <w:r>
        <w:rPr>
          <w:rFonts w:hint="eastAsia"/>
        </w:rPr>
        <w:t xml:space="preserve">12.5 </w:t>
      </w:r>
      <w:r>
        <w:rPr>
          <w:rFonts w:hint="eastAsia" w:hAnsi="黑体"/>
        </w:rPr>
        <w:t>空气源热泵热水系统检测</w:t>
      </w:r>
    </w:p>
    <w:p>
      <w:pPr>
        <w:pStyle w:val="236"/>
        <w:spacing w:line="240" w:lineRule="auto"/>
        <w:ind w:firstLine="0"/>
        <w:rPr>
          <w:rFonts w:eastAsia="PMingLiU"/>
          <w:color w:val="000000"/>
        </w:rPr>
      </w:pPr>
      <w:r>
        <w:rPr>
          <w:rFonts w:hint="eastAsia"/>
          <w:color w:val="000000"/>
          <w:sz w:val="21"/>
          <w:szCs w:val="21"/>
        </w:rPr>
        <w:t xml:space="preserve">12.5.1 </w:t>
      </w:r>
      <w:r>
        <w:rPr>
          <w:rFonts w:hint="eastAsia"/>
        </w:rPr>
        <w:t>空气源</w:t>
      </w:r>
      <w:r>
        <w:rPr>
          <w:rFonts w:hint="eastAsia"/>
          <w:color w:val="000000"/>
          <w:sz w:val="21"/>
          <w:szCs w:val="21"/>
        </w:rPr>
        <w:t>热泵系统检测指标为</w:t>
      </w:r>
      <w:r>
        <w:rPr>
          <w:rFonts w:hint="eastAsia"/>
        </w:rPr>
        <w:t>空气源</w:t>
      </w:r>
      <w:r>
        <w:rPr>
          <w:rFonts w:hint="eastAsia"/>
          <w:color w:val="000000"/>
        </w:rPr>
        <w:t>热泵机组性能系数、贮热水箱保温性能。</w:t>
      </w:r>
    </w:p>
    <w:p>
      <w:pPr>
        <w:pStyle w:val="236"/>
        <w:spacing w:line="240" w:lineRule="auto"/>
        <w:ind w:firstLine="0"/>
        <w:rPr>
          <w:rFonts w:eastAsia="PMingLiU"/>
        </w:rPr>
      </w:pPr>
      <w:r>
        <w:rPr>
          <w:rFonts w:hint="eastAsia"/>
          <w:color w:val="000000"/>
          <w:sz w:val="21"/>
          <w:szCs w:val="21"/>
        </w:rPr>
        <w:t>1</w:t>
      </w:r>
      <w:r>
        <w:rPr>
          <w:color w:val="000000"/>
          <w:sz w:val="21"/>
          <w:szCs w:val="21"/>
        </w:rPr>
        <w:t xml:space="preserve">2.5.2 </w:t>
      </w:r>
      <w:r>
        <w:rPr>
          <w:rFonts w:hint="eastAsia"/>
          <w:color w:val="000000"/>
          <w:sz w:val="21"/>
          <w:szCs w:val="21"/>
        </w:rPr>
        <w:t>空气源热泵系统检测</w:t>
      </w:r>
      <w:r>
        <w:rPr>
          <w:rFonts w:hint="eastAsia"/>
          <w:color w:val="000000"/>
        </w:rPr>
        <w:t>并</w:t>
      </w:r>
      <w:r>
        <w:rPr>
          <w:rFonts w:hint="eastAsia"/>
        </w:rPr>
        <w:t>应符合下列规定：</w:t>
      </w:r>
    </w:p>
    <w:p>
      <w:pPr>
        <w:pStyle w:val="178"/>
        <w:numPr>
          <w:ilvl w:val="0"/>
          <w:numId w:val="81"/>
        </w:numPr>
        <w:tabs>
          <w:tab w:val="clear" w:pos="851"/>
        </w:tabs>
        <w:ind w:left="850" w:hanging="425"/>
        <w:rPr>
          <w:color w:val="000000" w:themeColor="text1"/>
          <w:szCs w:val="21"/>
          <w14:textFill>
            <w14:solidFill>
              <w14:schemeClr w14:val="tx1"/>
            </w14:solidFill>
          </w14:textFill>
        </w:rPr>
      </w:pPr>
      <w:r>
        <w:rPr>
          <w:rFonts w:hint="eastAsia" w:hAnsi="宋体"/>
          <w:color w:val="000000" w:themeColor="text1"/>
          <w14:textFill>
            <w14:solidFill>
              <w14:schemeClr w14:val="tx1"/>
            </w14:solidFill>
          </w14:textFill>
        </w:rPr>
        <w:t xml:space="preserve"> 抽样数量：同类型空气源热泵热水系统应选取该类型总数量的</w:t>
      </w:r>
      <w:r>
        <w:rPr>
          <w:rFonts w:hint="eastAsia"/>
          <w:color w:val="000000" w:themeColor="text1"/>
          <w14:textFill>
            <w14:solidFill>
              <w14:schemeClr w14:val="tx1"/>
            </w14:solidFill>
          </w14:textFill>
        </w:rPr>
        <w:t>5%,</w:t>
      </w:r>
      <w:r>
        <w:rPr>
          <w:rFonts w:hint="eastAsia" w:hAnsi="宋体"/>
          <w:color w:val="000000" w:themeColor="text1"/>
          <w14:textFill>
            <w14:solidFill>
              <w14:schemeClr w14:val="tx1"/>
            </w14:solidFill>
          </w14:textFill>
        </w:rPr>
        <w:t>且不得少于</w:t>
      </w:r>
      <w:r>
        <w:rPr>
          <w:rFonts w:hint="eastAsia" w:cs="Calibri"/>
          <w:color w:val="000000" w:themeColor="text1"/>
          <w14:textFill>
            <w14:solidFill>
              <w14:schemeClr w14:val="tx1"/>
            </w14:solidFill>
          </w14:textFill>
        </w:rPr>
        <w:t>1</w:t>
      </w:r>
      <w:r>
        <w:rPr>
          <w:rFonts w:hint="eastAsia" w:hAnsi="宋体"/>
          <w:color w:val="000000" w:themeColor="text1"/>
          <w14:textFill>
            <w14:solidFill>
              <w14:schemeClr w14:val="tx1"/>
            </w14:solidFill>
          </w14:textFill>
        </w:rPr>
        <w:t>套。</w:t>
      </w:r>
    </w:p>
    <w:p>
      <w:pPr>
        <w:pStyle w:val="178"/>
        <w:numPr>
          <w:ilvl w:val="0"/>
          <w:numId w:val="81"/>
        </w:numPr>
        <w:tabs>
          <w:tab w:val="clear" w:pos="851"/>
        </w:tabs>
        <w:ind w:left="850" w:hanging="425"/>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 检测方法：应符合本文件附录</w:t>
      </w:r>
      <w:r>
        <w:rPr>
          <w:rFonts w:hint="eastAsia" w:cs="Calibri"/>
          <w:color w:val="000000" w:themeColor="text1"/>
          <w14:textFill>
            <w14:solidFill>
              <w14:schemeClr w14:val="tx1"/>
            </w14:solidFill>
          </w14:textFill>
        </w:rPr>
        <w:t>E</w:t>
      </w:r>
      <w:r>
        <w:rPr>
          <w:rFonts w:hint="eastAsia" w:hAnsi="宋体"/>
          <w:color w:val="000000" w:themeColor="text1"/>
          <w14:textFill>
            <w14:solidFill>
              <w14:schemeClr w14:val="tx1"/>
            </w14:solidFill>
          </w14:textFill>
        </w:rPr>
        <w:t>的规定。</w:t>
      </w:r>
    </w:p>
    <w:p>
      <w:pPr>
        <w:pStyle w:val="236"/>
        <w:spacing w:line="240" w:lineRule="auto"/>
        <w:ind w:firstLine="0"/>
        <w:rPr>
          <w:rFonts w:eastAsia="PMingLiU"/>
          <w:color w:val="000000"/>
          <w:lang w:val="en-US"/>
        </w:rPr>
        <w:sectPr>
          <w:pgSz w:w="11900" w:h="16840"/>
          <w:pgMar w:top="1313" w:right="1717" w:bottom="1332" w:left="1738" w:header="0" w:footer="3" w:gutter="0"/>
          <w:cols w:space="720" w:num="1"/>
          <w:docGrid w:linePitch="360" w:charSpace="0"/>
        </w:sectPr>
      </w:pPr>
    </w:p>
    <w:p>
      <w:pPr>
        <w:pStyle w:val="108"/>
        <w:spacing w:before="240" w:after="240"/>
        <w:ind w:left="0"/>
        <w:rPr>
          <w:szCs w:val="21"/>
        </w:rPr>
      </w:pPr>
      <w:bookmarkStart w:id="203" w:name="_Toc129855995"/>
      <w:bookmarkStart w:id="204" w:name="_Toc129782134"/>
      <w:bookmarkStart w:id="205" w:name="_Toc129855769"/>
      <w:bookmarkStart w:id="206" w:name="_Toc129698162"/>
      <w:r>
        <w:rPr>
          <w:rFonts w:hint="eastAsia" w:hAnsi="黑体"/>
        </w:rPr>
        <w:t>监测与控制系统性能检测</w:t>
      </w:r>
      <w:bookmarkEnd w:id="203"/>
      <w:bookmarkEnd w:id="204"/>
      <w:bookmarkEnd w:id="205"/>
      <w:bookmarkEnd w:id="206"/>
    </w:p>
    <w:p>
      <w:pPr>
        <w:pStyle w:val="69"/>
        <w:spacing w:before="120" w:after="120"/>
      </w:pPr>
      <w:r>
        <w:rPr>
          <w:rFonts w:hint="eastAsia" w:hAnsi="黑体"/>
        </w:rPr>
        <w:t>1</w:t>
      </w:r>
      <w:r>
        <w:rPr>
          <w:rFonts w:hint="eastAsia"/>
        </w:rPr>
        <w:t>3</w:t>
      </w:r>
      <w:r>
        <w:rPr>
          <w:rFonts w:hint="eastAsia" w:hAnsi="黑体"/>
        </w:rPr>
        <w:t>.1 一般规定</w:t>
      </w:r>
    </w:p>
    <w:p>
      <w:pPr>
        <w:pStyle w:val="236"/>
        <w:spacing w:line="240" w:lineRule="auto"/>
        <w:ind w:firstLine="0"/>
        <w:rPr>
          <w:sz w:val="21"/>
          <w:szCs w:val="21"/>
        </w:rPr>
      </w:pPr>
      <w:r>
        <w:rPr>
          <w:rFonts w:hint="eastAsia"/>
          <w:color w:val="000000"/>
          <w:sz w:val="21"/>
          <w:szCs w:val="21"/>
        </w:rPr>
        <w:t>13.1.1绿色建筑的监测与控制系统</w:t>
      </w:r>
      <w:r>
        <w:rPr>
          <w:rFonts w:hint="eastAsia"/>
        </w:rPr>
        <w:t>性能检测</w:t>
      </w:r>
      <w:r>
        <w:rPr>
          <w:rFonts w:hint="eastAsia"/>
          <w:color w:val="000000"/>
          <w:sz w:val="21"/>
          <w:szCs w:val="21"/>
        </w:rPr>
        <w:t>宜包括室内空气质量监控系统、水质在线监测系统、照明控制系统的</w:t>
      </w:r>
      <w:r>
        <w:rPr>
          <w:rFonts w:hint="eastAsia"/>
        </w:rPr>
        <w:t>检测</w:t>
      </w:r>
      <w:r>
        <w:rPr>
          <w:rFonts w:hint="eastAsia"/>
          <w:color w:val="000000"/>
          <w:sz w:val="21"/>
          <w:szCs w:val="21"/>
        </w:rPr>
        <w:t>。</w:t>
      </w:r>
    </w:p>
    <w:p>
      <w:pPr>
        <w:pStyle w:val="236"/>
        <w:spacing w:line="240" w:lineRule="auto"/>
        <w:ind w:firstLine="0"/>
        <w:rPr>
          <w:color w:val="000000"/>
          <w:sz w:val="21"/>
          <w:szCs w:val="21"/>
        </w:rPr>
      </w:pPr>
      <w:r>
        <w:rPr>
          <w:rFonts w:hint="eastAsia"/>
          <w:color w:val="000000"/>
          <w:sz w:val="21"/>
          <w:szCs w:val="21"/>
        </w:rPr>
        <w:t>13.1.2绿色建筑的监控系统宜采取现场检测方式进行。</w:t>
      </w:r>
    </w:p>
    <w:p>
      <w:pPr>
        <w:pStyle w:val="236"/>
        <w:spacing w:line="240" w:lineRule="auto"/>
        <w:ind w:firstLine="0"/>
        <w:rPr>
          <w:color w:val="000000"/>
          <w:sz w:val="21"/>
          <w:szCs w:val="21"/>
        </w:rPr>
      </w:pPr>
      <w:r>
        <w:rPr>
          <w:rFonts w:hint="eastAsia"/>
          <w:color w:val="000000"/>
          <w:sz w:val="21"/>
          <w:szCs w:val="21"/>
        </w:rPr>
        <w:t>13.1.3绿色建筑的监控系统现场检测应在监控系统调试完成后进行。</w:t>
      </w:r>
    </w:p>
    <w:p>
      <w:pPr>
        <w:pStyle w:val="69"/>
        <w:spacing w:before="120" w:after="120"/>
        <w:rPr>
          <w:szCs w:val="21"/>
        </w:rPr>
      </w:pPr>
      <w:r>
        <w:rPr>
          <w:rFonts w:hint="eastAsia" w:hAnsi="黑体"/>
        </w:rPr>
        <w:t>1</w:t>
      </w:r>
      <w:r>
        <w:rPr>
          <w:rFonts w:hint="eastAsia"/>
        </w:rPr>
        <w:t>3</w:t>
      </w:r>
      <w:r>
        <w:rPr>
          <w:rFonts w:hint="eastAsia" w:hAnsi="黑体"/>
        </w:rPr>
        <w:t>.2</w:t>
      </w:r>
      <w:r>
        <w:rPr>
          <w:rFonts w:hint="eastAsia"/>
        </w:rPr>
        <w:t xml:space="preserve"> </w:t>
      </w:r>
      <w:r>
        <w:rPr>
          <w:rFonts w:hint="eastAsia" w:hAnsi="黑体"/>
        </w:rPr>
        <w:t>室内空气质量监控系统</w:t>
      </w:r>
    </w:p>
    <w:p>
      <w:pPr>
        <w:pStyle w:val="236"/>
        <w:spacing w:line="240" w:lineRule="auto"/>
        <w:ind w:firstLine="0"/>
        <w:jc w:val="left"/>
        <w:rPr>
          <w:rFonts w:eastAsia="PMingLiU"/>
          <w:color w:val="000000"/>
          <w:sz w:val="21"/>
          <w:szCs w:val="21"/>
        </w:rPr>
      </w:pPr>
      <w:r>
        <w:rPr>
          <w:rFonts w:hint="eastAsia"/>
          <w:color w:val="000000"/>
          <w:sz w:val="21"/>
          <w:szCs w:val="21"/>
        </w:rPr>
        <w:t>13.2.1室内空气质量监控系统检测，应符合下列规定：</w:t>
      </w:r>
    </w:p>
    <w:p>
      <w:pPr>
        <w:pStyle w:val="178"/>
        <w:numPr>
          <w:ilvl w:val="0"/>
          <w:numId w:val="82"/>
        </w:numPr>
      </w:pPr>
      <w:r>
        <w:t xml:space="preserve"> </w:t>
      </w:r>
      <w:r>
        <w:rPr>
          <w:rFonts w:hint="eastAsia"/>
        </w:rPr>
        <w:t>抽样数量：应为监测回路的20%抽测，且不应小于2个回路。</w:t>
      </w:r>
    </w:p>
    <w:p>
      <w:pPr>
        <w:pStyle w:val="178"/>
        <w:numPr>
          <w:ilvl w:val="0"/>
          <w:numId w:val="82"/>
        </w:numPr>
        <w:rPr>
          <w:szCs w:val="21"/>
        </w:rPr>
      </w:pPr>
      <w:r>
        <w:t xml:space="preserve"> </w:t>
      </w:r>
      <w:r>
        <w:rPr>
          <w:rFonts w:hint="eastAsia"/>
        </w:rPr>
        <w:t>检测方法：</w:t>
      </w:r>
      <w:r>
        <w:rPr>
          <w:rFonts w:hint="eastAsia"/>
          <w:color w:val="000000"/>
          <w:szCs w:val="21"/>
        </w:rPr>
        <w:t>采用测量仪表对所抽取系统上显示的监测参数进行比对；对比时间不应</w:t>
      </w:r>
    </w:p>
    <w:p>
      <w:pPr>
        <w:pStyle w:val="178"/>
        <w:numPr>
          <w:ilvl w:val="0"/>
          <w:numId w:val="0"/>
        </w:numPr>
        <w:rPr>
          <w:szCs w:val="21"/>
        </w:rPr>
      </w:pPr>
      <w:r>
        <w:rPr>
          <w:rFonts w:hint="eastAsia"/>
          <w:color w:val="000000"/>
          <w:szCs w:val="21"/>
        </w:rPr>
        <w:t>少于10</w:t>
      </w:r>
      <w:r>
        <w:rPr>
          <w:rFonts w:hint="eastAsia" w:eastAsia="PMingLiU"/>
          <w:color w:val="000000"/>
          <w:szCs w:val="21"/>
        </w:rPr>
        <w:t>min</w:t>
      </w:r>
      <w:r>
        <w:rPr>
          <w:rFonts w:hint="eastAsia"/>
          <w:color w:val="000000"/>
          <w:szCs w:val="21"/>
        </w:rPr>
        <w:t>。</w:t>
      </w:r>
    </w:p>
    <w:p>
      <w:pPr>
        <w:pStyle w:val="69"/>
        <w:spacing w:before="120" w:after="120"/>
        <w:rPr>
          <w:szCs w:val="21"/>
        </w:rPr>
      </w:pPr>
      <w:r>
        <w:rPr>
          <w:rFonts w:hint="eastAsia" w:hAnsi="黑体"/>
        </w:rPr>
        <w:t>1</w:t>
      </w:r>
      <w:r>
        <w:rPr>
          <w:rFonts w:hint="eastAsia"/>
        </w:rPr>
        <w:t>3</w:t>
      </w:r>
      <w:r>
        <w:rPr>
          <w:rFonts w:hint="eastAsia" w:hAnsi="黑体"/>
        </w:rPr>
        <w:t>.3</w:t>
      </w:r>
      <w:r>
        <w:rPr>
          <w:rFonts w:hint="eastAsia"/>
        </w:rPr>
        <w:t xml:space="preserve"> </w:t>
      </w:r>
      <w:r>
        <w:rPr>
          <w:rFonts w:hint="eastAsia" w:hAnsi="黑体"/>
        </w:rPr>
        <w:t>水质在线监测系统</w:t>
      </w:r>
    </w:p>
    <w:p>
      <w:pPr>
        <w:pStyle w:val="236"/>
        <w:spacing w:line="240" w:lineRule="auto"/>
        <w:ind w:firstLine="0"/>
        <w:rPr>
          <w:color w:val="000000"/>
          <w:sz w:val="21"/>
          <w:szCs w:val="21"/>
        </w:rPr>
      </w:pPr>
      <w:r>
        <w:rPr>
          <w:rFonts w:hint="eastAsia"/>
          <w:color w:val="000000"/>
          <w:sz w:val="21"/>
          <w:szCs w:val="21"/>
        </w:rPr>
        <w:t>13.3.1水质在线监测系统检测，应符合下列规定：</w:t>
      </w:r>
    </w:p>
    <w:p>
      <w:pPr>
        <w:pStyle w:val="178"/>
        <w:numPr>
          <w:ilvl w:val="0"/>
          <w:numId w:val="83"/>
        </w:numPr>
        <w:rPr>
          <w:rFonts w:eastAsia="PMingLiU"/>
          <w:color w:val="000000"/>
          <w:szCs w:val="21"/>
        </w:rPr>
      </w:pPr>
      <w:r>
        <w:rPr>
          <w:color w:val="000000"/>
          <w:szCs w:val="21"/>
        </w:rPr>
        <w:t xml:space="preserve"> </w:t>
      </w:r>
      <w:r>
        <w:rPr>
          <w:rFonts w:hint="eastAsia"/>
          <w:color w:val="000000"/>
          <w:szCs w:val="21"/>
        </w:rPr>
        <w:t>抽样数量：应为监测回路的20%抽测，且不应小于2个回路。</w:t>
      </w:r>
    </w:p>
    <w:p>
      <w:pPr>
        <w:pStyle w:val="178"/>
        <w:numPr>
          <w:ilvl w:val="0"/>
          <w:numId w:val="82"/>
        </w:numPr>
        <w:rPr>
          <w:szCs w:val="21"/>
        </w:rPr>
      </w:pPr>
      <w:r>
        <w:t xml:space="preserve"> </w:t>
      </w:r>
      <w:r>
        <w:rPr>
          <w:rFonts w:hint="eastAsia"/>
        </w:rPr>
        <w:t>检测方法：</w:t>
      </w:r>
      <w:r>
        <w:rPr>
          <w:rFonts w:hint="eastAsia"/>
          <w:color w:val="000000"/>
          <w:szCs w:val="21"/>
        </w:rPr>
        <w:t>应采用现场采样结合实验室分析或者直接测量仪表现场测试的方法对所</w:t>
      </w:r>
    </w:p>
    <w:p>
      <w:pPr>
        <w:pStyle w:val="178"/>
        <w:numPr>
          <w:ilvl w:val="0"/>
          <w:numId w:val="0"/>
        </w:numPr>
        <w:rPr>
          <w:szCs w:val="21"/>
        </w:rPr>
      </w:pPr>
      <w:r>
        <w:rPr>
          <w:rFonts w:hint="eastAsia"/>
          <w:color w:val="000000"/>
          <w:szCs w:val="21"/>
        </w:rPr>
        <w:t>抽取系统上显示的监测参数进行比对；对比时间不应少于10min。</w:t>
      </w:r>
    </w:p>
    <w:p>
      <w:pPr>
        <w:pStyle w:val="69"/>
        <w:spacing w:before="120" w:after="120"/>
        <w:rPr>
          <w:szCs w:val="21"/>
        </w:rPr>
      </w:pPr>
      <w:r>
        <w:rPr>
          <w:rFonts w:hint="eastAsia" w:hAnsi="黑体"/>
        </w:rPr>
        <w:t>1</w:t>
      </w:r>
      <w:r>
        <w:rPr>
          <w:rFonts w:hint="eastAsia"/>
        </w:rPr>
        <w:t>3</w:t>
      </w:r>
      <w:r>
        <w:rPr>
          <w:rFonts w:hint="eastAsia" w:hAnsi="黑体"/>
        </w:rPr>
        <w:t>.4</w:t>
      </w:r>
      <w:r>
        <w:rPr>
          <w:rFonts w:hint="eastAsia"/>
        </w:rPr>
        <w:t xml:space="preserve"> </w:t>
      </w:r>
      <w:r>
        <w:rPr>
          <w:rFonts w:hint="eastAsia" w:hAnsi="黑体"/>
        </w:rPr>
        <w:t>照明控制系统</w:t>
      </w:r>
    </w:p>
    <w:p>
      <w:pPr>
        <w:pStyle w:val="236"/>
        <w:spacing w:line="240" w:lineRule="auto"/>
        <w:rPr>
          <w:color w:val="000000"/>
          <w:sz w:val="21"/>
          <w:szCs w:val="21"/>
        </w:rPr>
      </w:pPr>
      <w:r>
        <w:rPr>
          <w:rFonts w:hint="eastAsia"/>
          <w:color w:val="000000"/>
          <w:sz w:val="21"/>
          <w:szCs w:val="21"/>
        </w:rPr>
        <w:t>13.4.1照明控制系统检测针对人工照明随天然光照度变化自动调节的智能照明系统，检测指标宜为室内照度，应符合下列规定：</w:t>
      </w:r>
    </w:p>
    <w:p>
      <w:pPr>
        <w:pStyle w:val="178"/>
        <w:numPr>
          <w:ilvl w:val="0"/>
          <w:numId w:val="84"/>
        </w:numPr>
        <w:rPr>
          <w:color w:val="000000"/>
          <w:szCs w:val="21"/>
        </w:rPr>
      </w:pPr>
      <w:r>
        <w:rPr>
          <w:color w:val="000000"/>
          <w:szCs w:val="21"/>
        </w:rPr>
        <w:t xml:space="preserve"> </w:t>
      </w:r>
      <w:r>
        <w:rPr>
          <w:rFonts w:hint="eastAsia"/>
          <w:color w:val="000000"/>
          <w:szCs w:val="21"/>
        </w:rPr>
        <w:t>抽样数量：每类照度自动调节的功能房间应至少抽取1间进行检测。</w:t>
      </w:r>
    </w:p>
    <w:p>
      <w:pPr>
        <w:pStyle w:val="178"/>
        <w:numPr>
          <w:ilvl w:val="0"/>
          <w:numId w:val="82"/>
        </w:numPr>
        <w:rPr>
          <w:vanish/>
        </w:rPr>
      </w:pPr>
      <w:r>
        <w:t xml:space="preserve"> </w:t>
      </w:r>
      <w:r>
        <w:rPr>
          <w:rFonts w:hint="eastAsia" w:hAnsi="宋体"/>
        </w:rPr>
        <w:t>检测方法：</w:t>
      </w:r>
      <w:r>
        <w:rPr>
          <w:rFonts w:hint="eastAsia" w:hAnsi="宋体" w:cs="黑体"/>
          <w:color w:val="000000"/>
        </w:rPr>
        <w:t>应符合现行国家标准《照明测量方法》</w:t>
      </w:r>
      <w:r>
        <w:rPr>
          <w:rFonts w:hint="eastAsia" w:cs="黑体"/>
          <w:color w:val="000000"/>
        </w:rPr>
        <w:t xml:space="preserve"> GB/T 5700</w:t>
      </w:r>
      <w:r>
        <w:rPr>
          <w:rFonts w:hint="eastAsia" w:hAnsi="宋体" w:cs="黑体"/>
          <w:color w:val="000000"/>
        </w:rPr>
        <w:t>中的有关规定</w:t>
      </w:r>
      <w:bookmarkEnd w:id="27"/>
      <w:bookmarkEnd w:id="177"/>
      <w:bookmarkEnd w:id="178"/>
      <w:bookmarkEnd w:id="179"/>
      <w:bookmarkStart w:id="207" w:name="BookMark5"/>
      <w:r>
        <w:rPr>
          <w:rFonts w:hint="eastAsia" w:hAnsi="宋体" w:cs="黑体"/>
          <w:color w:val="000000"/>
        </w:rPr>
        <w:t>。</w:t>
      </w:r>
    </w:p>
    <w:p>
      <w:pPr>
        <w:pStyle w:val="60"/>
        <w:ind w:firstLine="0" w:firstLineChars="0"/>
        <w:sectPr>
          <w:headerReference r:id="rId25" w:type="default"/>
          <w:footerReference r:id="rId27" w:type="default"/>
          <w:headerReference r:id="rId26" w:type="even"/>
          <w:footerReference r:id="rId28" w:type="even"/>
          <w:pgSz w:w="11900" w:h="16840"/>
          <w:pgMar w:top="1460" w:right="1780" w:bottom="1460" w:left="1780" w:header="1032" w:footer="3" w:gutter="0"/>
          <w:cols w:space="720" w:num="1"/>
          <w:docGrid w:linePitch="360" w:charSpace="0"/>
        </w:sectPr>
      </w:pPr>
    </w:p>
    <w:p>
      <w:pPr>
        <w:pStyle w:val="202"/>
        <w:rPr>
          <w:vanish w:val="0"/>
        </w:rPr>
      </w:pPr>
    </w:p>
    <w:p>
      <w:pPr>
        <w:pStyle w:val="203"/>
        <w:rPr>
          <w:vanish w:val="0"/>
        </w:rPr>
      </w:pPr>
    </w:p>
    <w:p>
      <w:pPr>
        <w:pStyle w:val="80"/>
        <w:spacing w:before="60" w:after="120"/>
        <w:ind w:left="0"/>
      </w:pPr>
      <w:r>
        <w:br w:type="textWrapping"/>
      </w:r>
      <w:bookmarkStart w:id="208" w:name="_Toc129855770"/>
      <w:bookmarkStart w:id="209" w:name="_Toc129855996"/>
      <w:bookmarkStart w:id="210" w:name="_Toc129698163"/>
      <w:bookmarkStart w:id="211" w:name="_Toc129782135"/>
      <w:r>
        <w:rPr>
          <w:rFonts w:hint="eastAsia"/>
        </w:rPr>
        <w:t>（规范性）</w:t>
      </w:r>
      <w:r>
        <w:br w:type="textWrapping"/>
      </w:r>
      <w:r>
        <w:rPr>
          <w:rFonts w:hint="eastAsia"/>
        </w:rPr>
        <w:t>透水混凝土渗透系数检测方法</w:t>
      </w:r>
      <w:bookmarkEnd w:id="208"/>
      <w:bookmarkEnd w:id="209"/>
      <w:bookmarkEnd w:id="210"/>
      <w:bookmarkEnd w:id="211"/>
    </w:p>
    <w:p>
      <w:pPr>
        <w:pStyle w:val="260"/>
        <w:numPr>
          <w:ilvl w:val="0"/>
          <w:numId w:val="85"/>
        </w:numPr>
        <w:autoSpaceDE w:val="0"/>
        <w:spacing w:line="240" w:lineRule="auto"/>
        <w:ind w:firstLineChars="0"/>
        <w:jc w:val="left"/>
        <w:rPr>
          <w:rFonts w:ascii="宋体" w:hAnsi="宋体"/>
        </w:rPr>
      </w:pPr>
      <w:r>
        <w:rPr>
          <w:rFonts w:hint="eastAsia" w:ascii="宋体" w:hAnsi="宋体"/>
        </w:rPr>
        <w:t>仪具与材料技术要求</w:t>
      </w:r>
    </w:p>
    <w:p>
      <w:pPr>
        <w:pStyle w:val="178"/>
        <w:numPr>
          <w:ilvl w:val="0"/>
          <w:numId w:val="86"/>
        </w:numPr>
      </w:pPr>
      <w:r>
        <w:rPr>
          <w:rFonts w:hint="eastAsia"/>
        </w:rPr>
        <w:t xml:space="preserve"> 路面渗水仪：形状及尺寸如图A.0.1所示。上部盛水量筒由透明有机玻璃制成，容</w:t>
      </w:r>
    </w:p>
    <w:p>
      <w:pPr>
        <w:pStyle w:val="178"/>
        <w:numPr>
          <w:ilvl w:val="0"/>
          <w:numId w:val="0"/>
        </w:numPr>
      </w:pPr>
      <w:r>
        <w:rPr>
          <w:rFonts w:hint="eastAsia"/>
        </w:rPr>
        <w:t>积600ml，上有刻度，在100ml及500ml处有粗标线，下方通过φ10mm的细管与底座相接，中间有一开关。量筒通过支架连接，底座下方开口内径为150mm，外径220mm，仪器附不锈钢圈压重两个，每个质量约5kg，内径为160mm。</w:t>
      </w:r>
    </w:p>
    <w:p>
      <w:pPr>
        <w:autoSpaceDE w:val="0"/>
        <w:spacing w:line="240" w:lineRule="auto"/>
        <w:jc w:val="center"/>
        <w:rPr>
          <w:rFonts w:ascii="楷体" w:hAnsi="楷体" w:eastAsia="楷体"/>
          <w:sz w:val="30"/>
          <w:szCs w:val="30"/>
        </w:rPr>
      </w:pPr>
      <w:r>
        <w:drawing>
          <wp:inline distT="0" distB="0" distL="0" distR="0">
            <wp:extent cx="3628390" cy="4381500"/>
            <wp:effectExtent l="0" t="0" r="0" b="0"/>
            <wp:docPr id="245" name="图片 24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true"/>
                    </pic:cNvPicPr>
                  </pic:nvPicPr>
                  <pic:blipFill>
                    <a:blip r:embed="rId30"/>
                    <a:stretch>
                      <a:fillRect/>
                    </a:stretch>
                  </pic:blipFill>
                  <pic:spPr>
                    <a:xfrm>
                      <a:off x="0" y="0"/>
                      <a:ext cx="3635359" cy="4389732"/>
                    </a:xfrm>
                    <a:prstGeom prst="rect">
                      <a:avLst/>
                    </a:prstGeom>
                  </pic:spPr>
                </pic:pic>
              </a:graphicData>
            </a:graphic>
          </wp:inline>
        </w:drawing>
      </w:r>
    </w:p>
    <w:p>
      <w:pPr>
        <w:adjustRightInd/>
        <w:spacing w:line="240" w:lineRule="auto"/>
        <w:ind w:firstLine="1260"/>
        <w:jc w:val="left"/>
        <w:rPr>
          <w:rFonts w:ascii="宋体" w:hAnsi="宋体"/>
        </w:rPr>
      </w:pPr>
      <w:r>
        <w:rPr>
          <w:rFonts w:hint="eastAsia" w:ascii="宋体" w:hAnsi="宋体"/>
        </w:rPr>
        <w:t>1-盛水量筒；2-螺纹连接；3-顶板；4-阀；5-立柱支架；6-压重钢圈；</w:t>
      </w:r>
    </w:p>
    <w:p>
      <w:pPr>
        <w:ind w:firstLine="1260"/>
      </w:pPr>
      <w:r>
        <w:rPr>
          <w:rFonts w:hint="eastAsia"/>
        </w:rPr>
        <w:t>7-底座；8-密封材料；9-排气孔；10-套环</w:t>
      </w:r>
    </w:p>
    <w:p>
      <w:pPr>
        <w:jc w:val="center"/>
        <w:rPr>
          <w:rFonts w:ascii="宋体" w:hAnsi="宋体"/>
          <w:b/>
          <w:bCs/>
          <w:sz w:val="24"/>
          <w:szCs w:val="24"/>
        </w:rPr>
      </w:pPr>
      <w:r>
        <w:rPr>
          <w:rFonts w:hint="eastAsia" w:ascii="宋体" w:hAnsi="宋体"/>
          <w:sz w:val="24"/>
          <w:szCs w:val="24"/>
        </w:rPr>
        <w:t>图C.0.1 渗水仪结构图</w:t>
      </w:r>
    </w:p>
    <w:p>
      <w:pPr>
        <w:pStyle w:val="178"/>
        <w:numPr>
          <w:ilvl w:val="0"/>
          <w:numId w:val="86"/>
        </w:numPr>
        <w:rPr>
          <w:rFonts w:hAnsi="宋体"/>
        </w:rPr>
      </w:pPr>
      <w:r>
        <w:rPr>
          <w:rFonts w:hAnsi="宋体"/>
          <w:b/>
          <w:bCs/>
        </w:rPr>
        <w:t xml:space="preserve"> </w:t>
      </w:r>
      <w:r>
        <w:rPr>
          <w:rFonts w:hint="eastAsia" w:hAnsi="宋体"/>
        </w:rPr>
        <w:t>套环：金属圆环，宽度5mm，内径145mm，主要防止密封材料被挤压进入测试面而导</w:t>
      </w:r>
    </w:p>
    <w:p>
      <w:pPr>
        <w:pStyle w:val="178"/>
        <w:numPr>
          <w:ilvl w:val="0"/>
          <w:numId w:val="0"/>
        </w:numPr>
        <w:rPr>
          <w:rFonts w:hAnsi="宋体"/>
        </w:rPr>
      </w:pPr>
      <w:r>
        <w:rPr>
          <w:rFonts w:hint="eastAsia" w:hAnsi="宋体"/>
        </w:rPr>
        <w:t>致渗水面积不一致。</w:t>
      </w:r>
    </w:p>
    <w:p>
      <w:pPr>
        <w:pStyle w:val="178"/>
        <w:numPr>
          <w:ilvl w:val="0"/>
          <w:numId w:val="86"/>
        </w:numPr>
        <w:rPr>
          <w:rFonts w:hAnsi="宋体"/>
        </w:rPr>
      </w:pPr>
      <w:r>
        <w:rPr>
          <w:rFonts w:hint="eastAsia" w:hAnsi="宋体"/>
          <w:b/>
          <w:bCs/>
        </w:rPr>
        <w:t xml:space="preserve"> </w:t>
      </w:r>
      <w:r>
        <w:rPr>
          <w:rFonts w:hint="eastAsia" w:hAnsi="宋体"/>
        </w:rPr>
        <w:t>水筒及大漏斗。</w:t>
      </w:r>
    </w:p>
    <w:p>
      <w:pPr>
        <w:pStyle w:val="178"/>
        <w:numPr>
          <w:ilvl w:val="0"/>
          <w:numId w:val="86"/>
        </w:numPr>
        <w:rPr>
          <w:rFonts w:hAnsi="宋体"/>
          <w:b/>
          <w:bCs/>
        </w:rPr>
      </w:pPr>
      <w:r>
        <w:rPr>
          <w:rFonts w:hint="eastAsia" w:hAnsi="宋体"/>
          <w:b/>
          <w:bCs/>
        </w:rPr>
        <w:t xml:space="preserve"> </w:t>
      </w:r>
      <w:r>
        <w:rPr>
          <w:rFonts w:hint="eastAsia" w:hAnsi="宋体"/>
        </w:rPr>
        <w:t>秒表。</w:t>
      </w:r>
    </w:p>
    <w:p>
      <w:pPr>
        <w:pStyle w:val="178"/>
        <w:numPr>
          <w:ilvl w:val="0"/>
          <w:numId w:val="86"/>
        </w:numPr>
        <w:rPr>
          <w:rFonts w:hAnsi="宋体"/>
          <w:b/>
          <w:bCs/>
        </w:rPr>
      </w:pPr>
      <w:r>
        <w:rPr>
          <w:rFonts w:hint="eastAsia" w:hAnsi="宋体"/>
          <w:b/>
          <w:bCs/>
        </w:rPr>
        <w:t xml:space="preserve"> </w:t>
      </w:r>
      <w:r>
        <w:rPr>
          <w:rFonts w:hint="eastAsia" w:hAnsi="宋体"/>
        </w:rPr>
        <w:t>密封材料：防水腻子、油灰或者橡皮泥。</w:t>
      </w:r>
    </w:p>
    <w:p>
      <w:pPr>
        <w:pStyle w:val="178"/>
        <w:numPr>
          <w:ilvl w:val="0"/>
          <w:numId w:val="86"/>
        </w:numPr>
        <w:rPr>
          <w:rFonts w:hAnsi="宋体"/>
          <w:b/>
          <w:bCs/>
        </w:rPr>
      </w:pPr>
      <w:r>
        <w:rPr>
          <w:rFonts w:hint="eastAsia" w:hAnsi="宋体"/>
          <w:b/>
          <w:bCs/>
        </w:rPr>
        <w:t xml:space="preserve"> </w:t>
      </w:r>
      <w:r>
        <w:rPr>
          <w:rFonts w:hint="eastAsia" w:hAnsi="宋体"/>
        </w:rPr>
        <w:t>其他：水、粉笔、塑料圈、刮刀、扫帚等。</w:t>
      </w:r>
    </w:p>
    <w:p>
      <w:pPr>
        <w:pStyle w:val="260"/>
        <w:numPr>
          <w:ilvl w:val="0"/>
          <w:numId w:val="85"/>
        </w:numPr>
        <w:autoSpaceDE w:val="0"/>
        <w:spacing w:line="460" w:lineRule="exact"/>
        <w:ind w:firstLineChars="0"/>
        <w:jc w:val="left"/>
        <w:rPr>
          <w:rFonts w:ascii="宋体" w:hAnsi="宋体"/>
        </w:rPr>
      </w:pPr>
      <w:r>
        <w:rPr>
          <w:rFonts w:hint="eastAsia" w:ascii="宋体" w:hAnsi="宋体"/>
        </w:rPr>
        <w:t>方法和步骤</w:t>
      </w:r>
    </w:p>
    <w:p>
      <w:pPr>
        <w:pStyle w:val="178"/>
        <w:numPr>
          <w:ilvl w:val="0"/>
          <w:numId w:val="87"/>
        </w:numPr>
        <w:rPr>
          <w:rFonts w:hAnsi="宋体"/>
        </w:rPr>
      </w:pPr>
      <w:r>
        <w:rPr>
          <w:rFonts w:hAnsi="宋体"/>
          <w:b/>
          <w:bCs/>
        </w:rPr>
        <w:t xml:space="preserve"> </w:t>
      </w:r>
      <w:r>
        <w:rPr>
          <w:rFonts w:hint="eastAsia" w:hAnsi="宋体"/>
        </w:rPr>
        <w:t>每个测试位置，按照现行行业标准《公路路基面现场测试规程》JTG 3450附录A规</w:t>
      </w:r>
    </w:p>
    <w:p>
      <w:pPr>
        <w:pStyle w:val="178"/>
        <w:numPr>
          <w:ilvl w:val="0"/>
          <w:numId w:val="0"/>
        </w:numPr>
        <w:rPr>
          <w:rFonts w:hAnsi="宋体"/>
        </w:rPr>
      </w:pPr>
      <w:r>
        <w:rPr>
          <w:rFonts w:hint="eastAsia" w:hAnsi="宋体"/>
        </w:rPr>
        <w:t>定的方法，随机选择3个测试点，并用粉笔画上测试标记。</w:t>
      </w:r>
    </w:p>
    <w:p>
      <w:pPr>
        <w:pStyle w:val="178"/>
        <w:numPr>
          <w:ilvl w:val="0"/>
          <w:numId w:val="87"/>
        </w:numPr>
        <w:rPr>
          <w:rFonts w:hAnsi="宋体"/>
        </w:rPr>
      </w:pPr>
      <w:r>
        <w:rPr>
          <w:rFonts w:hAnsi="宋体"/>
          <w:b/>
          <w:bCs/>
        </w:rPr>
        <w:t xml:space="preserve"> </w:t>
      </w:r>
      <w:r>
        <w:rPr>
          <w:rFonts w:hint="eastAsia" w:hAnsi="宋体"/>
        </w:rPr>
        <w:t>试验前，首先用扫帚清扫表面，并用刷子将路面表面的杂物刷去。</w:t>
      </w:r>
    </w:p>
    <w:p>
      <w:pPr>
        <w:pStyle w:val="178"/>
        <w:numPr>
          <w:ilvl w:val="0"/>
          <w:numId w:val="87"/>
        </w:numPr>
        <w:rPr>
          <w:rFonts w:hAnsi="宋体"/>
          <w:b/>
          <w:bCs/>
        </w:rPr>
      </w:pPr>
      <w:r>
        <w:rPr>
          <w:rFonts w:hAnsi="宋体"/>
          <w:b/>
          <w:bCs/>
        </w:rPr>
        <w:t xml:space="preserve"> </w:t>
      </w:r>
      <w:r>
        <w:rPr>
          <w:rFonts w:hint="eastAsia" w:hAnsi="宋体"/>
        </w:rPr>
        <w:t>将塑料圈置于路面表面的测点上，用粉笔分别沿塑料圈的内侧和外侧画上圈，在外</w:t>
      </w:r>
    </w:p>
    <w:p>
      <w:pPr>
        <w:pStyle w:val="178"/>
        <w:numPr>
          <w:ilvl w:val="0"/>
          <w:numId w:val="0"/>
        </w:numPr>
        <w:ind w:left="425" w:hanging="425"/>
        <w:rPr>
          <w:rFonts w:hAnsi="宋体"/>
          <w:b/>
          <w:bCs/>
        </w:rPr>
      </w:pPr>
      <w:r>
        <w:rPr>
          <w:rFonts w:hint="eastAsia" w:hAnsi="宋体"/>
        </w:rPr>
        <w:t>环和内环之间的部分就是需要用密封材料进行密封的区域。</w:t>
      </w:r>
    </w:p>
    <w:p>
      <w:pPr>
        <w:pStyle w:val="178"/>
        <w:numPr>
          <w:ilvl w:val="0"/>
          <w:numId w:val="87"/>
        </w:numPr>
        <w:rPr>
          <w:rFonts w:hAnsi="宋体"/>
          <w:b/>
          <w:bCs/>
        </w:rPr>
      </w:pPr>
      <w:r>
        <w:rPr>
          <w:rFonts w:hAnsi="宋体"/>
          <w:b/>
          <w:bCs/>
        </w:rPr>
        <w:t xml:space="preserve"> </w:t>
      </w:r>
      <w:r>
        <w:rPr>
          <w:rFonts w:hint="eastAsia" w:hAnsi="宋体"/>
        </w:rPr>
        <w:t>用密封材料对环状密封区域进行密封处理，注意不要使密封材料进入内圈，如果密</w:t>
      </w:r>
    </w:p>
    <w:p>
      <w:pPr>
        <w:pStyle w:val="178"/>
        <w:numPr>
          <w:ilvl w:val="0"/>
          <w:numId w:val="0"/>
        </w:numPr>
        <w:rPr>
          <w:rFonts w:hAnsi="宋体"/>
          <w:b/>
          <w:bCs/>
        </w:rPr>
      </w:pPr>
      <w:r>
        <w:rPr>
          <w:rFonts w:hint="eastAsia" w:hAnsi="宋体"/>
        </w:rPr>
        <w:t>封材料不小心进入内圈，必须用刮刀将其刮走。然后再讲搓成拇指粗细的条状密封材料在环状密封区域的中央，并且堆成一圈。</w:t>
      </w:r>
    </w:p>
    <w:p>
      <w:pPr>
        <w:pStyle w:val="178"/>
        <w:numPr>
          <w:ilvl w:val="0"/>
          <w:numId w:val="87"/>
        </w:numPr>
        <w:rPr>
          <w:rFonts w:hAnsi="宋体"/>
        </w:rPr>
      </w:pPr>
      <w:r>
        <w:rPr>
          <w:rFonts w:hAnsi="宋体"/>
          <w:b/>
          <w:bCs/>
        </w:rPr>
        <w:t xml:space="preserve"> </w:t>
      </w:r>
      <w:r>
        <w:rPr>
          <w:rFonts w:hint="eastAsia" w:hAnsi="宋体"/>
        </w:rPr>
        <w:t>将套环放在路面表面的测点上，注意使套环中心尽量与圆环中心重合，然后略微使</w:t>
      </w:r>
    </w:p>
    <w:p>
      <w:pPr>
        <w:pStyle w:val="178"/>
        <w:numPr>
          <w:ilvl w:val="0"/>
          <w:numId w:val="0"/>
        </w:numPr>
        <w:rPr>
          <w:rFonts w:hAnsi="宋体"/>
        </w:rPr>
      </w:pPr>
      <w:r>
        <w:rPr>
          <w:rFonts w:hint="eastAsia" w:hAnsi="宋体"/>
        </w:rPr>
        <w:t>劲将套环压在条状密封材料表面；采用同样的方法将渗水仪放在套环上，对中，施加压力将渗水仪压在套环上，再将配重加上，以防压力水从底座与路面间流出。</w:t>
      </w:r>
    </w:p>
    <w:p>
      <w:pPr>
        <w:pStyle w:val="178"/>
        <w:numPr>
          <w:ilvl w:val="0"/>
          <w:numId w:val="87"/>
        </w:numPr>
        <w:rPr>
          <w:rFonts w:hAnsi="宋体"/>
        </w:rPr>
      </w:pPr>
      <w:r>
        <w:rPr>
          <w:rFonts w:hAnsi="宋体"/>
          <w:b/>
          <w:bCs/>
        </w:rPr>
        <w:t xml:space="preserve"> </w:t>
      </w:r>
      <w:r>
        <w:rPr>
          <w:rFonts w:hint="eastAsia" w:hAnsi="宋体"/>
        </w:rPr>
        <w:t>将开关及排气孔关闭，向量筒中注水超过100ml刻度，然后打开开关和排气孔，使</w:t>
      </w:r>
    </w:p>
    <w:p>
      <w:pPr>
        <w:pStyle w:val="178"/>
        <w:numPr>
          <w:ilvl w:val="0"/>
          <w:numId w:val="0"/>
        </w:numPr>
        <w:rPr>
          <w:rFonts w:hAnsi="宋体"/>
        </w:rPr>
      </w:pPr>
      <w:r>
        <w:rPr>
          <w:rFonts w:hint="eastAsia" w:hAnsi="宋体"/>
        </w:rPr>
        <w:t>量筒中的水流排出渗水仪底部内的空气，当量筒中的水面下降速度变慢时，用双手轻压渗水仪使渗水仪底部的气泡全部排出，当水自排气孔顺畅排出时，关闭开关和排气孔，并再次向量筒中注水至100ml刻度。</w:t>
      </w:r>
    </w:p>
    <w:p>
      <w:pPr>
        <w:pStyle w:val="178"/>
        <w:numPr>
          <w:ilvl w:val="0"/>
          <w:numId w:val="87"/>
        </w:numPr>
        <w:rPr>
          <w:rFonts w:hAnsi="宋体"/>
          <w:b/>
          <w:bCs/>
        </w:rPr>
      </w:pPr>
      <w:r>
        <w:rPr>
          <w:rFonts w:hAnsi="宋体"/>
          <w:b/>
          <w:bCs/>
        </w:rPr>
        <w:t xml:space="preserve"> </w:t>
      </w:r>
      <w:r>
        <w:rPr>
          <w:rFonts w:hint="eastAsia" w:hAnsi="宋体"/>
        </w:rPr>
        <w:t>将开关打开，待水面下降100ml刻度时，立即开动秒表开始计时，计时3min后立即</w:t>
      </w:r>
    </w:p>
    <w:p>
      <w:pPr>
        <w:pStyle w:val="178"/>
        <w:numPr>
          <w:ilvl w:val="0"/>
          <w:numId w:val="0"/>
        </w:numPr>
        <w:rPr>
          <w:rFonts w:hAnsi="宋体"/>
          <w:b/>
          <w:bCs/>
        </w:rPr>
      </w:pPr>
      <w:r>
        <w:rPr>
          <w:rFonts w:hint="eastAsia" w:hAnsi="宋体"/>
        </w:rPr>
        <w:t>记录水量，结束试验；当计时不到3min水面已下降至500ml时，立即记录水面下降至500ml时的时间，结束试验。当开关打开后3min内水面无法下降至500ml刻度时，则开动秒表计时测试3min内渗水量即可结束试验。</w:t>
      </w:r>
    </w:p>
    <w:p>
      <w:pPr>
        <w:pStyle w:val="178"/>
        <w:numPr>
          <w:ilvl w:val="0"/>
          <w:numId w:val="87"/>
        </w:numPr>
        <w:rPr>
          <w:rFonts w:hAnsi="宋体"/>
        </w:rPr>
      </w:pPr>
      <w:r>
        <w:rPr>
          <w:rFonts w:hAnsi="宋体"/>
          <w:b/>
          <w:bCs/>
        </w:rPr>
        <w:t xml:space="preserve"> </w:t>
      </w:r>
      <w:r>
        <w:rPr>
          <w:rFonts w:hint="eastAsia" w:hAnsi="宋体"/>
        </w:rPr>
        <w:t>测试过程中，如水从底座与密封材料间渗出，则底座与路面间密封不好，此试验结</w:t>
      </w:r>
    </w:p>
    <w:p>
      <w:pPr>
        <w:pStyle w:val="178"/>
        <w:numPr>
          <w:ilvl w:val="0"/>
          <w:numId w:val="0"/>
        </w:numPr>
        <w:rPr>
          <w:rFonts w:hAnsi="宋体"/>
        </w:rPr>
      </w:pPr>
      <w:r>
        <w:rPr>
          <w:rFonts w:hint="eastAsia" w:hAnsi="宋体"/>
        </w:rPr>
        <w:t>果为无效。需关闭开关，采用密封材料补充密封，重新安装步骤6、7测试。如果仍然有水渗出，应在同一纵向位置沿宽度方向就近选择位置，重新按照步骤3</w:t>
      </w:r>
      <w:r>
        <w:rPr>
          <w:rFonts w:ascii="Times New Roman"/>
        </w:rPr>
        <w:t>~</w:t>
      </w:r>
      <w:r>
        <w:rPr>
          <w:rFonts w:hint="eastAsia" w:hAnsi="宋体"/>
        </w:rPr>
        <w:t>7测试。</w:t>
      </w:r>
    </w:p>
    <w:p>
      <w:pPr>
        <w:pStyle w:val="178"/>
        <w:numPr>
          <w:ilvl w:val="0"/>
          <w:numId w:val="87"/>
        </w:numPr>
        <w:rPr>
          <w:rFonts w:hAnsi="宋体"/>
        </w:rPr>
      </w:pPr>
      <w:r>
        <w:rPr>
          <w:rFonts w:hAnsi="宋体"/>
          <w:b/>
          <w:bCs/>
        </w:rPr>
        <w:t xml:space="preserve"> </w:t>
      </w:r>
      <w:r>
        <w:rPr>
          <w:rFonts w:hint="eastAsia" w:hAnsi="宋体"/>
        </w:rPr>
        <w:t>测试过程中，如水从外环圈以外路面中渗出，可以人工将密封材料在外环圈之外5cm</w:t>
      </w:r>
    </w:p>
    <w:p>
      <w:pPr>
        <w:pStyle w:val="178"/>
        <w:numPr>
          <w:ilvl w:val="0"/>
          <w:numId w:val="0"/>
        </w:numPr>
        <w:ind w:left="425" w:hanging="425"/>
        <w:rPr>
          <w:rFonts w:hAnsi="宋体"/>
        </w:rPr>
      </w:pPr>
      <w:r>
        <w:rPr>
          <w:rFonts w:hint="eastAsia" w:hAnsi="宋体"/>
        </w:rPr>
        <w:t>宽度范围内再次进行密封处理，重新按照步骤4、5测试，只要密封范围内无水渗出，则认</w:t>
      </w:r>
    </w:p>
    <w:p>
      <w:pPr>
        <w:pStyle w:val="178"/>
        <w:numPr>
          <w:ilvl w:val="0"/>
          <w:numId w:val="0"/>
        </w:numPr>
        <w:ind w:left="425" w:hanging="425"/>
        <w:rPr>
          <w:rFonts w:hAnsi="宋体"/>
        </w:rPr>
      </w:pPr>
      <w:r>
        <w:rPr>
          <w:rFonts w:hint="eastAsia" w:hAnsi="宋体"/>
        </w:rPr>
        <w:t>为试验结果为有效。</w:t>
      </w:r>
    </w:p>
    <w:p>
      <w:pPr>
        <w:pStyle w:val="178"/>
        <w:numPr>
          <w:ilvl w:val="0"/>
          <w:numId w:val="87"/>
        </w:numPr>
        <w:rPr>
          <w:rFonts w:hAnsi="宋体"/>
        </w:rPr>
      </w:pPr>
      <w:r>
        <w:rPr>
          <w:rFonts w:hAnsi="宋体"/>
          <w:b/>
          <w:bCs/>
        </w:rPr>
        <w:t xml:space="preserve"> </w:t>
      </w:r>
      <w:r>
        <w:rPr>
          <w:rFonts w:hint="eastAsia" w:hAnsi="宋体"/>
        </w:rPr>
        <w:t>重复步骤</w:t>
      </w:r>
      <w:r>
        <w:rPr>
          <w:rFonts w:ascii="Times New Roman"/>
        </w:rPr>
        <w:t>1~7</w:t>
      </w:r>
      <w:r>
        <w:rPr>
          <w:rFonts w:hint="eastAsia" w:hAnsi="宋体"/>
        </w:rPr>
        <w:t>，测试3个测点的渗透系数。</w:t>
      </w:r>
    </w:p>
    <w:p>
      <w:pPr>
        <w:pStyle w:val="260"/>
        <w:numPr>
          <w:ilvl w:val="0"/>
          <w:numId w:val="85"/>
        </w:numPr>
        <w:autoSpaceDE w:val="0"/>
        <w:spacing w:line="460" w:lineRule="exact"/>
        <w:ind w:firstLineChars="0"/>
        <w:jc w:val="left"/>
        <w:rPr>
          <w:rFonts w:ascii="宋体" w:hAnsi="宋体"/>
        </w:rPr>
      </w:pPr>
      <w:r>
        <w:rPr>
          <w:rFonts w:hint="eastAsia" w:ascii="宋体" w:hAnsi="宋体"/>
        </w:rPr>
        <w:t>数据处理</w:t>
      </w:r>
    </w:p>
    <w:p>
      <w:pPr>
        <w:pStyle w:val="178"/>
        <w:numPr>
          <w:ilvl w:val="0"/>
          <w:numId w:val="88"/>
        </w:numPr>
        <w:rPr>
          <w:rFonts w:hAnsi="宋体"/>
        </w:rPr>
      </w:pPr>
      <w:r>
        <w:rPr>
          <w:rFonts w:hAnsi="宋体"/>
          <w:b/>
          <w:bCs/>
        </w:rPr>
        <w:t xml:space="preserve"> </w:t>
      </w:r>
      <w:r>
        <w:rPr>
          <w:rFonts w:hint="eastAsia" w:hAnsi="宋体"/>
        </w:rPr>
        <w:t>按照（A.0.3）计算渗透系数，准确至0.1×10</w:t>
      </w:r>
      <w:r>
        <w:rPr>
          <w:rFonts w:hint="eastAsia" w:hAnsi="宋体"/>
          <w:vertAlign w:val="superscript"/>
        </w:rPr>
        <w:t>-6</w:t>
      </w:r>
      <w:r>
        <w:rPr>
          <w:rFonts w:hint="eastAsia" w:hAnsi="宋体"/>
        </w:rPr>
        <w:t>m/s。</w:t>
      </w:r>
    </w:p>
    <w:p>
      <w:pPr>
        <w:autoSpaceDE w:val="0"/>
        <w:spacing w:line="240" w:lineRule="auto"/>
        <w:ind w:firstLine="601"/>
        <w:jc w:val="center"/>
        <w:rPr>
          <w:rFonts w:ascii="宋体" w:hAnsi="宋体"/>
        </w:rPr>
      </w:pPr>
      <w:r>
        <w:rPr>
          <w:rFonts w:ascii="宋体" w:hAnsi="宋体"/>
        </w:rPr>
        <w:drawing>
          <wp:inline distT="0" distB="0" distL="0" distR="0">
            <wp:extent cx="3155950" cy="507365"/>
            <wp:effectExtent l="0" t="0" r="6350" b="6985"/>
            <wp:docPr id="246" name="图片 24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6" name="图片 246"/>
                    <pic:cNvPicPr>
                      <a:picLocks noChangeAspect="true"/>
                    </pic:cNvPicPr>
                  </pic:nvPicPr>
                  <pic:blipFill>
                    <a:blip r:embed="rId31"/>
                    <a:stretch>
                      <a:fillRect/>
                    </a:stretch>
                  </pic:blipFill>
                  <pic:spPr>
                    <a:xfrm>
                      <a:off x="0" y="0"/>
                      <a:ext cx="3211457" cy="516379"/>
                    </a:xfrm>
                    <a:prstGeom prst="rect">
                      <a:avLst/>
                    </a:prstGeom>
                  </pic:spPr>
                </pic:pic>
              </a:graphicData>
            </a:graphic>
          </wp:inline>
        </w:drawing>
      </w:r>
    </w:p>
    <w:p>
      <w:pPr>
        <w:autoSpaceDE w:val="0"/>
        <w:spacing w:line="460" w:lineRule="exact"/>
        <w:ind w:firstLine="420" w:firstLineChars="200"/>
        <w:jc w:val="left"/>
        <w:rPr>
          <w:rFonts w:ascii="宋体" w:hAnsi="宋体"/>
        </w:rPr>
      </w:pPr>
      <w:r>
        <w:rPr>
          <w:rFonts w:hint="eastAsia" w:ascii="宋体" w:hAnsi="宋体"/>
        </w:rPr>
        <w:t>式中：C</w:t>
      </w:r>
      <w:r>
        <w:rPr>
          <w:rFonts w:hint="eastAsia" w:ascii="宋体" w:hAnsi="宋体"/>
          <w:vertAlign w:val="subscript"/>
        </w:rPr>
        <w:t>W</w:t>
      </w:r>
      <w:r>
        <w:rPr>
          <w:rFonts w:hint="eastAsia" w:ascii="宋体" w:hAnsi="宋体"/>
        </w:rPr>
        <w:t>——渗水系数（m/s）</w:t>
      </w:r>
    </w:p>
    <w:p>
      <w:pPr>
        <w:autoSpaceDE w:val="0"/>
        <w:spacing w:line="460" w:lineRule="exact"/>
        <w:ind w:firstLine="420" w:firstLineChars="200"/>
        <w:jc w:val="left"/>
        <w:rPr>
          <w:rFonts w:ascii="宋体" w:hAnsi="宋体"/>
        </w:rPr>
      </w:pPr>
      <w:r>
        <w:rPr>
          <w:rFonts w:hint="eastAsia" w:ascii="宋体" w:hAnsi="宋体"/>
        </w:rPr>
        <w:t xml:space="preserve">      V</w:t>
      </w:r>
      <w:r>
        <w:rPr>
          <w:rFonts w:hint="eastAsia" w:ascii="宋体" w:hAnsi="宋体"/>
          <w:vertAlign w:val="subscript"/>
        </w:rPr>
        <w:t>1</w:t>
      </w:r>
      <w:r>
        <w:rPr>
          <w:rFonts w:hint="eastAsia" w:ascii="宋体" w:hAnsi="宋体"/>
        </w:rPr>
        <w:t>——第一次计时时刻的水量（ml）；</w:t>
      </w:r>
    </w:p>
    <w:p>
      <w:pPr>
        <w:autoSpaceDE w:val="0"/>
        <w:spacing w:line="460" w:lineRule="exact"/>
        <w:ind w:firstLine="420" w:firstLineChars="200"/>
        <w:jc w:val="left"/>
        <w:rPr>
          <w:rFonts w:ascii="宋体" w:hAnsi="宋体"/>
        </w:rPr>
      </w:pPr>
      <w:r>
        <w:rPr>
          <w:rFonts w:hint="eastAsia" w:ascii="宋体" w:hAnsi="宋体"/>
        </w:rPr>
        <w:t xml:space="preserve">      V</w:t>
      </w:r>
      <w:r>
        <w:rPr>
          <w:rFonts w:hint="eastAsia" w:ascii="宋体" w:hAnsi="宋体"/>
          <w:vertAlign w:val="subscript"/>
        </w:rPr>
        <w:t>2</w:t>
      </w:r>
      <w:r>
        <w:rPr>
          <w:rFonts w:hint="eastAsia" w:ascii="宋体" w:hAnsi="宋体"/>
        </w:rPr>
        <w:t>——第二次计时时刻的水量（ml）；</w:t>
      </w:r>
    </w:p>
    <w:p>
      <w:pPr>
        <w:autoSpaceDE w:val="0"/>
        <w:spacing w:line="460" w:lineRule="exact"/>
        <w:ind w:firstLine="420" w:firstLineChars="200"/>
        <w:jc w:val="left"/>
        <w:rPr>
          <w:rFonts w:ascii="宋体" w:hAnsi="宋体"/>
        </w:rPr>
      </w:pPr>
      <w:r>
        <w:rPr>
          <w:rFonts w:hint="eastAsia" w:ascii="宋体" w:hAnsi="宋体"/>
        </w:rPr>
        <w:t xml:space="preserve">      t</w:t>
      </w:r>
      <w:r>
        <w:rPr>
          <w:rFonts w:hint="eastAsia" w:ascii="宋体" w:hAnsi="宋体"/>
          <w:vertAlign w:val="subscript"/>
        </w:rPr>
        <w:t>1</w:t>
      </w:r>
      <w:r>
        <w:rPr>
          <w:rFonts w:hint="eastAsia" w:ascii="宋体" w:hAnsi="宋体"/>
        </w:rPr>
        <w:t>——第一次计时时间（s）；</w:t>
      </w:r>
    </w:p>
    <w:p>
      <w:pPr>
        <w:autoSpaceDE w:val="0"/>
        <w:spacing w:line="460" w:lineRule="exact"/>
        <w:ind w:firstLine="420" w:firstLineChars="200"/>
        <w:jc w:val="left"/>
        <w:rPr>
          <w:rFonts w:ascii="宋体" w:hAnsi="宋体"/>
        </w:rPr>
      </w:pPr>
      <w:r>
        <w:rPr>
          <w:rFonts w:hint="eastAsia" w:ascii="宋体" w:hAnsi="宋体"/>
        </w:rPr>
        <w:t xml:space="preserve">      t</w:t>
      </w:r>
      <w:r>
        <w:rPr>
          <w:rFonts w:hint="eastAsia" w:ascii="宋体" w:hAnsi="宋体"/>
          <w:vertAlign w:val="subscript"/>
        </w:rPr>
        <w:t>2</w:t>
      </w:r>
      <w:r>
        <w:rPr>
          <w:rFonts w:hint="eastAsia" w:ascii="宋体" w:hAnsi="宋体"/>
        </w:rPr>
        <w:t>——第一次计时时间（s）。</w:t>
      </w:r>
    </w:p>
    <w:p>
      <w:pPr>
        <w:pStyle w:val="178"/>
        <w:numPr>
          <w:ilvl w:val="0"/>
          <w:numId w:val="87"/>
        </w:numPr>
        <w:rPr>
          <w:rFonts w:hAnsi="宋体"/>
        </w:rPr>
      </w:pPr>
      <w:r>
        <w:rPr>
          <w:rFonts w:hAnsi="宋体"/>
          <w:b/>
          <w:bCs/>
        </w:rPr>
        <w:t xml:space="preserve"> </w:t>
      </w:r>
      <w:r>
        <w:rPr>
          <w:rFonts w:hint="eastAsia" w:hAnsi="宋体"/>
        </w:rPr>
        <w:t>以3个测点渗水系数的平均值作为该测试位置的结果，准确至0.1×10</w:t>
      </w:r>
      <w:r>
        <w:rPr>
          <w:rFonts w:hint="eastAsia" w:hAnsi="宋体"/>
          <w:vertAlign w:val="superscript"/>
        </w:rPr>
        <w:t>-6</w:t>
      </w:r>
      <w:r>
        <w:rPr>
          <w:rFonts w:hint="eastAsia" w:hAnsi="宋体"/>
        </w:rPr>
        <w:t>m/s。</w:t>
      </w:r>
    </w:p>
    <w:p>
      <w:pPr>
        <w:autoSpaceDE w:val="0"/>
        <w:spacing w:line="460" w:lineRule="exact"/>
        <w:jc w:val="left"/>
        <w:rPr>
          <w:rFonts w:ascii="宋体" w:hAnsi="宋体"/>
          <w:sz w:val="24"/>
          <w:szCs w:val="24"/>
        </w:rPr>
      </w:pPr>
    </w:p>
    <w:p>
      <w:pPr>
        <w:autoSpaceDE w:val="0"/>
        <w:spacing w:line="460" w:lineRule="exact"/>
        <w:jc w:val="left"/>
        <w:rPr>
          <w:rFonts w:ascii="宋体" w:hAnsi="宋体"/>
          <w:sz w:val="24"/>
          <w:szCs w:val="24"/>
        </w:rPr>
      </w:pPr>
    </w:p>
    <w:p>
      <w:pPr>
        <w:autoSpaceDE w:val="0"/>
        <w:spacing w:line="460" w:lineRule="exact"/>
        <w:jc w:val="left"/>
        <w:rPr>
          <w:rFonts w:ascii="宋体" w:hAnsi="宋体"/>
          <w:sz w:val="24"/>
          <w:szCs w:val="24"/>
        </w:rPr>
      </w:pPr>
    </w:p>
    <w:p>
      <w:pPr>
        <w:autoSpaceDE w:val="0"/>
        <w:spacing w:line="460" w:lineRule="exact"/>
        <w:jc w:val="left"/>
        <w:rPr>
          <w:rFonts w:ascii="宋体" w:hAnsi="宋体"/>
          <w:sz w:val="24"/>
          <w:szCs w:val="24"/>
        </w:rPr>
      </w:pPr>
    </w:p>
    <w:p>
      <w:pPr>
        <w:autoSpaceDE w:val="0"/>
        <w:spacing w:line="460" w:lineRule="exact"/>
        <w:jc w:val="left"/>
        <w:rPr>
          <w:rFonts w:ascii="宋体" w:hAnsi="宋体"/>
          <w:sz w:val="24"/>
          <w:szCs w:val="24"/>
        </w:rPr>
      </w:pPr>
    </w:p>
    <w:p>
      <w:pPr>
        <w:autoSpaceDE w:val="0"/>
        <w:spacing w:line="460" w:lineRule="exact"/>
        <w:jc w:val="left"/>
        <w:rPr>
          <w:rFonts w:ascii="宋体" w:hAnsi="宋体"/>
          <w:sz w:val="24"/>
          <w:szCs w:val="24"/>
        </w:rPr>
      </w:pPr>
    </w:p>
    <w:p>
      <w:pPr>
        <w:autoSpaceDE w:val="0"/>
        <w:spacing w:line="460" w:lineRule="exact"/>
        <w:jc w:val="left"/>
        <w:rPr>
          <w:rFonts w:ascii="宋体" w:hAnsi="宋体"/>
          <w:sz w:val="24"/>
          <w:szCs w:val="24"/>
        </w:rPr>
      </w:pPr>
    </w:p>
    <w:p>
      <w:pPr>
        <w:autoSpaceDE w:val="0"/>
        <w:spacing w:line="460" w:lineRule="exact"/>
        <w:jc w:val="left"/>
        <w:rPr>
          <w:rFonts w:ascii="宋体" w:hAnsi="宋体"/>
          <w:sz w:val="24"/>
          <w:szCs w:val="24"/>
        </w:rPr>
      </w:pPr>
    </w:p>
    <w:p>
      <w:pPr>
        <w:pStyle w:val="60"/>
        <w:ind w:firstLine="0" w:firstLineChars="0"/>
        <w:sectPr>
          <w:pgSz w:w="11900" w:h="16840"/>
          <w:pgMar w:top="1460" w:right="1780" w:bottom="1460" w:left="1780" w:header="1032" w:footer="3" w:gutter="0"/>
          <w:cols w:space="720" w:num="1"/>
          <w:docGrid w:linePitch="360" w:charSpace="0"/>
        </w:sectPr>
      </w:pPr>
    </w:p>
    <w:p>
      <w:pPr>
        <w:pStyle w:val="202"/>
        <w:rPr>
          <w:vanish w:val="0"/>
        </w:rPr>
      </w:pPr>
    </w:p>
    <w:p>
      <w:pPr>
        <w:pStyle w:val="203"/>
        <w:rPr>
          <w:vanish w:val="0"/>
        </w:rPr>
      </w:pPr>
    </w:p>
    <w:p>
      <w:pPr>
        <w:pStyle w:val="80"/>
        <w:spacing w:before="60" w:after="120"/>
        <w:ind w:left="0"/>
      </w:pPr>
      <w:r>
        <w:br w:type="textWrapping"/>
      </w:r>
      <w:bookmarkStart w:id="212" w:name="_Toc129782136"/>
      <w:bookmarkStart w:id="213" w:name="_Toc129698164"/>
      <w:bookmarkStart w:id="214" w:name="_Toc129855997"/>
      <w:bookmarkStart w:id="215" w:name="_Toc129855771"/>
      <w:r>
        <w:rPr>
          <w:rFonts w:hint="eastAsia"/>
        </w:rPr>
        <w:t>（规范性）</w:t>
      </w:r>
      <w:r>
        <w:br w:type="textWrapping"/>
      </w:r>
      <w:r>
        <w:rPr>
          <w:rFonts w:hint="eastAsia"/>
        </w:rPr>
        <w:t>土壤渗透系数检测方法</w:t>
      </w:r>
      <w:bookmarkEnd w:id="212"/>
      <w:bookmarkEnd w:id="213"/>
      <w:bookmarkEnd w:id="214"/>
      <w:bookmarkEnd w:id="215"/>
    </w:p>
    <w:p>
      <w:pPr>
        <w:pStyle w:val="260"/>
        <w:numPr>
          <w:ilvl w:val="0"/>
          <w:numId w:val="89"/>
        </w:numPr>
        <w:autoSpaceDE w:val="0"/>
        <w:spacing w:line="460" w:lineRule="exact"/>
        <w:ind w:firstLineChars="0"/>
        <w:jc w:val="left"/>
        <w:rPr>
          <w:rFonts w:ascii="Times New Roman" w:hAnsi="Times New Roman"/>
          <w:b/>
          <w:bCs/>
        </w:rPr>
      </w:pPr>
      <w:r>
        <w:rPr>
          <w:rFonts w:hint="eastAsia" w:ascii="Times New Roman" w:hAnsi="Times New Roman"/>
        </w:rPr>
        <w:t xml:space="preserve"> </w:t>
      </w:r>
      <w:r>
        <w:rPr>
          <w:rFonts w:ascii="Times New Roman" w:hAnsi="Times New Roman"/>
        </w:rPr>
        <w:t>试验方法有双环法和单环法。砂土及粉土宜用单环法，粘性土宜用双环法</w:t>
      </w:r>
      <w:r>
        <w:rPr>
          <w:rFonts w:ascii="Times New Roman" w:hAnsi="Times New Roman"/>
          <w:b/>
          <w:bCs/>
        </w:rPr>
        <w:t>。</w:t>
      </w:r>
    </w:p>
    <w:p>
      <w:pPr>
        <w:pStyle w:val="260"/>
        <w:numPr>
          <w:ilvl w:val="0"/>
          <w:numId w:val="89"/>
        </w:numPr>
        <w:autoSpaceDE w:val="0"/>
        <w:spacing w:line="460" w:lineRule="exact"/>
        <w:ind w:firstLineChars="0"/>
        <w:jc w:val="left"/>
        <w:rPr>
          <w:rFonts w:ascii="Times New Roman" w:hAnsi="Times New Roman"/>
        </w:rPr>
      </w:pPr>
      <w:r>
        <w:rPr>
          <w:rFonts w:hint="eastAsia" w:ascii="Times New Roman" w:hAnsi="Times New Roman"/>
        </w:rPr>
        <w:t xml:space="preserve"> </w:t>
      </w:r>
      <w:r>
        <w:rPr>
          <w:rFonts w:ascii="Times New Roman" w:hAnsi="Times New Roman"/>
        </w:rPr>
        <w:t>土壤渗透系数的测点数分别依据单处设施的面积按照表B.0.2-1或表B.0.2-2选取，</w:t>
      </w:r>
    </w:p>
    <w:p>
      <w:pPr>
        <w:autoSpaceDE w:val="0"/>
        <w:spacing w:line="460" w:lineRule="exact"/>
        <w:jc w:val="left"/>
        <w:rPr>
          <w:rFonts w:ascii="Times New Roman" w:hAnsi="Times New Roman"/>
        </w:rPr>
      </w:pPr>
      <w:r>
        <w:rPr>
          <w:rFonts w:ascii="Times New Roman" w:hAnsi="Times New Roman"/>
        </w:rPr>
        <w:t>测点应呈梅花状布置，测试结果取各测点的平均值。</w:t>
      </w:r>
    </w:p>
    <w:p>
      <w:pPr>
        <w:autoSpaceDE w:val="0"/>
        <w:spacing w:line="460" w:lineRule="exact"/>
        <w:jc w:val="center"/>
        <w:rPr>
          <w:rFonts w:ascii="宋体" w:hAnsi="宋体"/>
          <w:b/>
          <w:bCs/>
        </w:rPr>
      </w:pPr>
      <w:r>
        <w:rPr>
          <w:rFonts w:hint="eastAsia" w:ascii="宋体" w:hAnsi="宋体"/>
          <w:b/>
          <w:bCs/>
        </w:rPr>
        <w:t>表</w:t>
      </w:r>
      <w:r>
        <w:rPr>
          <w:rFonts w:ascii="宋体" w:hAnsi="宋体"/>
          <w:b/>
          <w:bCs/>
        </w:rPr>
        <w:t>B</w:t>
      </w:r>
      <w:r>
        <w:rPr>
          <w:rFonts w:hint="eastAsia" w:ascii="宋体" w:hAnsi="宋体"/>
          <w:b/>
          <w:bCs/>
        </w:rPr>
        <w:t>.0.2-1  下凹绿地土壤渗透系数测点数</w:t>
      </w:r>
    </w:p>
    <w:tbl>
      <w:tblPr>
        <w:tblStyle w:val="30"/>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rPr>
            </w:pPr>
            <w:r>
              <w:rPr>
                <w:rFonts w:hint="eastAsia" w:ascii="宋体" w:hAnsi="宋体"/>
              </w:rPr>
              <w:t>单个设施面积(㎡）</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宋体" w:hAnsi="宋体"/>
              </w:rPr>
            </w:pPr>
            <w:r>
              <w:rPr>
                <w:rFonts w:hint="eastAsia" w:ascii="宋体" w:hAnsi="宋体"/>
              </w:rPr>
              <w:t>测点数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＜200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200~500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500~1000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1000~2000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2000~3000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3000~5000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＞5000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12~15</w:t>
            </w:r>
          </w:p>
        </w:tc>
      </w:tr>
    </w:tbl>
    <w:p>
      <w:pPr>
        <w:autoSpaceDE w:val="0"/>
        <w:spacing w:line="460" w:lineRule="exact"/>
        <w:jc w:val="center"/>
        <w:rPr>
          <w:rFonts w:ascii="宋体" w:hAnsi="宋体"/>
          <w:b/>
          <w:bCs/>
        </w:rPr>
      </w:pPr>
      <w:r>
        <w:rPr>
          <w:rFonts w:hint="eastAsia" w:ascii="宋体" w:hAnsi="宋体"/>
        </w:rPr>
        <w:t xml:space="preserve"> </w:t>
      </w:r>
      <w:r>
        <w:rPr>
          <w:rFonts w:hint="eastAsia" w:ascii="宋体" w:hAnsi="宋体"/>
          <w:b/>
          <w:bCs/>
        </w:rPr>
        <w:t>表</w:t>
      </w:r>
      <w:r>
        <w:rPr>
          <w:rFonts w:ascii="宋体" w:hAnsi="宋体"/>
          <w:b/>
          <w:bCs/>
        </w:rPr>
        <w:t>B</w:t>
      </w:r>
      <w:r>
        <w:rPr>
          <w:rFonts w:hint="eastAsia" w:ascii="宋体" w:hAnsi="宋体"/>
          <w:b/>
          <w:bCs/>
        </w:rPr>
        <w:t>.0.2-2  生物滞留设施土壤渗透系数测点数</w:t>
      </w:r>
    </w:p>
    <w:tbl>
      <w:tblPr>
        <w:tblStyle w:val="30"/>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单个设施面积(㎡）</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测点数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＜100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100~200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200~300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300~500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500~1000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＞1000</w:t>
            </w:r>
          </w:p>
        </w:tc>
        <w:tc>
          <w:tcPr>
            <w:tcW w:w="4320" w:type="dxa"/>
            <w:tcBorders>
              <w:top w:val="single" w:color="auto" w:sz="4" w:space="0"/>
              <w:left w:val="single" w:color="auto" w:sz="4" w:space="0"/>
              <w:bottom w:val="single" w:color="auto" w:sz="4" w:space="0"/>
              <w:right w:val="single" w:color="auto" w:sz="4" w:space="0"/>
            </w:tcBorders>
            <w:vAlign w:val="center"/>
          </w:tcPr>
          <w:p>
            <w:pPr>
              <w:autoSpaceDE w:val="0"/>
              <w:spacing w:line="240" w:lineRule="auto"/>
              <w:jc w:val="center"/>
              <w:rPr>
                <w:rFonts w:ascii="Times New Roman" w:hAnsi="Times New Roman"/>
              </w:rPr>
            </w:pPr>
            <w:r>
              <w:rPr>
                <w:rFonts w:ascii="Times New Roman" w:hAnsi="Times New Roman"/>
              </w:rPr>
              <w:t>10~15</w:t>
            </w:r>
          </w:p>
        </w:tc>
      </w:tr>
    </w:tbl>
    <w:p>
      <w:pPr>
        <w:pStyle w:val="260"/>
        <w:numPr>
          <w:ilvl w:val="0"/>
          <w:numId w:val="89"/>
        </w:numPr>
        <w:autoSpaceDE w:val="0"/>
        <w:spacing w:line="460" w:lineRule="exact"/>
        <w:ind w:firstLineChars="0"/>
        <w:jc w:val="left"/>
        <w:rPr>
          <w:rFonts w:ascii="Times New Roman" w:hAnsi="Times New Roman"/>
        </w:rPr>
      </w:pPr>
      <w:r>
        <w:rPr>
          <w:rFonts w:hint="eastAsia" w:ascii="Times New Roman" w:hAnsi="Times New Roman"/>
        </w:rPr>
        <w:t xml:space="preserve"> </w:t>
      </w:r>
      <w:r>
        <w:rPr>
          <w:rFonts w:ascii="Times New Roman" w:hAnsi="Times New Roman"/>
        </w:rPr>
        <w:t>本试验所用的仪器设备(图B.0.3）应符合下列规定：</w:t>
      </w:r>
    </w:p>
    <w:p>
      <w:pPr>
        <w:rPr>
          <w:rFonts w:ascii="Times New Roman" w:hAnsi="Times New Roman"/>
        </w:rPr>
      </w:pPr>
      <w:r>
        <w:rPr>
          <w:rFonts w:ascii="Times New Roman" w:hAnsi="Times New Roman"/>
        </w:rPr>
        <w:t>铁环：双环法为内环直径25cm、高15cm，外环直径50cm、高15cm；单环法铁环直径37cm~75cm</w:t>
      </w:r>
      <w:r>
        <w:rPr>
          <w:rFonts w:ascii="Times New Roman" w:hAnsi="Times New Roman"/>
          <w:color w:val="000000" w:themeColor="text1"/>
          <w14:textFill>
            <w14:solidFill>
              <w14:schemeClr w14:val="tx1"/>
            </w14:solidFill>
          </w14:textFill>
        </w:rPr>
        <w:t>（铁环横截面积1000cm²）</w:t>
      </w:r>
      <w:r>
        <w:rPr>
          <w:rFonts w:ascii="Times New Roman" w:hAnsi="Times New Roman"/>
        </w:rPr>
        <w:t>、高15cm。在木支架上倒置着容量为5000ml~10000ml，装有斜口玻璃管和橡皮塞的供水瓶，根据试验需要可为一个或多个。供水瓶的分度值为50ml。</w:t>
      </w:r>
    </w:p>
    <w:tbl>
      <w:tblPr>
        <w:tblStyle w:val="29"/>
        <w:tblW w:w="0" w:type="auto"/>
        <w:tblCellSpacing w:w="0" w:type="dxa"/>
        <w:tblInd w:w="0" w:type="dxa"/>
        <w:tblLayout w:type="autofit"/>
        <w:tblCellMar>
          <w:top w:w="0" w:type="dxa"/>
          <w:left w:w="0" w:type="dxa"/>
          <w:bottom w:w="0" w:type="dxa"/>
          <w:right w:w="0" w:type="dxa"/>
        </w:tblCellMar>
      </w:tblPr>
      <w:tblGrid>
        <w:gridCol w:w="6"/>
        <w:gridCol w:w="7444"/>
      </w:tblGrid>
      <w:tr>
        <w:tblPrEx>
          <w:tblCellMar>
            <w:top w:w="0" w:type="dxa"/>
            <w:left w:w="0" w:type="dxa"/>
            <w:bottom w:w="0" w:type="dxa"/>
            <w:right w:w="0" w:type="dxa"/>
          </w:tblCellMar>
        </w:tblPrEx>
        <w:trPr>
          <w:tblCellSpacing w:w="0" w:type="dxa"/>
        </w:trPr>
        <w:tc>
          <w:tcPr>
            <w:tcW w:w="0" w:type="auto"/>
            <w:vAlign w:val="center"/>
          </w:tcPr>
          <w:p>
            <w:pPr>
              <w:widowControl/>
              <w:jc w:val="left"/>
              <w:rPr>
                <w:rFonts w:ascii="宋体" w:hAnsi="宋体"/>
                <w:kern w:val="0"/>
              </w:rPr>
            </w:pPr>
          </w:p>
        </w:tc>
        <w:tc>
          <w:tcPr>
            <w:tcW w:w="0" w:type="auto"/>
            <w:vAlign w:val="center"/>
          </w:tcPr>
          <w:p>
            <w:pPr>
              <w:widowControl/>
              <w:spacing w:line="240" w:lineRule="auto"/>
              <w:jc w:val="center"/>
              <w:rPr>
                <w:rFonts w:ascii="宋体" w:hAnsi="宋体" w:cs="宋体"/>
                <w:kern w:val="0"/>
              </w:rPr>
            </w:pPr>
            <w:r>
              <w:rPr>
                <w:rFonts w:ascii="宋体" w:hAnsi="宋体" w:cs="宋体"/>
                <w:kern w:val="0"/>
              </w:rPr>
              <w:drawing>
                <wp:inline distT="0" distB="0" distL="0" distR="0">
                  <wp:extent cx="4726940" cy="1555750"/>
                  <wp:effectExtent l="0" t="0" r="0" b="6350"/>
                  <wp:docPr id="248" name="图片 24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true" noChangeArrowheads="true"/>
                          </pic:cNvPicPr>
                        </pic:nvPicPr>
                        <pic:blipFill>
                          <a:blip r:embed="rId32">
                            <a:extLst>
                              <a:ext uri="{28A0092B-C50C-407E-A947-70E740481C1C}">
                                <a14:useLocalDpi xmlns:a14="http://schemas.microsoft.com/office/drawing/2010/main" val="false"/>
                              </a:ext>
                            </a:extLst>
                          </a:blip>
                          <a:srcRect/>
                          <a:stretch>
                            <a:fillRect/>
                          </a:stretch>
                        </pic:blipFill>
                        <pic:spPr>
                          <a:xfrm>
                            <a:off x="0" y="0"/>
                            <a:ext cx="4726940" cy="1555750"/>
                          </a:xfrm>
                          <a:prstGeom prst="rect">
                            <a:avLst/>
                          </a:prstGeom>
                          <a:noFill/>
                          <a:ln>
                            <a:noFill/>
                          </a:ln>
                        </pic:spPr>
                      </pic:pic>
                    </a:graphicData>
                  </a:graphic>
                </wp:inline>
              </w:drawing>
            </w:r>
          </w:p>
        </w:tc>
      </w:tr>
    </w:tbl>
    <w:p>
      <w:pPr>
        <w:autoSpaceDE w:val="0"/>
        <w:spacing w:line="460" w:lineRule="exact"/>
        <w:jc w:val="center"/>
        <w:rPr>
          <w:rFonts w:ascii="宋体" w:hAnsi="宋体"/>
        </w:rPr>
      </w:pPr>
      <w:r>
        <w:rPr>
          <w:rFonts w:ascii="宋体" w:hAnsi="宋体"/>
        </w:rPr>
        <w:t>1</w:t>
      </w:r>
      <w:r>
        <w:rPr>
          <w:rFonts w:hint="eastAsia" w:ascii="宋体" w:hAnsi="宋体"/>
        </w:rPr>
        <w:t>铁环；2-石层；3-支架；4-供水瓶</w:t>
      </w:r>
    </w:p>
    <w:p>
      <w:pPr>
        <w:autoSpaceDE w:val="0"/>
        <w:spacing w:line="460" w:lineRule="exact"/>
        <w:jc w:val="center"/>
        <w:rPr>
          <w:rFonts w:ascii="宋体" w:hAnsi="宋体"/>
        </w:rPr>
      </w:pPr>
      <w:r>
        <w:rPr>
          <w:rFonts w:hint="eastAsia" w:ascii="宋体" w:hAnsi="宋体"/>
        </w:rPr>
        <w:t>图</w:t>
      </w:r>
      <w:r>
        <w:rPr>
          <w:rFonts w:ascii="宋体" w:hAnsi="宋体"/>
        </w:rPr>
        <w:t>B</w:t>
      </w:r>
      <w:r>
        <w:rPr>
          <w:rFonts w:hint="eastAsia" w:ascii="宋体" w:hAnsi="宋体"/>
        </w:rPr>
        <w:t>.0.3  试验装置</w:t>
      </w:r>
    </w:p>
    <w:p>
      <w:pPr>
        <w:pStyle w:val="260"/>
        <w:numPr>
          <w:ilvl w:val="0"/>
          <w:numId w:val="89"/>
        </w:numPr>
        <w:autoSpaceDE w:val="0"/>
        <w:spacing w:line="460" w:lineRule="exact"/>
        <w:ind w:firstLineChars="0"/>
        <w:jc w:val="left"/>
        <w:rPr>
          <w:rFonts w:ascii="宋体" w:hAnsi="宋体"/>
        </w:rPr>
      </w:pPr>
      <w:r>
        <w:rPr>
          <w:rFonts w:hint="eastAsia" w:ascii="宋体" w:hAnsi="宋体"/>
        </w:rPr>
        <w:t>操作步骤</w:t>
      </w:r>
    </w:p>
    <w:p>
      <w:pPr>
        <w:pStyle w:val="178"/>
        <w:numPr>
          <w:ilvl w:val="0"/>
          <w:numId w:val="90"/>
        </w:numPr>
      </w:pPr>
      <w:r>
        <w:rPr>
          <w:b/>
          <w:bCs/>
        </w:rPr>
        <w:t xml:space="preserve"> </w:t>
      </w:r>
      <w:r>
        <w:rPr>
          <w:rFonts w:hint="eastAsia"/>
        </w:rPr>
        <w:t>在待测土壤表面选定位置，把铁环小心放入，铁环入土深度至环上的0刻度。双环</w:t>
      </w:r>
    </w:p>
    <w:p>
      <w:pPr>
        <w:pStyle w:val="178"/>
        <w:numPr>
          <w:ilvl w:val="0"/>
          <w:numId w:val="0"/>
        </w:numPr>
      </w:pPr>
      <w:r>
        <w:rPr>
          <w:rFonts w:hint="eastAsia"/>
        </w:rPr>
        <w:t>法应使内、外环成同心圆状，两环上缘应在同一水平面。压环时，需防止土的压实或变形。如扰动过大，须重新选测点另做。</w:t>
      </w:r>
    </w:p>
    <w:p>
      <w:pPr>
        <w:pStyle w:val="178"/>
        <w:numPr>
          <w:ilvl w:val="0"/>
          <w:numId w:val="90"/>
        </w:numPr>
        <w:rPr>
          <w:rFonts w:hAnsi="宋体"/>
        </w:rPr>
      </w:pPr>
      <w:r>
        <w:rPr>
          <w:rFonts w:hAnsi="宋体"/>
          <w:b/>
          <w:bCs/>
        </w:rPr>
        <w:t xml:space="preserve"> </w:t>
      </w:r>
      <w:r>
        <w:rPr>
          <w:rFonts w:hint="eastAsia" w:hAnsi="宋体"/>
        </w:rPr>
        <w:t>在环底部土体上均铺2cm厚的砾石层，然后向环内注入清水至满，安放支架至水平</w:t>
      </w:r>
    </w:p>
    <w:p>
      <w:pPr>
        <w:pStyle w:val="178"/>
        <w:numPr>
          <w:ilvl w:val="0"/>
          <w:numId w:val="0"/>
        </w:numPr>
        <w:rPr>
          <w:rFonts w:hAnsi="宋体"/>
        </w:rPr>
      </w:pPr>
      <w:r>
        <w:rPr>
          <w:rFonts w:hint="eastAsia" w:hAnsi="宋体"/>
        </w:rPr>
        <w:t>位置。将供水瓶注满清水后倒置于支架上，供水瓶的斜口玻璃管插入环内水面以下。双环注水时，支架上倒置2个注满清水的供水瓶，2个供水瓶的斜口玻璃管分别插入内环和内外环之间的水面以下，玻璃管的斜口应在同一高度，即环口水平面。</w:t>
      </w:r>
    </w:p>
    <w:p>
      <w:pPr>
        <w:pStyle w:val="178"/>
        <w:numPr>
          <w:ilvl w:val="0"/>
          <w:numId w:val="90"/>
        </w:numPr>
        <w:rPr>
          <w:rFonts w:hAnsi="宋体"/>
        </w:rPr>
      </w:pPr>
      <w:r>
        <w:rPr>
          <w:rFonts w:hAnsi="宋体"/>
          <w:b/>
          <w:bCs/>
        </w:rPr>
        <w:t xml:space="preserve"> </w:t>
      </w:r>
      <w:r>
        <w:rPr>
          <w:rFonts w:hint="eastAsia" w:hAnsi="宋体"/>
        </w:rPr>
        <w:t>打开橡皮塞，调节供水瓶出水量，以保持环内水位不变。双环法注水时，内环和内</w:t>
      </w:r>
    </w:p>
    <w:p>
      <w:pPr>
        <w:pStyle w:val="178"/>
        <w:numPr>
          <w:ilvl w:val="0"/>
          <w:numId w:val="0"/>
        </w:numPr>
        <w:rPr>
          <w:rFonts w:hAnsi="宋体"/>
        </w:rPr>
      </w:pPr>
      <w:r>
        <w:rPr>
          <w:rFonts w:hint="eastAsia" w:hAnsi="宋体"/>
        </w:rPr>
        <w:t>外环之间的水面应在同一高度。</w:t>
      </w:r>
    </w:p>
    <w:p>
      <w:pPr>
        <w:pStyle w:val="178"/>
        <w:numPr>
          <w:ilvl w:val="0"/>
          <w:numId w:val="90"/>
        </w:numPr>
        <w:rPr>
          <w:rFonts w:hAnsi="宋体"/>
        </w:rPr>
      </w:pPr>
      <w:r>
        <w:rPr>
          <w:rFonts w:hAnsi="宋体"/>
          <w:b/>
          <w:bCs/>
        </w:rPr>
        <w:t xml:space="preserve"> </w:t>
      </w:r>
      <w:r>
        <w:rPr>
          <w:rFonts w:hint="eastAsia" w:hAnsi="宋体"/>
        </w:rPr>
        <w:t>记录渗水开始时间及供水瓶的水位。经一定时间后，测记此时间内由供水瓶渗入土</w:t>
      </w:r>
    </w:p>
    <w:p>
      <w:pPr>
        <w:pStyle w:val="178"/>
        <w:numPr>
          <w:ilvl w:val="0"/>
          <w:numId w:val="0"/>
        </w:numPr>
        <w:rPr>
          <w:rFonts w:hAnsi="宋体"/>
        </w:rPr>
      </w:pPr>
      <w:r>
        <w:rPr>
          <w:rFonts w:hint="eastAsia" w:hAnsi="宋体"/>
        </w:rPr>
        <w:t>中的水量，直至流量稳定为止。</w:t>
      </w:r>
    </w:p>
    <w:p>
      <w:pPr>
        <w:pStyle w:val="178"/>
        <w:numPr>
          <w:ilvl w:val="0"/>
          <w:numId w:val="90"/>
        </w:numPr>
        <w:rPr>
          <w:rFonts w:hAnsi="宋体"/>
        </w:rPr>
      </w:pPr>
      <w:r>
        <w:rPr>
          <w:rFonts w:hAnsi="宋体"/>
          <w:b/>
          <w:bCs/>
        </w:rPr>
        <w:t xml:space="preserve"> </w:t>
      </w:r>
      <w:r>
        <w:rPr>
          <w:rFonts w:hint="eastAsia" w:hAnsi="宋体"/>
        </w:rPr>
        <w:t>从供水瓶流出的水量达稳定后，在1h</w:t>
      </w:r>
      <w:r>
        <w:rPr>
          <w:rFonts w:ascii="Times New Roman"/>
        </w:rPr>
        <w:t>~</w:t>
      </w:r>
      <w:r>
        <w:rPr>
          <w:rFonts w:hint="eastAsia" w:hAnsi="宋体"/>
        </w:rPr>
        <w:t>2h内测记流出水量至少5次</w:t>
      </w:r>
      <w:r>
        <w:rPr>
          <w:rFonts w:ascii="Times New Roman"/>
        </w:rPr>
        <w:t>~</w:t>
      </w:r>
      <w:r>
        <w:rPr>
          <w:rFonts w:hint="eastAsia" w:hAnsi="宋体"/>
        </w:rPr>
        <w:t>6次。每次测记</w:t>
      </w:r>
    </w:p>
    <w:p>
      <w:pPr>
        <w:pStyle w:val="178"/>
        <w:numPr>
          <w:ilvl w:val="0"/>
          <w:numId w:val="0"/>
        </w:numPr>
        <w:rPr>
          <w:rFonts w:hAnsi="宋体"/>
        </w:rPr>
      </w:pPr>
      <w:r>
        <w:rPr>
          <w:rFonts w:hint="eastAsia" w:hAnsi="宋体"/>
        </w:rPr>
        <w:t>的流量与平均流量之差不应超过10%。双环法主要测记内环供水瓶的流量。</w:t>
      </w:r>
    </w:p>
    <w:p>
      <w:pPr>
        <w:pStyle w:val="260"/>
        <w:numPr>
          <w:ilvl w:val="0"/>
          <w:numId w:val="89"/>
        </w:numPr>
        <w:autoSpaceDE w:val="0"/>
        <w:spacing w:line="460" w:lineRule="exact"/>
        <w:ind w:firstLineChars="0"/>
        <w:jc w:val="left"/>
        <w:rPr>
          <w:rFonts w:ascii="宋体" w:hAnsi="宋体"/>
        </w:rPr>
      </w:pPr>
      <w:r>
        <w:rPr>
          <w:rFonts w:hint="eastAsia" w:ascii="宋体" w:hAnsi="宋体"/>
        </w:rPr>
        <w:t>按下式计算土壤渗透系数:</w:t>
      </w:r>
    </w:p>
    <w:p>
      <w:pPr>
        <w:autoSpaceDE w:val="0"/>
        <w:spacing w:line="240" w:lineRule="auto"/>
        <w:jc w:val="center"/>
        <w:rPr>
          <w:rFonts w:ascii="宋体" w:hAnsi="宋体"/>
        </w:rPr>
      </w:pPr>
      <w:r>
        <w:rPr>
          <w:rFonts w:ascii="宋体" w:hAnsi="宋体"/>
        </w:rPr>
        <w:drawing>
          <wp:inline distT="0" distB="0" distL="0" distR="0">
            <wp:extent cx="927735" cy="418465"/>
            <wp:effectExtent l="0" t="0" r="5715" b="635"/>
            <wp:docPr id="249" name="图片 24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true"/>
                    </pic:cNvPicPr>
                  </pic:nvPicPr>
                  <pic:blipFill>
                    <a:blip r:embed="rId33"/>
                    <a:stretch>
                      <a:fillRect/>
                    </a:stretch>
                  </pic:blipFill>
                  <pic:spPr>
                    <a:xfrm>
                      <a:off x="0" y="0"/>
                      <a:ext cx="946183" cy="427096"/>
                    </a:xfrm>
                    <a:prstGeom prst="rect">
                      <a:avLst/>
                    </a:prstGeom>
                  </pic:spPr>
                </pic:pic>
              </a:graphicData>
            </a:graphic>
          </wp:inline>
        </w:drawing>
      </w:r>
    </w:p>
    <w:p>
      <w:pPr>
        <w:autoSpaceDE w:val="0"/>
        <w:spacing w:line="240" w:lineRule="auto"/>
        <w:jc w:val="left"/>
        <w:rPr>
          <w:rFonts w:ascii="宋体" w:hAnsi="宋体"/>
        </w:rPr>
      </w:pPr>
      <w:r>
        <w:rPr>
          <w:rFonts w:hint="eastAsia" w:ascii="宋体" w:hAnsi="宋体"/>
        </w:rPr>
        <w:t>式中：K</w:t>
      </w:r>
      <w:r>
        <w:rPr>
          <w:rFonts w:hint="eastAsia" w:ascii="宋体" w:hAnsi="宋体"/>
          <w:vertAlign w:val="subscript"/>
        </w:rPr>
        <w:t>T</w:t>
      </w:r>
      <w:r>
        <w:rPr>
          <w:rFonts w:hint="eastAsia" w:ascii="宋体" w:hAnsi="宋体"/>
        </w:rPr>
        <w:t>——渗透系数；</w:t>
      </w:r>
      <w:r>
        <w:rPr>
          <w:rFonts w:hint="eastAsia" w:ascii="宋体" w:hAnsi="宋体"/>
        </w:rPr>
        <w:tab/>
      </w:r>
    </w:p>
    <w:p>
      <w:pPr>
        <w:autoSpaceDE w:val="0"/>
        <w:spacing w:line="240" w:lineRule="auto"/>
        <w:jc w:val="left"/>
        <w:rPr>
          <w:rFonts w:ascii="宋体" w:hAnsi="宋体"/>
        </w:rPr>
      </w:pPr>
      <w:r>
        <w:rPr>
          <w:rFonts w:hint="eastAsia" w:ascii="宋体" w:hAnsi="宋体"/>
        </w:rPr>
        <w:t xml:space="preserve">      Q——渗透水量（cm</w:t>
      </w:r>
      <w:r>
        <w:rPr>
          <w:rFonts w:hint="eastAsia" w:ascii="宋体" w:hAnsi="宋体"/>
          <w:vertAlign w:val="superscript"/>
        </w:rPr>
        <w:t>3</w:t>
      </w:r>
      <w:r>
        <w:rPr>
          <w:rFonts w:hint="eastAsia" w:ascii="宋体" w:hAnsi="宋体"/>
        </w:rPr>
        <w:t>），双环法为内环渗透水量；</w:t>
      </w:r>
    </w:p>
    <w:p>
      <w:pPr>
        <w:autoSpaceDE w:val="0"/>
        <w:spacing w:line="240" w:lineRule="auto"/>
        <w:jc w:val="left"/>
        <w:rPr>
          <w:rFonts w:ascii="宋体" w:hAnsi="宋体"/>
        </w:rPr>
      </w:pPr>
      <w:r>
        <w:rPr>
          <w:rFonts w:hint="eastAsia" w:ascii="宋体" w:hAnsi="宋体"/>
        </w:rPr>
        <w:t xml:space="preserve">      t——时间（s）；</w:t>
      </w:r>
    </w:p>
    <w:p>
      <w:pPr>
        <w:spacing w:line="240" w:lineRule="auto"/>
        <w:rPr>
          <w:rFonts w:ascii="宋体" w:hAnsi="宋体"/>
        </w:rPr>
      </w:pPr>
      <w:r>
        <w:rPr>
          <w:rFonts w:hint="eastAsia" w:ascii="宋体" w:hAnsi="宋体"/>
        </w:rPr>
        <w:t xml:space="preserve">      A</w:t>
      </w:r>
      <w:r>
        <w:rPr>
          <w:rFonts w:hint="eastAsia" w:ascii="宋体" w:hAnsi="宋体"/>
          <w:vertAlign w:val="subscript"/>
        </w:rPr>
        <w:t>h</w:t>
      </w:r>
      <w:r>
        <w:rPr>
          <w:rFonts w:hint="eastAsia" w:ascii="宋体" w:hAnsi="宋体"/>
        </w:rPr>
        <w:t>——铁环面积（cm</w:t>
      </w:r>
      <w:r>
        <w:rPr>
          <w:rFonts w:hint="eastAsia" w:ascii="宋体" w:hAnsi="宋体"/>
          <w:vertAlign w:val="superscript"/>
        </w:rPr>
        <w:t>2</w:t>
      </w:r>
      <w:r>
        <w:rPr>
          <w:rFonts w:hint="eastAsia" w:ascii="宋体" w:hAnsi="宋体"/>
        </w:rPr>
        <w:t>）,双环法为内环面积。</w:t>
      </w: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60"/>
        <w:ind w:firstLine="0" w:firstLineChars="0"/>
      </w:pPr>
    </w:p>
    <w:p>
      <w:pPr>
        <w:pStyle w:val="202"/>
        <w:rPr>
          <w:vanish w:val="0"/>
        </w:rPr>
      </w:pPr>
    </w:p>
    <w:p>
      <w:pPr>
        <w:pStyle w:val="203"/>
        <w:rPr>
          <w:vanish w:val="0"/>
        </w:rPr>
      </w:pPr>
    </w:p>
    <w:p>
      <w:pPr>
        <w:pStyle w:val="80"/>
        <w:spacing w:before="60" w:after="120"/>
        <w:ind w:left="0"/>
      </w:pPr>
      <w:r>
        <w:br w:type="textWrapping"/>
      </w:r>
      <w:bookmarkStart w:id="216" w:name="_Toc129855772"/>
      <w:bookmarkStart w:id="217" w:name="_Toc129855998"/>
      <w:bookmarkStart w:id="218" w:name="_Toc129698165"/>
      <w:bookmarkStart w:id="219" w:name="_Toc129782137"/>
      <w:r>
        <w:rPr>
          <w:rFonts w:hint="eastAsia"/>
        </w:rPr>
        <w:t>（规范性）</w:t>
      </w:r>
      <w:r>
        <w:br w:type="textWrapping"/>
      </w:r>
      <w:r>
        <w:rPr>
          <w:rFonts w:hint="eastAsia"/>
        </w:rPr>
        <w:t>路面/屋面太阳辐射反射系数检测方法</w:t>
      </w:r>
      <w:bookmarkEnd w:id="216"/>
      <w:bookmarkEnd w:id="217"/>
      <w:bookmarkEnd w:id="218"/>
      <w:bookmarkEnd w:id="219"/>
    </w:p>
    <w:p>
      <w:pPr>
        <w:pStyle w:val="80"/>
        <w:numPr>
          <w:ilvl w:val="0"/>
          <w:numId w:val="91"/>
        </w:numPr>
        <w:spacing w:before="60" w:after="120"/>
        <w:jc w:val="both"/>
        <w:outlineLvl w:val="9"/>
        <w:rPr>
          <w:rFonts w:ascii="Times New Roman" w:eastAsia="宋体"/>
          <w:kern w:val="2"/>
          <w:szCs w:val="21"/>
        </w:rPr>
      </w:pPr>
      <w:bookmarkStart w:id="220" w:name="_Toc129855773"/>
      <w:bookmarkStart w:id="221" w:name="_Toc129783191"/>
      <w:bookmarkStart w:id="222" w:name="_Toc129782138"/>
      <w:bookmarkStart w:id="223" w:name="_Toc129855999"/>
      <w:r>
        <w:rPr>
          <w:rFonts w:ascii="Times New Roman" w:eastAsia="宋体"/>
          <w:szCs w:val="21"/>
        </w:rPr>
        <w:t>路面太阳辐射反射系数的检测仪器采用太阳辐射反射率测试仪。太阳辐射反射率测试</w:t>
      </w:r>
      <w:bookmarkEnd w:id="220"/>
      <w:bookmarkEnd w:id="221"/>
      <w:bookmarkEnd w:id="222"/>
      <w:bookmarkEnd w:id="223"/>
    </w:p>
    <w:p>
      <w:pPr>
        <w:pStyle w:val="80"/>
        <w:numPr>
          <w:ilvl w:val="0"/>
          <w:numId w:val="0"/>
        </w:numPr>
        <w:spacing w:before="60" w:after="120"/>
        <w:jc w:val="both"/>
        <w:outlineLvl w:val="9"/>
        <w:rPr>
          <w:rFonts w:ascii="Times New Roman" w:eastAsia="宋体"/>
          <w:kern w:val="2"/>
          <w:szCs w:val="21"/>
        </w:rPr>
      </w:pPr>
      <w:bookmarkStart w:id="224" w:name="_Toc129782139"/>
      <w:bookmarkStart w:id="225" w:name="_Toc129855774"/>
      <w:bookmarkStart w:id="226" w:name="_Toc129783192"/>
      <w:bookmarkStart w:id="227" w:name="_Toc129856000"/>
      <w:r>
        <w:rPr>
          <w:rFonts w:ascii="Times New Roman" w:eastAsia="宋体"/>
          <w:szCs w:val="21"/>
        </w:rPr>
        <w:t>仪由数据采集设备、数据储存设备、固定支架及电源四部分组成，如图C.0.1所示</w:t>
      </w:r>
      <w:bookmarkEnd w:id="224"/>
      <w:bookmarkEnd w:id="225"/>
      <w:bookmarkEnd w:id="226"/>
      <w:bookmarkEnd w:id="227"/>
    </w:p>
    <w:p>
      <w:pPr>
        <w:pStyle w:val="216"/>
        <w:wordWrap/>
        <w:rPr>
          <w:rFonts w:ascii="Times New Roman"/>
        </w:rPr>
      </w:pPr>
      <w:r>
        <w:rPr>
          <w:rFonts w:ascii="Times New Roman"/>
        </w:rPr>
        <w:drawing>
          <wp:inline distT="0" distB="0" distL="0" distR="0">
            <wp:extent cx="5295900" cy="1798320"/>
            <wp:effectExtent l="0" t="0" r="0" b="0"/>
            <wp:docPr id="311" name="图片 3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1" name="图片 311"/>
                    <pic:cNvPicPr>
                      <a:picLocks noChangeAspect="true"/>
                    </pic:cNvPicPr>
                  </pic:nvPicPr>
                  <pic:blipFill>
                    <a:blip r:embed="rId34"/>
                    <a:stretch>
                      <a:fillRect/>
                    </a:stretch>
                  </pic:blipFill>
                  <pic:spPr>
                    <a:xfrm>
                      <a:off x="0" y="0"/>
                      <a:ext cx="5295900" cy="1798320"/>
                    </a:xfrm>
                    <a:prstGeom prst="rect">
                      <a:avLst/>
                    </a:prstGeom>
                  </pic:spPr>
                </pic:pic>
              </a:graphicData>
            </a:graphic>
          </wp:inline>
        </w:drawing>
      </w:r>
    </w:p>
    <w:p>
      <w:pPr>
        <w:autoSpaceDE w:val="0"/>
        <w:spacing w:line="460" w:lineRule="exact"/>
        <w:jc w:val="center"/>
        <w:rPr>
          <w:rFonts w:ascii="Times New Roman" w:hAnsi="Times New Roman"/>
        </w:rPr>
      </w:pPr>
      <w:r>
        <w:rPr>
          <w:rFonts w:ascii="Times New Roman" w:hAnsi="Times New Roman"/>
        </w:rPr>
        <w:t>图C.0.1  太阳辐射反射频率测试仪示意图</w:t>
      </w:r>
    </w:p>
    <w:p>
      <w:pPr>
        <w:pStyle w:val="80"/>
        <w:numPr>
          <w:ilvl w:val="0"/>
          <w:numId w:val="91"/>
        </w:numPr>
        <w:spacing w:before="60" w:after="120"/>
        <w:jc w:val="both"/>
        <w:outlineLvl w:val="9"/>
        <w:rPr>
          <w:rFonts w:ascii="Times New Roman" w:eastAsia="宋体"/>
          <w:szCs w:val="21"/>
        </w:rPr>
      </w:pPr>
      <w:bookmarkStart w:id="228" w:name="_Toc129855775"/>
      <w:bookmarkStart w:id="229" w:name="_Toc129856001"/>
      <w:bookmarkStart w:id="230" w:name="_Toc129783193"/>
      <w:bookmarkStart w:id="231" w:name="_Toc129782140"/>
      <w:r>
        <w:rPr>
          <w:rFonts w:ascii="Times New Roman" w:eastAsia="宋体"/>
          <w:szCs w:val="21"/>
        </w:rPr>
        <w:t>数据采集设备包含但不限于以下两种：</w:t>
      </w:r>
      <w:bookmarkEnd w:id="228"/>
      <w:bookmarkEnd w:id="229"/>
      <w:bookmarkEnd w:id="230"/>
      <w:bookmarkEnd w:id="231"/>
    </w:p>
    <w:p>
      <w:pPr>
        <w:pStyle w:val="178"/>
        <w:numPr>
          <w:ilvl w:val="0"/>
          <w:numId w:val="92"/>
        </w:numPr>
        <w:rPr>
          <w:rFonts w:ascii="Times New Roman"/>
        </w:rPr>
      </w:pPr>
      <w:r>
        <w:rPr>
          <w:rFonts w:ascii="Times New Roman"/>
        </w:rPr>
        <w:t xml:space="preserve"> 单向太阳辐射强度仪，只能分别对入射辐射强度和反射辐射强度数据进行采集；</w:t>
      </w:r>
    </w:p>
    <w:p>
      <w:pPr>
        <w:pStyle w:val="178"/>
        <w:numPr>
          <w:ilvl w:val="0"/>
          <w:numId w:val="92"/>
        </w:numPr>
        <w:rPr>
          <w:rFonts w:ascii="Times New Roman"/>
        </w:rPr>
      </w:pPr>
      <w:r>
        <w:rPr>
          <w:rFonts w:ascii="Times New Roman"/>
        </w:rPr>
        <w:t xml:space="preserve"> 双向太阳辐射强度仪，只能分别对入射辐射强度和反射辐射强度数据进行采集；</w:t>
      </w:r>
    </w:p>
    <w:p>
      <w:pPr>
        <w:pStyle w:val="80"/>
        <w:numPr>
          <w:ilvl w:val="0"/>
          <w:numId w:val="91"/>
        </w:numPr>
        <w:spacing w:before="60" w:after="120"/>
        <w:jc w:val="both"/>
        <w:outlineLvl w:val="9"/>
        <w:rPr>
          <w:rFonts w:ascii="Times New Roman" w:eastAsia="宋体"/>
          <w:szCs w:val="21"/>
        </w:rPr>
      </w:pPr>
      <w:bookmarkStart w:id="232" w:name="_Toc129855776"/>
      <w:bookmarkStart w:id="233" w:name="_Toc129782141"/>
      <w:bookmarkStart w:id="234" w:name="_Toc129783194"/>
      <w:bookmarkStart w:id="235" w:name="_Toc129856002"/>
      <w:r>
        <w:rPr>
          <w:rFonts w:ascii="Times New Roman" w:eastAsia="宋体"/>
          <w:szCs w:val="21"/>
        </w:rPr>
        <w:t>数据储蓄设备应满足自动存储、数据安全、便于提取的要求。固定数据采集设备的</w:t>
      </w:r>
    </w:p>
    <w:p>
      <w:pPr>
        <w:pStyle w:val="80"/>
        <w:numPr>
          <w:ilvl w:val="0"/>
          <w:numId w:val="0"/>
        </w:numPr>
        <w:spacing w:before="60" w:after="120"/>
        <w:jc w:val="both"/>
        <w:outlineLvl w:val="9"/>
        <w:rPr>
          <w:rFonts w:ascii="Times New Roman" w:eastAsia="宋体"/>
          <w:szCs w:val="21"/>
        </w:rPr>
      </w:pPr>
      <w:r>
        <w:rPr>
          <w:rFonts w:ascii="Times New Roman" w:eastAsia="宋体"/>
          <w:szCs w:val="21"/>
        </w:rPr>
        <w:t>（可</w:t>
      </w:r>
      <w:bookmarkEnd w:id="232"/>
      <w:bookmarkEnd w:id="233"/>
      <w:bookmarkEnd w:id="234"/>
      <w:bookmarkEnd w:id="235"/>
      <w:bookmarkStart w:id="236" w:name="_Toc129782142"/>
      <w:bookmarkStart w:id="237" w:name="_Toc129783195"/>
      <w:bookmarkStart w:id="238" w:name="_Toc129856003"/>
      <w:bookmarkStart w:id="239" w:name="_Toc129855777"/>
      <w:r>
        <w:rPr>
          <w:rFonts w:ascii="Times New Roman" w:eastAsia="宋体"/>
          <w:szCs w:val="21"/>
        </w:rPr>
        <w:t>调）悬臂伸出支架水平中心不宜小于1m，测试范围内不应有阴影。</w:t>
      </w:r>
      <w:bookmarkEnd w:id="236"/>
      <w:bookmarkEnd w:id="237"/>
      <w:bookmarkEnd w:id="238"/>
      <w:bookmarkEnd w:id="239"/>
    </w:p>
    <w:p>
      <w:pPr>
        <w:pStyle w:val="80"/>
        <w:numPr>
          <w:ilvl w:val="0"/>
          <w:numId w:val="91"/>
        </w:numPr>
        <w:spacing w:before="60" w:after="120"/>
        <w:jc w:val="both"/>
        <w:outlineLvl w:val="9"/>
        <w:rPr>
          <w:rFonts w:ascii="Times New Roman" w:eastAsia="宋体"/>
          <w:szCs w:val="21"/>
        </w:rPr>
      </w:pPr>
      <w:bookmarkStart w:id="240" w:name="_Toc129855778"/>
      <w:bookmarkStart w:id="241" w:name="_Toc129782143"/>
      <w:bookmarkStart w:id="242" w:name="_Toc129856004"/>
      <w:bookmarkStart w:id="243" w:name="_Toc129783196"/>
      <w:r>
        <w:rPr>
          <w:rFonts w:ascii="Times New Roman" w:eastAsia="宋体"/>
          <w:szCs w:val="21"/>
        </w:rPr>
        <w:t>在晴天无云的天气条件下测试，测试应在太阳入射光线与路面的夹角不小于45°时</w:t>
      </w:r>
      <w:bookmarkEnd w:id="240"/>
      <w:bookmarkEnd w:id="241"/>
      <w:bookmarkEnd w:id="242"/>
      <w:bookmarkEnd w:id="243"/>
    </w:p>
    <w:p>
      <w:pPr>
        <w:pStyle w:val="80"/>
        <w:numPr>
          <w:ilvl w:val="0"/>
          <w:numId w:val="0"/>
        </w:numPr>
        <w:spacing w:before="60" w:after="120"/>
        <w:jc w:val="both"/>
        <w:outlineLvl w:val="9"/>
        <w:rPr>
          <w:rFonts w:ascii="Times New Roman" w:eastAsia="宋体"/>
          <w:szCs w:val="21"/>
        </w:rPr>
      </w:pPr>
      <w:bookmarkStart w:id="244" w:name="_Toc129783197"/>
      <w:bookmarkStart w:id="245" w:name="_Toc129855779"/>
      <w:bookmarkStart w:id="246" w:name="_Toc129856005"/>
      <w:bookmarkStart w:id="247" w:name="_Toc129782144"/>
      <w:r>
        <w:rPr>
          <w:rFonts w:ascii="Times New Roman" w:eastAsia="宋体"/>
          <w:szCs w:val="21"/>
        </w:rPr>
        <w:t>进行。在夏季，一般测试时间为12:00~14:00，不宜在11:00之前，也不宜在15:00之后进行测试。</w:t>
      </w:r>
      <w:bookmarkEnd w:id="244"/>
      <w:bookmarkEnd w:id="245"/>
      <w:bookmarkEnd w:id="246"/>
      <w:bookmarkEnd w:id="247"/>
    </w:p>
    <w:p>
      <w:pPr>
        <w:pStyle w:val="80"/>
        <w:numPr>
          <w:ilvl w:val="0"/>
          <w:numId w:val="91"/>
        </w:numPr>
        <w:spacing w:before="60" w:after="120"/>
        <w:jc w:val="both"/>
        <w:outlineLvl w:val="9"/>
        <w:rPr>
          <w:rFonts w:ascii="Times New Roman" w:eastAsia="宋体"/>
          <w:szCs w:val="21"/>
        </w:rPr>
      </w:pPr>
      <w:bookmarkStart w:id="248" w:name="_Toc129855780"/>
      <w:bookmarkStart w:id="249" w:name="_Toc129783198"/>
      <w:bookmarkStart w:id="250" w:name="_Toc129782145"/>
      <w:bookmarkStart w:id="251" w:name="_Toc129856006"/>
      <w:r>
        <w:rPr>
          <w:rFonts w:ascii="Times New Roman" w:eastAsia="宋体"/>
          <w:szCs w:val="21"/>
        </w:rPr>
        <w:t>测试地点应选择平整或者坡度较小且无明显破损路面处，且应距离标线、井盖、道路</w:t>
      </w:r>
      <w:bookmarkEnd w:id="248"/>
      <w:bookmarkEnd w:id="249"/>
      <w:bookmarkEnd w:id="250"/>
      <w:bookmarkEnd w:id="251"/>
    </w:p>
    <w:p>
      <w:pPr>
        <w:pStyle w:val="80"/>
        <w:numPr>
          <w:ilvl w:val="0"/>
          <w:numId w:val="0"/>
        </w:numPr>
        <w:spacing w:before="60" w:after="120"/>
        <w:jc w:val="both"/>
        <w:outlineLvl w:val="9"/>
        <w:rPr>
          <w:rFonts w:ascii="Times New Roman" w:eastAsia="宋体"/>
          <w:szCs w:val="21"/>
        </w:rPr>
      </w:pPr>
      <w:bookmarkStart w:id="252" w:name="_Toc129783199"/>
      <w:bookmarkStart w:id="253" w:name="_Toc129856007"/>
      <w:bookmarkStart w:id="254" w:name="_Toc129782146"/>
      <w:bookmarkStart w:id="255" w:name="_Toc129855781"/>
      <w:r>
        <w:rPr>
          <w:rFonts w:ascii="Times New Roman" w:eastAsia="宋体"/>
          <w:szCs w:val="21"/>
        </w:rPr>
        <w:t>边缘、行人、车辆等干扰因素至少1m以上，确保上方无遮挡光线的树木、建筑等。</w:t>
      </w:r>
      <w:bookmarkEnd w:id="252"/>
      <w:bookmarkEnd w:id="253"/>
      <w:bookmarkEnd w:id="254"/>
      <w:bookmarkEnd w:id="255"/>
    </w:p>
    <w:p>
      <w:pPr>
        <w:pStyle w:val="80"/>
        <w:numPr>
          <w:ilvl w:val="0"/>
          <w:numId w:val="91"/>
        </w:numPr>
        <w:spacing w:before="60" w:after="120"/>
        <w:jc w:val="both"/>
        <w:outlineLvl w:val="9"/>
        <w:rPr>
          <w:rFonts w:ascii="Times New Roman" w:eastAsia="宋体"/>
          <w:szCs w:val="21"/>
        </w:rPr>
      </w:pPr>
      <w:bookmarkStart w:id="256" w:name="_Toc129856008"/>
      <w:bookmarkStart w:id="257" w:name="_Toc129782147"/>
      <w:bookmarkStart w:id="258" w:name="_Toc129783200"/>
      <w:bookmarkStart w:id="259" w:name="_Toc129855782"/>
      <w:r>
        <w:rPr>
          <w:rFonts w:ascii="Times New Roman" w:eastAsia="宋体"/>
          <w:szCs w:val="21"/>
        </w:rPr>
        <w:t>仪器安置在测试点后，调整测试支架的位置，使其悬臂杆中心距地面0.5m，调平数据</w:t>
      </w:r>
      <w:bookmarkEnd w:id="256"/>
      <w:bookmarkEnd w:id="257"/>
      <w:bookmarkEnd w:id="258"/>
      <w:bookmarkEnd w:id="259"/>
    </w:p>
    <w:p>
      <w:pPr>
        <w:pStyle w:val="80"/>
        <w:numPr>
          <w:ilvl w:val="0"/>
          <w:numId w:val="0"/>
        </w:numPr>
        <w:spacing w:before="60" w:after="120"/>
        <w:jc w:val="both"/>
        <w:outlineLvl w:val="9"/>
        <w:rPr>
          <w:rFonts w:ascii="Times New Roman" w:eastAsia="宋体"/>
          <w:szCs w:val="21"/>
        </w:rPr>
      </w:pPr>
      <w:bookmarkStart w:id="260" w:name="_Toc129855783"/>
      <w:bookmarkStart w:id="261" w:name="_Toc129782148"/>
      <w:bookmarkStart w:id="262" w:name="_Toc129856009"/>
      <w:bookmarkStart w:id="263" w:name="_Toc129783201"/>
      <w:r>
        <w:rPr>
          <w:rFonts w:ascii="Times New Roman" w:eastAsia="宋体"/>
          <w:szCs w:val="21"/>
        </w:rPr>
        <w:t>采集仪，确保水准气泡位于中心。</w:t>
      </w:r>
      <w:bookmarkEnd w:id="260"/>
      <w:bookmarkEnd w:id="261"/>
      <w:bookmarkEnd w:id="262"/>
      <w:bookmarkEnd w:id="263"/>
    </w:p>
    <w:p>
      <w:pPr>
        <w:pStyle w:val="80"/>
        <w:numPr>
          <w:ilvl w:val="0"/>
          <w:numId w:val="91"/>
        </w:numPr>
        <w:spacing w:before="60" w:after="120"/>
        <w:jc w:val="both"/>
        <w:outlineLvl w:val="9"/>
        <w:rPr>
          <w:rFonts w:ascii="Times New Roman"/>
        </w:rPr>
      </w:pPr>
      <w:bookmarkStart w:id="264" w:name="_Toc129783202"/>
      <w:bookmarkStart w:id="265" w:name="_Toc129855784"/>
      <w:bookmarkStart w:id="266" w:name="_Toc129856010"/>
      <w:bookmarkStart w:id="267" w:name="_Toc129782149"/>
      <w:r>
        <w:rPr>
          <w:rFonts w:ascii="Times New Roman" w:eastAsia="宋体"/>
          <w:szCs w:val="21"/>
        </w:rPr>
        <w:t>对仪器进行组装，当为双向测试时，将太阳辐射强度数据采集仪按上、下面设置（水</w:t>
      </w:r>
      <w:bookmarkEnd w:id="264"/>
      <w:bookmarkEnd w:id="265"/>
      <w:bookmarkEnd w:id="266"/>
      <w:bookmarkEnd w:id="267"/>
    </w:p>
    <w:p>
      <w:pPr>
        <w:pStyle w:val="80"/>
        <w:numPr>
          <w:ilvl w:val="0"/>
          <w:numId w:val="0"/>
        </w:numPr>
        <w:spacing w:before="60" w:after="120"/>
        <w:jc w:val="both"/>
        <w:outlineLvl w:val="9"/>
        <w:rPr>
          <w:rFonts w:ascii="Times New Roman"/>
        </w:rPr>
      </w:pPr>
      <w:bookmarkStart w:id="268" w:name="_Toc129783203"/>
      <w:bookmarkStart w:id="269" w:name="_Toc129782150"/>
      <w:bookmarkStart w:id="270" w:name="_Toc129856011"/>
      <w:bookmarkStart w:id="271" w:name="_Toc129855785"/>
      <w:r>
        <w:rPr>
          <w:rFonts w:ascii="Times New Roman" w:eastAsia="宋体"/>
          <w:szCs w:val="21"/>
        </w:rPr>
        <w:t>准气泡的一面朝上）；单向测试时则不受限制。在测试完一个地点后应将电源关闭，测试下一地点时重新开启，电源关闭时间不宜少于10s，以便区分测点数据。</w:t>
      </w:r>
      <w:bookmarkEnd w:id="268"/>
      <w:bookmarkEnd w:id="269"/>
      <w:bookmarkEnd w:id="270"/>
      <w:bookmarkEnd w:id="271"/>
    </w:p>
    <w:p>
      <w:pPr>
        <w:pStyle w:val="80"/>
        <w:numPr>
          <w:ilvl w:val="0"/>
          <w:numId w:val="91"/>
        </w:numPr>
        <w:spacing w:before="60" w:after="120"/>
        <w:jc w:val="both"/>
        <w:outlineLvl w:val="9"/>
        <w:rPr>
          <w:rFonts w:ascii="Times New Roman" w:eastAsia="宋体"/>
          <w:szCs w:val="21"/>
        </w:rPr>
      </w:pPr>
      <w:bookmarkStart w:id="272" w:name="_Toc129782151"/>
      <w:bookmarkStart w:id="273" w:name="_Toc129855786"/>
      <w:bookmarkStart w:id="274" w:name="_Toc129856012"/>
      <w:bookmarkStart w:id="275" w:name="_Toc129783204"/>
      <w:r>
        <w:rPr>
          <w:rFonts w:ascii="Times New Roman" w:eastAsia="宋体"/>
          <w:szCs w:val="21"/>
        </w:rPr>
        <w:t>通过软件系统分别读取测得的入射太阳辐射强度和反射太阳辐射强度数据，在保证数</w:t>
      </w:r>
      <w:bookmarkEnd w:id="272"/>
      <w:bookmarkEnd w:id="273"/>
      <w:bookmarkEnd w:id="274"/>
      <w:bookmarkEnd w:id="275"/>
    </w:p>
    <w:p>
      <w:pPr>
        <w:pStyle w:val="80"/>
        <w:numPr>
          <w:ilvl w:val="0"/>
          <w:numId w:val="0"/>
        </w:numPr>
        <w:spacing w:before="60" w:after="120"/>
        <w:jc w:val="both"/>
        <w:outlineLvl w:val="9"/>
        <w:rPr>
          <w:rFonts w:ascii="Times New Roman" w:eastAsia="宋体"/>
          <w:szCs w:val="21"/>
        </w:rPr>
      </w:pPr>
      <w:bookmarkStart w:id="276" w:name="_Toc129783205"/>
      <w:bookmarkStart w:id="277" w:name="_Toc129855787"/>
      <w:bookmarkStart w:id="278" w:name="_Toc129782152"/>
      <w:bookmarkStart w:id="279" w:name="_Toc129856013"/>
      <w:r>
        <w:rPr>
          <w:rFonts w:ascii="Times New Roman" w:eastAsia="宋体"/>
          <w:szCs w:val="21"/>
        </w:rPr>
        <w:t>据采集正常时，记录测试时间和地点，并对现场拍照记录。按以上步骤对不同地点的路面太阳辐射反射率进行测试。</w:t>
      </w:r>
      <w:bookmarkEnd w:id="276"/>
      <w:bookmarkEnd w:id="277"/>
      <w:bookmarkEnd w:id="278"/>
      <w:bookmarkEnd w:id="279"/>
    </w:p>
    <w:p>
      <w:pPr>
        <w:pStyle w:val="80"/>
        <w:numPr>
          <w:ilvl w:val="0"/>
          <w:numId w:val="91"/>
        </w:numPr>
        <w:spacing w:before="60" w:after="120"/>
        <w:jc w:val="both"/>
        <w:outlineLvl w:val="9"/>
        <w:rPr>
          <w:rFonts w:ascii="Times New Roman" w:eastAsia="宋体"/>
          <w:szCs w:val="21"/>
        </w:rPr>
      </w:pPr>
      <w:bookmarkStart w:id="280" w:name="_Toc129782153"/>
      <w:bookmarkStart w:id="281" w:name="_Toc129856014"/>
      <w:bookmarkStart w:id="282" w:name="_Toc129783206"/>
      <w:bookmarkStart w:id="283" w:name="_Toc129855788"/>
      <w:r>
        <w:rPr>
          <w:rFonts w:ascii="Times New Roman" w:eastAsia="宋体"/>
          <w:szCs w:val="21"/>
        </w:rPr>
        <w:t>当为单向数据采集仪时，同一地点入射辐射和反射辐射的测量时间间隔不大于2min。</w:t>
      </w:r>
      <w:bookmarkEnd w:id="280"/>
      <w:bookmarkEnd w:id="281"/>
      <w:bookmarkEnd w:id="282"/>
      <w:bookmarkEnd w:id="283"/>
    </w:p>
    <w:p>
      <w:pPr>
        <w:pStyle w:val="80"/>
        <w:numPr>
          <w:ilvl w:val="0"/>
          <w:numId w:val="91"/>
        </w:numPr>
        <w:spacing w:before="60" w:after="120"/>
        <w:jc w:val="both"/>
        <w:outlineLvl w:val="9"/>
        <w:rPr>
          <w:rFonts w:ascii="Times New Roman" w:eastAsia="宋体"/>
          <w:szCs w:val="21"/>
        </w:rPr>
      </w:pPr>
      <w:bookmarkStart w:id="284" w:name="_Toc129856015"/>
      <w:bookmarkStart w:id="285" w:name="_Toc129855789"/>
      <w:bookmarkStart w:id="286" w:name="_Toc129782154"/>
      <w:bookmarkStart w:id="287" w:name="_Toc129783207"/>
      <w:r>
        <w:rPr>
          <w:rFonts w:ascii="Times New Roman" w:eastAsia="宋体"/>
          <w:szCs w:val="21"/>
        </w:rPr>
        <w:t>根据测试目的设置采集设备的数据采集频率（通常采集时间间隔为10s）和数量。点点采集数据不少于6个。对同一种路面测点不少于3处，各处之间的间距不小于1m。</w:t>
      </w:r>
      <w:bookmarkEnd w:id="284"/>
      <w:bookmarkEnd w:id="285"/>
      <w:bookmarkEnd w:id="286"/>
      <w:bookmarkEnd w:id="287"/>
    </w:p>
    <w:p>
      <w:pPr>
        <w:pStyle w:val="80"/>
        <w:numPr>
          <w:ilvl w:val="0"/>
          <w:numId w:val="91"/>
        </w:numPr>
        <w:spacing w:before="60" w:after="120"/>
        <w:jc w:val="both"/>
        <w:outlineLvl w:val="9"/>
        <w:rPr>
          <w:rFonts w:ascii="Times New Roman" w:eastAsia="宋体"/>
          <w:szCs w:val="21"/>
        </w:rPr>
      </w:pPr>
      <w:bookmarkStart w:id="288" w:name="_Toc129856016"/>
      <w:bookmarkStart w:id="289" w:name="_Toc129783208"/>
      <w:bookmarkStart w:id="290" w:name="_Toc129782155"/>
      <w:bookmarkStart w:id="291" w:name="_Toc129855790"/>
      <w:r>
        <w:rPr>
          <w:rFonts w:ascii="Times New Roman" w:eastAsia="宋体"/>
          <w:szCs w:val="21"/>
        </w:rPr>
        <w:t>按下式计算路面太阳辐射反射率：</w:t>
      </w:r>
      <w:bookmarkEnd w:id="288"/>
      <w:bookmarkEnd w:id="289"/>
      <w:bookmarkEnd w:id="290"/>
      <w:bookmarkEnd w:id="291"/>
    </w:p>
    <w:p>
      <w:pPr>
        <w:autoSpaceDE w:val="0"/>
        <w:spacing w:line="240" w:lineRule="auto"/>
        <w:jc w:val="center"/>
        <w:rPr>
          <w:rFonts w:ascii="Times New Roman" w:hAnsi="Times New Roman"/>
        </w:rPr>
      </w:pPr>
      <w:r>
        <w:rPr>
          <w:rFonts w:ascii="Times New Roman" w:hAnsi="Times New Roman"/>
        </w:rPr>
        <w:drawing>
          <wp:inline distT="0" distB="0" distL="0" distR="0">
            <wp:extent cx="641350" cy="457200"/>
            <wp:effectExtent l="0" t="0" r="6350" b="0"/>
            <wp:docPr id="313" name="图片 3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3" name="图片 313"/>
                    <pic:cNvPicPr>
                      <a:picLocks noChangeAspect="true"/>
                    </pic:cNvPicPr>
                  </pic:nvPicPr>
                  <pic:blipFill>
                    <a:blip r:embed="rId35"/>
                    <a:stretch>
                      <a:fillRect/>
                    </a:stretch>
                  </pic:blipFill>
                  <pic:spPr>
                    <a:xfrm>
                      <a:off x="0" y="0"/>
                      <a:ext cx="646027" cy="460593"/>
                    </a:xfrm>
                    <a:prstGeom prst="rect">
                      <a:avLst/>
                    </a:prstGeom>
                  </pic:spPr>
                </pic:pic>
              </a:graphicData>
            </a:graphic>
          </wp:inline>
        </w:drawing>
      </w:r>
    </w:p>
    <w:p>
      <w:pPr>
        <w:autoSpaceDE w:val="0"/>
        <w:spacing w:line="460" w:lineRule="exact"/>
        <w:jc w:val="left"/>
        <w:rPr>
          <w:rFonts w:ascii="Times New Roman" w:hAnsi="Times New Roman"/>
        </w:rPr>
      </w:pPr>
      <w:r>
        <w:rPr>
          <w:rFonts w:ascii="Times New Roman" w:hAnsi="Times New Roman"/>
        </w:rPr>
        <w:t>式中：R——路面太阳辐射反射率，计算结果精确至1%；</w:t>
      </w:r>
    </w:p>
    <w:p>
      <w:pPr>
        <w:autoSpaceDE w:val="0"/>
        <w:spacing w:line="460" w:lineRule="exact"/>
        <w:jc w:val="left"/>
        <w:rPr>
          <w:rFonts w:ascii="Times New Roman" w:hAnsi="Times New Roman"/>
        </w:rPr>
      </w:pPr>
      <w:r>
        <w:rPr>
          <w:rFonts w:ascii="Times New Roman" w:hAnsi="Times New Roman"/>
        </w:rPr>
        <w:t xml:space="preserve">      I</w:t>
      </w:r>
      <w:r>
        <w:rPr>
          <w:rFonts w:ascii="Times New Roman" w:hAnsi="Times New Roman"/>
          <w:vertAlign w:val="subscript"/>
        </w:rPr>
        <w:t>1</w:t>
      </w:r>
      <w:r>
        <w:rPr>
          <w:rFonts w:ascii="Times New Roman" w:hAnsi="Times New Roman"/>
        </w:rPr>
        <w:t>——反射太阳辐射强度（W/㎡）；</w:t>
      </w:r>
    </w:p>
    <w:p>
      <w:pPr>
        <w:autoSpaceDE w:val="0"/>
        <w:spacing w:line="460" w:lineRule="exact"/>
        <w:jc w:val="left"/>
        <w:rPr>
          <w:rFonts w:ascii="Times New Roman" w:hAnsi="Times New Roman"/>
        </w:rPr>
      </w:pPr>
      <w:r>
        <w:rPr>
          <w:rFonts w:ascii="Times New Roman" w:hAnsi="Times New Roman"/>
        </w:rPr>
        <w:t xml:space="preserve">      I</w:t>
      </w:r>
      <w:r>
        <w:rPr>
          <w:rFonts w:ascii="Times New Roman" w:hAnsi="Times New Roman"/>
          <w:vertAlign w:val="subscript"/>
        </w:rPr>
        <w:t>2</w:t>
      </w:r>
      <w:r>
        <w:rPr>
          <w:rFonts w:ascii="Times New Roman" w:hAnsi="Times New Roman"/>
        </w:rPr>
        <w:t>——入射太阳辐射强度（W/㎡）。</w:t>
      </w:r>
    </w:p>
    <w:p>
      <w:pPr>
        <w:pStyle w:val="80"/>
        <w:numPr>
          <w:ilvl w:val="0"/>
          <w:numId w:val="91"/>
        </w:numPr>
        <w:spacing w:before="60" w:after="120"/>
        <w:jc w:val="both"/>
        <w:outlineLvl w:val="9"/>
        <w:rPr>
          <w:rFonts w:ascii="Times New Roman" w:eastAsia="宋体"/>
          <w:szCs w:val="21"/>
        </w:rPr>
      </w:pPr>
      <w:bookmarkStart w:id="292" w:name="_Toc129856017"/>
      <w:bookmarkStart w:id="293" w:name="_Toc129782156"/>
      <w:bookmarkStart w:id="294" w:name="_Toc129783209"/>
      <w:bookmarkStart w:id="295" w:name="_Toc129855791"/>
      <w:r>
        <w:rPr>
          <w:rFonts w:ascii="Times New Roman" w:eastAsia="宋体"/>
          <w:szCs w:val="21"/>
        </w:rPr>
        <w:t>同一路面各处反射率测试结果变异系数CV不大于15%时，取平均值为路面的反射率；</w:t>
      </w:r>
      <w:bookmarkEnd w:id="292"/>
      <w:bookmarkEnd w:id="293"/>
      <w:bookmarkEnd w:id="294"/>
      <w:bookmarkEnd w:id="295"/>
    </w:p>
    <w:p>
      <w:pPr>
        <w:pStyle w:val="80"/>
        <w:numPr>
          <w:ilvl w:val="0"/>
          <w:numId w:val="0"/>
        </w:numPr>
        <w:spacing w:before="60" w:after="120"/>
        <w:jc w:val="both"/>
        <w:outlineLvl w:val="9"/>
        <w:rPr>
          <w:rFonts w:ascii="Times New Roman" w:eastAsia="宋体"/>
          <w:szCs w:val="21"/>
        </w:rPr>
      </w:pPr>
      <w:bookmarkStart w:id="296" w:name="_Toc129783210"/>
      <w:bookmarkStart w:id="297" w:name="_Toc129782157"/>
      <w:bookmarkStart w:id="298" w:name="_Toc129855792"/>
      <w:bookmarkStart w:id="299" w:name="_Toc129856018"/>
      <w:r>
        <w:rPr>
          <w:rFonts w:ascii="Times New Roman" w:eastAsia="宋体"/>
          <w:szCs w:val="21"/>
        </w:rPr>
        <w:t>当变异系数CV大于15%时，应重新进行测试。</w:t>
      </w:r>
      <w:bookmarkEnd w:id="296"/>
      <w:bookmarkEnd w:id="297"/>
      <w:bookmarkEnd w:id="298"/>
      <w:bookmarkEnd w:id="299"/>
    </w:p>
    <w:p>
      <w:pPr>
        <w:pStyle w:val="80"/>
        <w:numPr>
          <w:ilvl w:val="0"/>
          <w:numId w:val="91"/>
        </w:numPr>
        <w:spacing w:before="60" w:after="120"/>
        <w:jc w:val="both"/>
        <w:outlineLvl w:val="9"/>
        <w:rPr>
          <w:rFonts w:ascii="Times New Roman" w:eastAsia="宋体"/>
          <w:szCs w:val="21"/>
        </w:rPr>
        <w:sectPr>
          <w:pgSz w:w="11900" w:h="16840"/>
          <w:pgMar w:top="1460" w:right="1780" w:bottom="1460" w:left="1780" w:header="1032" w:footer="3" w:gutter="0"/>
          <w:cols w:space="720" w:num="1"/>
          <w:docGrid w:linePitch="360" w:charSpace="0"/>
        </w:sectPr>
      </w:pPr>
      <w:bookmarkStart w:id="300" w:name="_Toc129856019"/>
      <w:bookmarkStart w:id="301" w:name="_Toc129783211"/>
      <w:bookmarkStart w:id="302" w:name="_Toc129782158"/>
      <w:bookmarkStart w:id="303" w:name="_Toc129855793"/>
      <w:r>
        <w:rPr>
          <w:rFonts w:ascii="Times New Roman" w:eastAsia="宋体"/>
          <w:szCs w:val="21"/>
        </w:rPr>
        <w:t>路面太阳辐射反射率再现性允许误差为2%。</w:t>
      </w:r>
      <w:bookmarkEnd w:id="300"/>
      <w:bookmarkEnd w:id="301"/>
      <w:bookmarkEnd w:id="302"/>
      <w:bookmarkEnd w:id="303"/>
    </w:p>
    <w:p>
      <w:pPr>
        <w:pStyle w:val="202"/>
        <w:rPr>
          <w:vanish w:val="0"/>
        </w:rPr>
      </w:pPr>
    </w:p>
    <w:p>
      <w:pPr>
        <w:pStyle w:val="203"/>
        <w:rPr>
          <w:vanish w:val="0"/>
        </w:rPr>
      </w:pPr>
    </w:p>
    <w:p>
      <w:pPr>
        <w:pStyle w:val="80"/>
        <w:spacing w:before="60" w:after="120"/>
        <w:ind w:left="0"/>
        <w:rPr>
          <w:color w:val="000000" w:themeColor="text1"/>
          <w14:textFill>
            <w14:solidFill>
              <w14:schemeClr w14:val="tx1"/>
            </w14:solidFill>
          </w14:textFill>
        </w:rPr>
      </w:pPr>
      <w:r>
        <w:rPr>
          <w:color w:val="000000" w:themeColor="text1"/>
          <w14:textFill>
            <w14:solidFill>
              <w14:schemeClr w14:val="tx1"/>
            </w14:solidFill>
          </w14:textFill>
        </w:rPr>
        <w:br w:type="textWrapping"/>
      </w:r>
      <w:bookmarkStart w:id="304" w:name="_Toc129856020"/>
      <w:bookmarkStart w:id="305" w:name="_Toc129855794"/>
      <w:bookmarkStart w:id="306" w:name="_Toc129698166"/>
      <w:bookmarkStart w:id="307" w:name="_Toc129782159"/>
      <w:r>
        <w:rPr>
          <w:rFonts w:hint="eastAsia"/>
          <w:color w:val="000000" w:themeColor="text1"/>
          <w14:textFill>
            <w14:solidFill>
              <w14:schemeClr w14:val="tx1"/>
            </w14:solidFill>
          </w14:textFill>
        </w:rPr>
        <w:t>（规范性）</w:t>
      </w:r>
      <w:r>
        <w:rPr>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中空玻璃厚度及Low</w:t>
      </w:r>
      <w:r>
        <w:rPr>
          <w:color w:val="000000" w:themeColor="text1"/>
          <w14:textFill>
            <w14:solidFill>
              <w14:schemeClr w14:val="tx1"/>
            </w14:solidFill>
          </w14:textFill>
        </w:rPr>
        <w:t>-E</w:t>
      </w:r>
      <w:r>
        <w:rPr>
          <w:rFonts w:hint="eastAsia"/>
          <w:color w:val="000000" w:themeColor="text1"/>
          <w14:textFill>
            <w14:solidFill>
              <w14:schemeClr w14:val="tx1"/>
            </w14:solidFill>
          </w14:textFill>
        </w:rPr>
        <w:t>膜层位置现场检测方法</w:t>
      </w:r>
      <w:bookmarkEnd w:id="304"/>
      <w:bookmarkEnd w:id="305"/>
      <w:bookmarkEnd w:id="306"/>
      <w:bookmarkEnd w:id="307"/>
    </w:p>
    <w:p>
      <w:pPr>
        <w:pStyle w:val="83"/>
        <w:numPr>
          <w:ilvl w:val="2"/>
          <w:numId w:val="3"/>
        </w:numPr>
        <w:wordWrap/>
        <w:spacing w:before="0" w:beforeLines="0" w:after="0" w:afterLines="0"/>
        <w:outlineLvl w:val="9"/>
        <w:rPr>
          <w:rFonts w:ascii="Times New Roman" w:eastAsia="宋体"/>
          <w:color w:val="000000" w:themeColor="text1"/>
          <w14:textFill>
            <w14:solidFill>
              <w14:schemeClr w14:val="tx1"/>
            </w14:solidFill>
          </w14:textFill>
        </w:rPr>
      </w:pPr>
      <w:r>
        <w:rPr>
          <w:rFonts w:ascii="Times New Roman" w:eastAsia="宋体"/>
          <w:color w:val="000000" w:themeColor="text1"/>
          <w14:textFill>
            <w14:solidFill>
              <w14:schemeClr w14:val="tx1"/>
            </w14:solidFill>
          </w14:textFill>
        </w:rPr>
        <w:t xml:space="preserve"> 用于中空玻璃厚度检测的测厚仪的精度应不低于0.1mm；</w:t>
      </w:r>
    </w:p>
    <w:p>
      <w:pPr>
        <w:pStyle w:val="83"/>
        <w:numPr>
          <w:ilvl w:val="2"/>
          <w:numId w:val="3"/>
        </w:numPr>
        <w:wordWrap/>
        <w:spacing w:before="0" w:beforeLines="0" w:after="0" w:afterLines="0"/>
        <w:outlineLvl w:val="9"/>
        <w:rPr>
          <w:rFonts w:ascii="Times New Roman" w:eastAsia="宋体"/>
          <w:color w:val="000000" w:themeColor="text1"/>
          <w14:textFill>
            <w14:solidFill>
              <w14:schemeClr w14:val="tx1"/>
            </w14:solidFill>
          </w14:textFill>
        </w:rPr>
      </w:pPr>
      <w:r>
        <w:rPr>
          <w:rFonts w:ascii="Times New Roman" w:eastAsia="宋体"/>
          <w:color w:val="000000" w:themeColor="text1"/>
          <w14:textFill>
            <w14:solidFill>
              <w14:schemeClr w14:val="tx1"/>
            </w14:solidFill>
          </w14:textFill>
        </w:rPr>
        <w:t xml:space="preserve"> 用于中空玻璃Low-E膜层位置的鉴别仪应采用感应式原理，无探针，不破坏被测膜 </w:t>
      </w:r>
    </w:p>
    <w:p>
      <w:pPr>
        <w:pStyle w:val="83"/>
        <w:wordWrap/>
        <w:spacing w:before="0" w:beforeLines="0" w:after="0" w:afterLines="0"/>
        <w:outlineLvl w:val="9"/>
        <w:rPr>
          <w:rFonts w:ascii="Times New Roman" w:eastAsia="宋体"/>
          <w:color w:val="000000" w:themeColor="text1"/>
          <w14:textFill>
            <w14:solidFill>
              <w14:schemeClr w14:val="tx1"/>
            </w14:solidFill>
          </w14:textFill>
        </w:rPr>
      </w:pPr>
      <w:r>
        <w:rPr>
          <w:rFonts w:ascii="Times New Roman" w:eastAsia="宋体"/>
          <w:color w:val="000000" w:themeColor="text1"/>
          <w14:textFill>
            <w14:solidFill>
              <w14:schemeClr w14:val="tx1"/>
            </w14:solidFill>
          </w14:textFill>
        </w:rPr>
        <w:t>层， 能判断单片玻璃、中空玻璃是否镀有Low-E膜，仪器表面有显示Low-E膜位置的指示灯。</w:t>
      </w:r>
    </w:p>
    <w:p>
      <w:pPr>
        <w:pStyle w:val="83"/>
        <w:numPr>
          <w:ilvl w:val="2"/>
          <w:numId w:val="3"/>
        </w:numPr>
        <w:wordWrap/>
        <w:spacing w:before="0" w:beforeLines="0" w:after="0" w:afterLines="0"/>
        <w:outlineLvl w:val="9"/>
        <w:rPr>
          <w:rFonts w:ascii="Times New Roman" w:eastAsia="宋体"/>
          <w:color w:val="000000" w:themeColor="text1"/>
          <w14:textFill>
            <w14:solidFill>
              <w14:schemeClr w14:val="tx1"/>
            </w14:solidFill>
          </w14:textFill>
        </w:rPr>
      </w:pPr>
      <w:r>
        <w:rPr>
          <w:rFonts w:ascii="Times New Roman" w:eastAsia="宋体"/>
          <w:color w:val="000000" w:themeColor="text1"/>
          <w14:textFill>
            <w14:solidFill>
              <w14:schemeClr w14:val="tx1"/>
            </w14:solidFill>
          </w14:textFill>
        </w:rPr>
        <w:t xml:space="preserve"> 中空玻璃厚度检测按照下列方法进行：</w:t>
      </w:r>
    </w:p>
    <w:p>
      <w:pPr>
        <w:pStyle w:val="178"/>
        <w:numPr>
          <w:ilvl w:val="0"/>
          <w:numId w:val="93"/>
        </w:numPr>
        <w:rPr>
          <w:rFonts w:ascii="Times New Roman"/>
        </w:rPr>
      </w:pPr>
      <w:r>
        <w:rPr>
          <w:rFonts w:ascii="Times New Roman"/>
        </w:rPr>
        <w:t xml:space="preserve"> 选定第一块被测试中空玻璃：在选定的测试中空玻璃一侧，选取不少于5个检测点</w:t>
      </w:r>
    </w:p>
    <w:p>
      <w:pPr>
        <w:pStyle w:val="60"/>
        <w:ind w:firstLine="0" w:firstLineChars="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检测，且检测点距离中空玻璃边部不小于100mm；</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测试并读数：将测厚仪至于检测点上，分别测出中空玻璃每一层玻璃厚度，空气</w:t>
      </w:r>
    </w:p>
    <w:p>
      <w:pPr>
        <w:pStyle w:val="60"/>
        <w:ind w:firstLine="0" w:firstLineChars="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间隔层厚度；</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计算结果：取5个检测点测量值的算术平均值分别计算被测试中空玻璃的每一</w:t>
      </w:r>
      <w:r>
        <w:rPr>
          <w:rFonts w:hint="eastAsia" w:ascii="Times New Roman"/>
          <w:color w:val="000000" w:themeColor="text1"/>
          <w14:textFill>
            <w14:solidFill>
              <w14:schemeClr w14:val="tx1"/>
            </w14:solidFill>
          </w14:textFill>
        </w:rPr>
        <w:t>片</w:t>
      </w:r>
      <w:r>
        <w:rPr>
          <w:rFonts w:ascii="Times New Roman"/>
          <w:color w:val="000000" w:themeColor="text1"/>
          <w14:textFill>
            <w14:solidFill>
              <w14:schemeClr w14:val="tx1"/>
            </w14:solidFill>
          </w14:textFill>
        </w:rPr>
        <w:t>玻</w:t>
      </w:r>
    </w:p>
    <w:p>
      <w:pPr>
        <w:pStyle w:val="178"/>
        <w:numPr>
          <w:ilvl w:val="0"/>
          <w:numId w:val="0"/>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璃厚度，空气间隔层厚度，计算结果精确到整数位；</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重复步骤a、b、c分别进行第二块、第三块中空玻璃的测试；</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三块中空玻璃厚度检测结果均满足设计要求则判定为合格，否则判定为不合格。</w:t>
      </w:r>
    </w:p>
    <w:p>
      <w:pPr>
        <w:pStyle w:val="83"/>
        <w:numPr>
          <w:ilvl w:val="2"/>
          <w:numId w:val="3"/>
        </w:numPr>
        <w:wordWrap/>
        <w:spacing w:before="0" w:beforeLines="0" w:after="0" w:afterLines="0"/>
        <w:outlineLvl w:val="9"/>
        <w:rPr>
          <w:rFonts w:ascii="Times New Roman"/>
          <w:color w:val="000000" w:themeColor="text1"/>
          <w14:textFill>
            <w14:solidFill>
              <w14:schemeClr w14:val="tx1"/>
            </w14:solidFill>
          </w14:textFill>
        </w:rPr>
      </w:pPr>
      <w:r>
        <w:rPr>
          <w:rFonts w:ascii="Times New Roman" w:eastAsia="宋体"/>
          <w:color w:val="000000" w:themeColor="text1"/>
          <w14:textFill>
            <w14:solidFill>
              <w14:schemeClr w14:val="tx1"/>
            </w14:solidFill>
          </w14:textFill>
        </w:rPr>
        <w:t xml:space="preserve"> 中空玻璃Low-E膜层位置检测按照下列方法进行：</w:t>
      </w:r>
      <w:r>
        <w:rPr>
          <w:rFonts w:ascii="Times New Roman"/>
          <w:color w:val="000000" w:themeColor="text1"/>
          <w14:textFill>
            <w14:solidFill>
              <w14:schemeClr w14:val="tx1"/>
            </w14:solidFill>
          </w14:textFill>
        </w:rPr>
        <w:t xml:space="preserve">        </w:t>
      </w:r>
    </w:p>
    <w:p>
      <w:pPr>
        <w:pStyle w:val="178"/>
        <w:numPr>
          <w:ilvl w:val="0"/>
          <w:numId w:val="94"/>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将Low-E膜层鉴别仪至于第一块被测试中空玻璃的中部区域；</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打开开关，根据仪器显示情况进行判断是否存在Low-E膜及Low-E膜所处位置；</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室外侧和室内侧均应进行检测，并记录Low-E膜层处于第几面（从中空玻璃室外侧</w:t>
      </w:r>
    </w:p>
    <w:p>
      <w:pPr>
        <w:pStyle w:val="60"/>
        <w:ind w:firstLine="0" w:firstLineChars="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起算）；</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重复步骤a、b、c分别进行第二块、第三块中空玻璃的测试；</w:t>
      </w:r>
    </w:p>
    <w:p>
      <w:pPr>
        <w:pStyle w:val="178"/>
        <w:numPr>
          <w:ilvl w:val="0"/>
          <w:numId w:val="93"/>
        </w:numPr>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 三块中空玻璃Low-E膜所处位置检测结果均满足设计要求则判定为合格，</w:t>
      </w:r>
    </w:p>
    <w:p>
      <w:pPr>
        <w:pStyle w:val="60"/>
        <w:ind w:firstLine="0" w:firstLineChars="0"/>
        <w:rPr>
          <w:rFonts w:ascii="Times New Roman"/>
          <w:color w:val="000000" w:themeColor="text1"/>
          <w14:textFill>
            <w14:solidFill>
              <w14:schemeClr w14:val="tx1"/>
            </w14:solidFill>
          </w14:textFill>
        </w:rPr>
      </w:pPr>
      <w:r>
        <w:rPr>
          <w:rFonts w:ascii="Times New Roman"/>
          <w:color w:val="000000" w:themeColor="text1"/>
          <w14:textFill>
            <w14:solidFill>
              <w14:schemeClr w14:val="tx1"/>
            </w14:solidFill>
          </w14:textFill>
        </w:rPr>
        <w:t xml:space="preserve">否则判定为不合格。  </w:t>
      </w:r>
    </w:p>
    <w:p>
      <w:pPr>
        <w:pStyle w:val="202"/>
        <w:numPr>
          <w:ilvl w:val="0"/>
          <w:numId w:val="0"/>
        </w:numPr>
        <w:jc w:val="both"/>
        <w:rPr>
          <w:vanish w:val="0"/>
        </w:rPr>
        <w:sectPr>
          <w:pgSz w:w="11900" w:h="16840"/>
          <w:pgMar w:top="1475" w:right="1780" w:bottom="1365" w:left="1765" w:header="1047" w:footer="937" w:gutter="0"/>
          <w:cols w:space="720" w:num="1"/>
          <w:docGrid w:linePitch="360" w:charSpace="0"/>
        </w:sectPr>
      </w:pPr>
    </w:p>
    <w:p>
      <w:pPr>
        <w:pStyle w:val="202"/>
        <w:rPr>
          <w:vanish w:val="0"/>
        </w:rPr>
      </w:pPr>
    </w:p>
    <w:p>
      <w:pPr>
        <w:pStyle w:val="203"/>
        <w:rPr>
          <w:vanish w:val="0"/>
        </w:rPr>
      </w:pPr>
    </w:p>
    <w:p>
      <w:pPr>
        <w:pStyle w:val="80"/>
        <w:spacing w:before="60" w:after="120"/>
        <w:ind w:left="0"/>
      </w:pPr>
      <w:r>
        <w:br w:type="textWrapping"/>
      </w:r>
      <w:bookmarkStart w:id="308" w:name="_Toc129855795"/>
      <w:bookmarkStart w:id="309" w:name="_Toc129856021"/>
      <w:r>
        <w:rPr>
          <w:rFonts w:hint="eastAsia"/>
        </w:rPr>
        <w:t>（规范性）</w:t>
      </w:r>
      <w:r>
        <w:br w:type="textWrapping"/>
      </w:r>
      <w:r>
        <w:rPr>
          <w:rFonts w:hint="eastAsia"/>
        </w:rPr>
        <w:t>空气源热泵热水系统性能系数检测方法、贮热水箱保温性能检测方法</w:t>
      </w:r>
      <w:bookmarkEnd w:id="308"/>
      <w:bookmarkEnd w:id="309"/>
    </w:p>
    <w:p>
      <w:pPr>
        <w:pStyle w:val="83"/>
        <w:numPr>
          <w:ilvl w:val="2"/>
          <w:numId w:val="95"/>
        </w:numPr>
        <w:spacing w:before="0" w:beforeLines="0" w:after="0" w:afterLines="0"/>
        <w:ind w:hangingChars="200"/>
        <w:outlineLvl w:val="9"/>
        <w:rPr>
          <w:rFonts w:ascii="Times New Roman" w:eastAsia="宋体"/>
          <w:color w:val="000000"/>
        </w:rPr>
      </w:pPr>
      <w:r>
        <w:rPr>
          <w:rFonts w:ascii="宋体" w:hAnsi="宋体" w:eastAsia="宋体"/>
          <w:color w:val="000000"/>
        </w:rPr>
        <w:t>空气源热泵热水系统性能系数检测方法</w:t>
      </w:r>
    </w:p>
    <w:p>
      <w:pPr>
        <w:pStyle w:val="60"/>
        <w:numPr>
          <w:ilvl w:val="0"/>
          <w:numId w:val="96"/>
        </w:numPr>
        <w:ind w:left="578" w:leftChars="75" w:hangingChars="200"/>
        <w:rPr>
          <w:rFonts w:ascii="Times New Roman"/>
          <w:color w:val="000000"/>
        </w:rPr>
      </w:pPr>
      <w:r>
        <w:rPr>
          <w:rFonts w:hAnsi="宋体"/>
          <w:color w:val="000000"/>
        </w:rPr>
        <w:t>检测设备：带自动记录功能的模拟或数字式记录仪，准确度为</w:t>
      </w:r>
      <w:r>
        <w:rPr>
          <w:rFonts w:ascii="Times New Roman"/>
          <w:color w:val="000000"/>
        </w:rPr>
        <w:t>0.5C</w:t>
      </w:r>
      <w:r>
        <w:rPr>
          <w:rFonts w:hAnsi="宋体"/>
          <w:color w:val="000000"/>
        </w:rPr>
        <w:t>；温度计，准确度为</w:t>
      </w:r>
      <w:r>
        <w:rPr>
          <w:rFonts w:ascii="Times New Roman"/>
          <w:color w:val="000000"/>
        </w:rPr>
        <w:t>0.2℃</w:t>
      </w:r>
      <w:r>
        <w:rPr>
          <w:rFonts w:hAnsi="宋体"/>
          <w:color w:val="000000"/>
        </w:rPr>
        <w:t>；水流量计，准确度为</w:t>
      </w:r>
      <w:r>
        <w:rPr>
          <w:rFonts w:ascii="Times New Roman"/>
          <w:color w:val="000000"/>
        </w:rPr>
        <w:t>2%</w:t>
      </w:r>
      <w:r>
        <w:rPr>
          <w:rFonts w:hAnsi="宋体"/>
          <w:color w:val="000000"/>
        </w:rPr>
        <w:t>；功率表，准确度为</w:t>
      </w:r>
      <w:r>
        <w:rPr>
          <w:rFonts w:ascii="Times New Roman"/>
          <w:color w:val="000000"/>
        </w:rPr>
        <w:t>1.5</w:t>
      </w:r>
      <w:r>
        <w:rPr>
          <w:rFonts w:hAnsi="宋体"/>
          <w:color w:val="000000"/>
        </w:rPr>
        <w:t>级。</w:t>
      </w:r>
    </w:p>
    <w:p>
      <w:pPr>
        <w:pStyle w:val="60"/>
        <w:numPr>
          <w:ilvl w:val="0"/>
          <w:numId w:val="96"/>
        </w:numPr>
        <w:ind w:left="578" w:leftChars="75" w:hangingChars="200"/>
        <w:rPr>
          <w:rFonts w:ascii="Times New Roman"/>
          <w:color w:val="000000"/>
        </w:rPr>
      </w:pPr>
      <w:r>
        <w:rPr>
          <w:rFonts w:hAnsi="宋体"/>
          <w:color w:val="000000"/>
        </w:rPr>
        <w:t>检测方法：</w:t>
      </w:r>
    </w:p>
    <w:p>
      <w:pPr>
        <w:pStyle w:val="60"/>
        <w:ind w:left="588" w:leftChars="280" w:firstLine="0" w:firstLineChars="0"/>
        <w:rPr>
          <w:rFonts w:ascii="Times New Roman"/>
          <w:color w:val="000000"/>
        </w:rPr>
      </w:pPr>
      <w:r>
        <w:rPr>
          <w:rFonts w:hint="eastAsia" w:hAnsi="宋体"/>
          <w:color w:val="000000"/>
        </w:rPr>
        <w:t>将</w:t>
      </w:r>
      <w:r>
        <w:rPr>
          <w:rFonts w:hAnsi="宋体"/>
          <w:color w:val="000000"/>
        </w:rPr>
        <w:t>热泵热水系统注水，注满水后记录被加热水体积</w:t>
      </w:r>
      <w:r>
        <w:rPr>
          <w:rFonts w:ascii="Times New Roman"/>
          <w:color w:val="000000"/>
        </w:rPr>
        <w:t>V</w:t>
      </w:r>
      <w:r>
        <w:rPr>
          <w:rFonts w:hint="eastAsia" w:hAnsi="宋体"/>
          <w:color w:val="000000"/>
        </w:rPr>
        <w:t>；</w:t>
      </w:r>
      <w:r>
        <w:rPr>
          <w:rFonts w:hAnsi="宋体"/>
          <w:color w:val="000000"/>
        </w:rPr>
        <w:t>将循环水泵安装在进水口处，开启循环，待温度读数稳定后，记录热泵热水机的进水温度</w:t>
      </w:r>
      <w:r>
        <w:rPr>
          <w:rFonts w:ascii="Times New Roman"/>
          <w:color w:val="000000"/>
        </w:rPr>
        <w:t>T</w:t>
      </w:r>
      <w:r>
        <w:rPr>
          <w:rFonts w:ascii="Times New Roman"/>
          <w:color w:val="000000"/>
          <w:vertAlign w:val="subscript"/>
        </w:rPr>
        <w:t>j</w:t>
      </w:r>
      <w:r>
        <w:rPr>
          <w:rFonts w:hAnsi="宋体"/>
          <w:color w:val="000000"/>
        </w:rPr>
        <w:t>；关闭循环水泵，开启热泵热水机，设定温度不小于额定值的</w:t>
      </w:r>
      <w:r>
        <w:rPr>
          <w:rFonts w:ascii="Times New Roman"/>
          <w:color w:val="000000"/>
        </w:rPr>
        <w:t>95%</w:t>
      </w:r>
      <w:r>
        <w:rPr>
          <w:rFonts w:hAnsi="宋体"/>
          <w:color w:val="000000"/>
        </w:rPr>
        <w:t>，持续记录热泵热水机瞬时出水温度</w:t>
      </w:r>
      <w:r>
        <w:rPr>
          <w:rFonts w:hint="eastAsia" w:hAnsi="宋体"/>
          <w:color w:val="000000"/>
        </w:rPr>
        <w:t>，</w:t>
      </w:r>
      <w:r>
        <w:rPr>
          <w:rFonts w:hAnsi="宋体"/>
          <w:color w:val="000000"/>
        </w:rPr>
        <w:t>待温度达到设定温度后，记录最终出水温度</w:t>
      </w:r>
      <w:r>
        <w:rPr>
          <w:rFonts w:hint="eastAsia" w:ascii="Times New Roman"/>
          <w:color w:val="000000"/>
        </w:rPr>
        <w:t>T</w:t>
      </w:r>
      <w:r>
        <w:rPr>
          <w:rFonts w:hint="eastAsia" w:ascii="Times New Roman"/>
          <w:color w:val="000000"/>
          <w:vertAlign w:val="subscript"/>
        </w:rPr>
        <w:t>c</w:t>
      </w:r>
      <w:r>
        <w:rPr>
          <w:rFonts w:hAnsi="宋体"/>
          <w:color w:val="000000"/>
        </w:rPr>
        <w:t>与热泵输入功率</w:t>
      </w:r>
      <w:r>
        <w:rPr>
          <w:rFonts w:ascii="Times New Roman"/>
          <w:color w:val="000000"/>
        </w:rPr>
        <w:t>P</w:t>
      </w:r>
      <w:r>
        <w:rPr>
          <w:rFonts w:hAnsi="宋体"/>
          <w:color w:val="000000"/>
        </w:rPr>
        <w:t>，重复试验不少于</w:t>
      </w:r>
      <w:r>
        <w:rPr>
          <w:rFonts w:ascii="Times New Roman"/>
          <w:color w:val="000000"/>
        </w:rPr>
        <w:t>3</w:t>
      </w:r>
      <w:r>
        <w:rPr>
          <w:rFonts w:hAnsi="宋体"/>
          <w:color w:val="000000"/>
        </w:rPr>
        <w:t>次。</w:t>
      </w:r>
    </w:p>
    <w:p>
      <w:pPr>
        <w:pStyle w:val="60"/>
        <w:ind w:left="588" w:leftChars="280" w:firstLine="0" w:firstLineChars="0"/>
        <w:rPr>
          <w:rFonts w:ascii="Times New Roman"/>
          <w:color w:val="000000"/>
        </w:rPr>
      </w:pPr>
      <w:r>
        <w:rPr>
          <w:rFonts w:hAnsi="宋体"/>
          <w:color w:val="000000"/>
        </w:rPr>
        <w:t>制热水能力</w:t>
      </w:r>
      <w:r>
        <w:rPr>
          <w:rFonts w:ascii="Times New Roman"/>
          <w:color w:val="000000"/>
        </w:rPr>
        <w:t>U</w:t>
      </w:r>
      <w:r>
        <w:rPr>
          <w:rFonts w:hAnsi="宋体"/>
          <w:color w:val="000000"/>
        </w:rPr>
        <w:t>、热泵制热量</w:t>
      </w:r>
      <w:r>
        <w:rPr>
          <w:rFonts w:ascii="Times New Roman"/>
          <w:color w:val="000000"/>
        </w:rPr>
        <w:t>Q</w:t>
      </w:r>
      <w:r>
        <w:rPr>
          <w:rFonts w:hAnsi="宋体"/>
          <w:color w:val="000000"/>
        </w:rPr>
        <w:t>、性能系数</w:t>
      </w:r>
      <w:r>
        <w:rPr>
          <w:rFonts w:ascii="Times New Roman"/>
          <w:color w:val="000000"/>
        </w:rPr>
        <w:t>COP</w:t>
      </w:r>
      <w:r>
        <w:rPr>
          <w:rFonts w:hint="eastAsia" w:ascii="Times New Roman"/>
          <w:color w:val="000000"/>
          <w:vertAlign w:val="subscript"/>
        </w:rPr>
        <w:t>sys</w:t>
      </w:r>
      <w:r>
        <w:rPr>
          <w:rFonts w:hAnsi="宋体"/>
          <w:color w:val="000000"/>
        </w:rPr>
        <w:t>应按式</w:t>
      </w:r>
      <w:r>
        <w:rPr>
          <w:rFonts w:ascii="Times New Roman"/>
          <w:color w:val="000000"/>
        </w:rPr>
        <w:t>1-3</w:t>
      </w:r>
      <w:r>
        <w:rPr>
          <w:rFonts w:hAnsi="宋体"/>
          <w:color w:val="000000"/>
        </w:rPr>
        <w:t>计算：</w:t>
      </w:r>
    </w:p>
    <w:p>
      <w:pPr>
        <w:pStyle w:val="60"/>
        <w:ind w:firstLine="0" w:firstLineChars="0"/>
        <w:jc w:val="right"/>
        <w:rPr>
          <w:rFonts w:ascii="Times New Roman"/>
          <w:color w:val="000000"/>
        </w:rPr>
      </w:pPr>
      <w:r>
        <w:rPr>
          <w:rFonts w:ascii="Times New Roman"/>
          <w:i/>
          <w:iCs/>
          <w:color w:val="000000"/>
        </w:rPr>
        <w:t>U=V/H</w:t>
      </w:r>
      <w:r>
        <w:rPr>
          <w:rFonts w:hint="eastAsia" w:ascii="Times New Roman"/>
          <w:color w:val="000000"/>
        </w:rPr>
        <w:t xml:space="preserve">                                 </w:t>
      </w:r>
      <w:r>
        <w:rPr>
          <w:rFonts w:hint="eastAsia" w:hAnsi="宋体"/>
          <w:color w:val="000000"/>
        </w:rPr>
        <w:t>（</w:t>
      </w:r>
      <w:r>
        <w:rPr>
          <w:rFonts w:hint="eastAsia" w:ascii="Times New Roman"/>
          <w:color w:val="000000"/>
        </w:rPr>
        <w:t>1</w:t>
      </w:r>
      <w:r>
        <w:rPr>
          <w:rFonts w:hint="eastAsia" w:hAnsi="宋体"/>
          <w:color w:val="000000"/>
        </w:rPr>
        <w:t>）</w:t>
      </w:r>
    </w:p>
    <w:p>
      <w:pPr>
        <w:pStyle w:val="60"/>
        <w:ind w:firstLineChars="0"/>
        <w:rPr>
          <w:rFonts w:ascii="Times New Roman"/>
          <w:color w:val="000000"/>
        </w:rPr>
      </w:pPr>
      <w:r>
        <w:rPr>
          <w:rFonts w:hAnsi="宋体"/>
          <w:color w:val="000000"/>
        </w:rPr>
        <w:t>式中：</w:t>
      </w:r>
    </w:p>
    <w:p>
      <w:pPr>
        <w:pStyle w:val="60"/>
        <w:ind w:firstLine="840" w:firstLineChars="400"/>
        <w:rPr>
          <w:rFonts w:ascii="Times New Roman"/>
          <w:color w:val="000000"/>
        </w:rPr>
      </w:pPr>
      <w:r>
        <w:rPr>
          <w:rFonts w:ascii="Times New Roman"/>
          <w:color w:val="000000"/>
        </w:rPr>
        <w:t>U——</w:t>
      </w:r>
      <w:r>
        <w:rPr>
          <w:rFonts w:hAnsi="宋体"/>
          <w:color w:val="000000"/>
        </w:rPr>
        <w:t>制热水能力，单位为升每小时</w:t>
      </w:r>
      <w:r>
        <w:rPr>
          <w:rFonts w:ascii="Times New Roman"/>
          <w:color w:val="000000"/>
        </w:rPr>
        <w:t>(L/h)</w:t>
      </w:r>
      <w:r>
        <w:rPr>
          <w:rFonts w:hAnsi="宋体"/>
          <w:color w:val="000000"/>
        </w:rPr>
        <w:t>；</w:t>
      </w:r>
    </w:p>
    <w:p>
      <w:pPr>
        <w:pStyle w:val="60"/>
        <w:ind w:firstLine="840" w:firstLineChars="400"/>
        <w:rPr>
          <w:rFonts w:ascii="Times New Roman"/>
          <w:color w:val="000000"/>
        </w:rPr>
      </w:pPr>
      <w:r>
        <w:rPr>
          <w:rFonts w:ascii="Times New Roman"/>
          <w:color w:val="000000"/>
        </w:rPr>
        <w:t>V——</w:t>
      </w:r>
      <w:r>
        <w:rPr>
          <w:rFonts w:hAnsi="宋体"/>
          <w:color w:val="000000"/>
        </w:rPr>
        <w:t>被加热水体积，单位为升</w:t>
      </w:r>
      <w:r>
        <w:rPr>
          <w:rFonts w:ascii="Times New Roman"/>
          <w:color w:val="000000"/>
        </w:rPr>
        <w:t>(L)</w:t>
      </w:r>
      <w:r>
        <w:rPr>
          <w:rFonts w:hAnsi="宋体"/>
          <w:color w:val="000000"/>
        </w:rPr>
        <w:t>；</w:t>
      </w:r>
    </w:p>
    <w:p>
      <w:pPr>
        <w:pStyle w:val="60"/>
        <w:ind w:firstLine="840" w:firstLineChars="400"/>
        <w:rPr>
          <w:rFonts w:ascii="Times New Roman"/>
          <w:color w:val="000000"/>
        </w:rPr>
      </w:pPr>
      <w:r>
        <w:rPr>
          <w:rFonts w:ascii="Times New Roman"/>
          <w:color w:val="000000"/>
        </w:rPr>
        <w:t>H——</w:t>
      </w:r>
      <w:r>
        <w:rPr>
          <w:rFonts w:hAnsi="宋体"/>
          <w:color w:val="000000"/>
        </w:rPr>
        <w:t>加热时间，单位为小时</w:t>
      </w:r>
      <w:r>
        <w:rPr>
          <w:rFonts w:ascii="Times New Roman"/>
          <w:color w:val="000000"/>
        </w:rPr>
        <w:t>(h)</w:t>
      </w:r>
      <w:r>
        <w:rPr>
          <w:rFonts w:hAnsi="宋体"/>
          <w:color w:val="000000"/>
        </w:rPr>
        <w:t>。</w:t>
      </w:r>
    </w:p>
    <w:p>
      <w:pPr>
        <w:pStyle w:val="60"/>
        <w:ind w:firstLine="0" w:firstLineChars="0"/>
        <w:jc w:val="right"/>
        <w:rPr>
          <w:rFonts w:ascii="Times New Roman"/>
          <w:color w:val="000000"/>
        </w:rPr>
      </w:pPr>
      <w:r>
        <w:rPr>
          <w:rFonts w:ascii="Times New Roman"/>
          <w:i/>
          <w:iCs/>
          <w:color w:val="000000"/>
        </w:rPr>
        <w:t>Q</w:t>
      </w:r>
      <w:r>
        <w:rPr>
          <w:rFonts w:hint="eastAsia" w:ascii="Times New Roman"/>
          <w:i/>
          <w:iCs/>
          <w:color w:val="000000"/>
        </w:rPr>
        <w:t>=</w:t>
      </w:r>
      <w:r>
        <w:rPr>
          <w:rFonts w:ascii="Times New Roman"/>
          <w:i/>
          <w:iCs/>
          <w:color w:val="000000"/>
        </w:rPr>
        <w:t>1.163×U×(T</w:t>
      </w:r>
      <w:r>
        <w:rPr>
          <w:rFonts w:ascii="Times New Roman"/>
          <w:i/>
          <w:iCs/>
          <w:color w:val="000000"/>
          <w:vertAlign w:val="subscript"/>
        </w:rPr>
        <w:t>c</w:t>
      </w:r>
      <w:r>
        <w:rPr>
          <w:rFonts w:ascii="Times New Roman"/>
          <w:i/>
          <w:iCs/>
          <w:color w:val="000000"/>
        </w:rPr>
        <w:t>-T</w:t>
      </w:r>
      <w:r>
        <w:rPr>
          <w:rFonts w:ascii="Times New Roman"/>
          <w:i/>
          <w:iCs/>
          <w:color w:val="000000"/>
          <w:vertAlign w:val="subscript"/>
        </w:rPr>
        <w:t>j</w:t>
      </w:r>
      <w:r>
        <w:rPr>
          <w:rFonts w:ascii="Times New Roman"/>
          <w:i/>
          <w:iCs/>
          <w:color w:val="000000"/>
        </w:rPr>
        <w:t>)/1000</w:t>
      </w:r>
      <w:r>
        <w:rPr>
          <w:rFonts w:hint="eastAsia" w:ascii="Times New Roman"/>
          <w:i/>
          <w:iCs/>
          <w:color w:val="000000"/>
        </w:rPr>
        <w:t xml:space="preserve">  </w:t>
      </w:r>
      <w:r>
        <w:rPr>
          <w:rFonts w:hint="eastAsia" w:ascii="Times New Roman"/>
          <w:color w:val="000000"/>
        </w:rPr>
        <w:t xml:space="preserve">                       </w:t>
      </w:r>
      <w:r>
        <w:rPr>
          <w:rFonts w:hint="eastAsia" w:hAnsi="宋体"/>
          <w:color w:val="000000"/>
        </w:rPr>
        <w:t>（</w:t>
      </w:r>
      <w:r>
        <w:rPr>
          <w:rFonts w:hint="eastAsia" w:ascii="Times New Roman"/>
          <w:color w:val="000000"/>
        </w:rPr>
        <w:t>2</w:t>
      </w:r>
      <w:r>
        <w:rPr>
          <w:rFonts w:hint="eastAsia" w:hAnsi="宋体"/>
          <w:color w:val="000000"/>
        </w:rPr>
        <w:t>）</w:t>
      </w:r>
    </w:p>
    <w:p>
      <w:pPr>
        <w:pStyle w:val="60"/>
        <w:ind w:firstLineChars="0"/>
        <w:rPr>
          <w:rFonts w:ascii="Times New Roman"/>
          <w:color w:val="000000"/>
        </w:rPr>
      </w:pPr>
      <w:r>
        <w:rPr>
          <w:rFonts w:hAnsi="宋体"/>
          <w:color w:val="000000"/>
        </w:rPr>
        <w:t>式中：</w:t>
      </w:r>
    </w:p>
    <w:p>
      <w:pPr>
        <w:pStyle w:val="60"/>
        <w:ind w:firstLine="840" w:firstLineChars="400"/>
        <w:rPr>
          <w:rFonts w:ascii="Times New Roman"/>
          <w:color w:val="000000"/>
        </w:rPr>
      </w:pPr>
      <w:r>
        <w:rPr>
          <w:rFonts w:ascii="Times New Roman"/>
          <w:color w:val="000000"/>
        </w:rPr>
        <w:t>Q——</w:t>
      </w:r>
      <w:r>
        <w:rPr>
          <w:rFonts w:hAnsi="宋体"/>
          <w:color w:val="000000"/>
        </w:rPr>
        <w:t>热泵制热量，单位为千瓦</w:t>
      </w:r>
      <w:r>
        <w:rPr>
          <w:rFonts w:ascii="Times New Roman"/>
          <w:color w:val="000000"/>
        </w:rPr>
        <w:t>(kW)</w:t>
      </w:r>
      <w:r>
        <w:rPr>
          <w:rFonts w:hAnsi="宋体"/>
          <w:color w:val="000000"/>
        </w:rPr>
        <w:t>；</w:t>
      </w:r>
    </w:p>
    <w:p>
      <w:pPr>
        <w:pStyle w:val="60"/>
        <w:ind w:firstLine="840" w:firstLineChars="400"/>
        <w:rPr>
          <w:rFonts w:ascii="Times New Roman"/>
          <w:color w:val="000000"/>
        </w:rPr>
      </w:pPr>
      <w:r>
        <w:rPr>
          <w:rFonts w:ascii="Times New Roman"/>
          <w:color w:val="000000"/>
        </w:rPr>
        <w:t>T</w:t>
      </w:r>
      <w:r>
        <w:rPr>
          <w:rFonts w:ascii="Times New Roman"/>
          <w:color w:val="000000"/>
          <w:vertAlign w:val="subscript"/>
        </w:rPr>
        <w:t>c</w:t>
      </w:r>
      <w:r>
        <w:rPr>
          <w:rFonts w:ascii="Times New Roman"/>
          <w:color w:val="000000"/>
        </w:rPr>
        <w:t>——</w:t>
      </w:r>
      <w:r>
        <w:rPr>
          <w:rFonts w:hAnsi="宋体"/>
          <w:color w:val="000000"/>
        </w:rPr>
        <w:t>进水温度，单位为摄氏度</w:t>
      </w:r>
      <w:r>
        <w:rPr>
          <w:rFonts w:ascii="Times New Roman"/>
          <w:color w:val="000000"/>
        </w:rPr>
        <w:t>(</w:t>
      </w:r>
      <w:r>
        <w:rPr>
          <w:rFonts w:hAnsi="宋体"/>
          <w:color w:val="000000"/>
        </w:rPr>
        <w:t>摄氏</w:t>
      </w:r>
      <w:r>
        <w:rPr>
          <w:rFonts w:ascii="Times New Roman"/>
          <w:color w:val="000000"/>
        </w:rPr>
        <w:t>)</w:t>
      </w:r>
      <w:r>
        <w:rPr>
          <w:rFonts w:hAnsi="宋体"/>
          <w:color w:val="000000"/>
        </w:rPr>
        <w:t>；</w:t>
      </w:r>
    </w:p>
    <w:p>
      <w:pPr>
        <w:pStyle w:val="60"/>
        <w:ind w:firstLine="840" w:firstLineChars="400"/>
        <w:rPr>
          <w:rFonts w:ascii="Times New Roman"/>
          <w:color w:val="000000"/>
        </w:rPr>
      </w:pPr>
      <w:r>
        <w:rPr>
          <w:rFonts w:ascii="Times New Roman"/>
          <w:color w:val="000000"/>
        </w:rPr>
        <w:t>T</w:t>
      </w:r>
      <w:r>
        <w:rPr>
          <w:rFonts w:ascii="Times New Roman"/>
          <w:color w:val="000000"/>
          <w:vertAlign w:val="subscript"/>
        </w:rPr>
        <w:t>j</w:t>
      </w:r>
      <w:r>
        <w:rPr>
          <w:rFonts w:ascii="Times New Roman"/>
          <w:color w:val="000000"/>
        </w:rPr>
        <w:t>——</w:t>
      </w:r>
      <w:r>
        <w:rPr>
          <w:rFonts w:hAnsi="宋体"/>
          <w:color w:val="000000"/>
        </w:rPr>
        <w:t>出水温度，单位为摄氏度</w:t>
      </w:r>
      <w:r>
        <w:rPr>
          <w:rFonts w:ascii="Times New Roman"/>
          <w:color w:val="000000"/>
        </w:rPr>
        <w:t>(</w:t>
      </w:r>
      <w:r>
        <w:rPr>
          <w:rFonts w:hAnsi="宋体"/>
          <w:color w:val="000000"/>
        </w:rPr>
        <w:t>摄氏</w:t>
      </w:r>
      <w:r>
        <w:rPr>
          <w:rFonts w:ascii="Times New Roman"/>
          <w:color w:val="000000"/>
        </w:rPr>
        <w:t>)</w:t>
      </w:r>
      <w:r>
        <w:rPr>
          <w:rFonts w:hAnsi="宋体"/>
          <w:color w:val="000000"/>
        </w:rPr>
        <w:t>。</w:t>
      </w:r>
    </w:p>
    <w:p>
      <w:pPr>
        <w:pStyle w:val="60"/>
        <w:ind w:firstLine="0" w:firstLineChars="0"/>
        <w:jc w:val="right"/>
        <w:rPr>
          <w:rFonts w:ascii="Times New Roman"/>
          <w:color w:val="000000"/>
        </w:rPr>
      </w:pPr>
      <w:r>
        <w:rPr>
          <w:rFonts w:ascii="Times New Roman"/>
          <w:i/>
          <w:iCs/>
          <w:color w:val="000000"/>
        </w:rPr>
        <w:t>COP</w:t>
      </w:r>
      <w:r>
        <w:rPr>
          <w:rFonts w:ascii="Times New Roman"/>
          <w:i/>
          <w:iCs/>
          <w:color w:val="000000"/>
          <w:vertAlign w:val="subscript"/>
        </w:rPr>
        <w:t>sys</w:t>
      </w:r>
      <w:r>
        <w:rPr>
          <w:rFonts w:ascii="Times New Roman"/>
          <w:i/>
          <w:iCs/>
          <w:color w:val="000000"/>
        </w:rPr>
        <w:t>=Q/P</w:t>
      </w:r>
      <w:r>
        <w:rPr>
          <w:rFonts w:hint="eastAsia" w:ascii="Times New Roman"/>
          <w:i/>
          <w:iCs/>
          <w:color w:val="000000"/>
        </w:rPr>
        <w:t xml:space="preserve"> </w:t>
      </w:r>
      <w:r>
        <w:rPr>
          <w:rFonts w:hint="eastAsia" w:ascii="Times New Roman"/>
          <w:color w:val="000000"/>
        </w:rPr>
        <w:t xml:space="preserve">                            </w:t>
      </w:r>
      <w:r>
        <w:rPr>
          <w:rFonts w:hint="eastAsia" w:hAnsi="宋体"/>
          <w:color w:val="000000"/>
        </w:rPr>
        <w:t>（</w:t>
      </w:r>
      <w:r>
        <w:rPr>
          <w:rFonts w:hint="eastAsia" w:ascii="Times New Roman"/>
          <w:color w:val="000000"/>
        </w:rPr>
        <w:t>3</w:t>
      </w:r>
      <w:r>
        <w:rPr>
          <w:rFonts w:hint="eastAsia" w:hAnsi="宋体"/>
          <w:color w:val="000000"/>
        </w:rPr>
        <w:t>）</w:t>
      </w:r>
    </w:p>
    <w:p>
      <w:pPr>
        <w:pStyle w:val="60"/>
        <w:ind w:firstLineChars="0"/>
        <w:rPr>
          <w:rFonts w:ascii="Times New Roman"/>
          <w:color w:val="000000"/>
        </w:rPr>
      </w:pPr>
      <w:r>
        <w:rPr>
          <w:rFonts w:hAnsi="宋体"/>
          <w:color w:val="000000"/>
        </w:rPr>
        <w:t>式中：</w:t>
      </w:r>
    </w:p>
    <w:p>
      <w:pPr>
        <w:pStyle w:val="60"/>
        <w:ind w:firstLine="840" w:firstLineChars="400"/>
        <w:rPr>
          <w:rFonts w:ascii="Times New Roman"/>
          <w:color w:val="000000"/>
        </w:rPr>
      </w:pPr>
      <w:r>
        <w:rPr>
          <w:rFonts w:ascii="Times New Roman"/>
          <w:color w:val="000000"/>
        </w:rPr>
        <w:t>Q——</w:t>
      </w:r>
      <w:r>
        <w:rPr>
          <w:rFonts w:hAnsi="宋体"/>
          <w:color w:val="000000"/>
        </w:rPr>
        <w:t>热泵制热量，单位为千瓦</w:t>
      </w:r>
      <w:r>
        <w:rPr>
          <w:rFonts w:ascii="Times New Roman"/>
          <w:color w:val="000000"/>
        </w:rPr>
        <w:t>(kW)</w:t>
      </w:r>
      <w:r>
        <w:rPr>
          <w:rFonts w:hAnsi="宋体"/>
          <w:color w:val="000000"/>
        </w:rPr>
        <w:t>；</w:t>
      </w:r>
    </w:p>
    <w:p>
      <w:pPr>
        <w:pStyle w:val="60"/>
        <w:ind w:firstLine="840" w:firstLineChars="400"/>
        <w:rPr>
          <w:rFonts w:ascii="Times New Roman"/>
          <w:color w:val="000000"/>
        </w:rPr>
      </w:pPr>
      <w:r>
        <w:rPr>
          <w:rFonts w:ascii="Times New Roman"/>
          <w:color w:val="000000"/>
        </w:rPr>
        <w:t>P——</w:t>
      </w:r>
      <w:r>
        <w:rPr>
          <w:rFonts w:hAnsi="宋体"/>
          <w:color w:val="000000"/>
        </w:rPr>
        <w:t>热泵输入功率，单位为千瓦</w:t>
      </w:r>
      <w:r>
        <w:rPr>
          <w:rFonts w:ascii="Times New Roman"/>
          <w:color w:val="000000"/>
        </w:rPr>
        <w:t>(kW)</w:t>
      </w:r>
      <w:r>
        <w:rPr>
          <w:rFonts w:hAnsi="宋体"/>
          <w:color w:val="000000"/>
        </w:rPr>
        <w:t>。</w:t>
      </w:r>
    </w:p>
    <w:p>
      <w:pPr>
        <w:pStyle w:val="60"/>
        <w:numPr>
          <w:ilvl w:val="0"/>
          <w:numId w:val="96"/>
        </w:numPr>
        <w:ind w:left="578" w:leftChars="75" w:hangingChars="200"/>
        <w:rPr>
          <w:rFonts w:ascii="Times New Roman"/>
          <w:color w:val="000000"/>
        </w:rPr>
      </w:pPr>
      <w:r>
        <w:rPr>
          <w:rFonts w:hAnsi="宋体"/>
          <w:color w:val="000000"/>
        </w:rPr>
        <w:t>检测方法：系统性能系数</w:t>
      </w:r>
      <w:r>
        <w:rPr>
          <w:rFonts w:ascii="Times New Roman"/>
          <w:color w:val="000000"/>
        </w:rPr>
        <w:t>(</w:t>
      </w:r>
      <w:r>
        <w:rPr>
          <w:rFonts w:ascii="Times New Roman"/>
          <w:i/>
          <w:iCs/>
          <w:color w:val="000000"/>
        </w:rPr>
        <w:t>COPsys</w:t>
      </w:r>
      <w:r>
        <w:rPr>
          <w:rFonts w:ascii="Times New Roman"/>
          <w:color w:val="000000"/>
        </w:rPr>
        <w:t>)</w:t>
      </w:r>
      <w:r>
        <w:rPr>
          <w:rFonts w:hAnsi="宋体"/>
          <w:color w:val="000000"/>
        </w:rPr>
        <w:t>应符合相关设计文件的要求当设计文件无明确要求时，结果宜不低于表</w:t>
      </w:r>
      <w:r>
        <w:rPr>
          <w:rFonts w:ascii="Times New Roman"/>
          <w:color w:val="000000"/>
        </w:rPr>
        <w:t>E.1</w:t>
      </w:r>
      <w:r>
        <w:rPr>
          <w:rFonts w:hAnsi="宋体"/>
          <w:color w:val="000000"/>
        </w:rPr>
        <w:t>的规定。</w:t>
      </w:r>
    </w:p>
    <w:p>
      <w:pPr>
        <w:pStyle w:val="60"/>
        <w:ind w:firstLine="0" w:firstLineChars="0"/>
        <w:jc w:val="center"/>
        <w:rPr>
          <w:rFonts w:ascii="Times New Roman"/>
          <w:b/>
          <w:color w:val="000000"/>
          <w:sz w:val="18"/>
          <w:szCs w:val="18"/>
        </w:rPr>
      </w:pPr>
      <w:r>
        <w:rPr>
          <w:rFonts w:hAnsi="宋体"/>
          <w:b/>
          <w:color w:val="000000"/>
          <w:sz w:val="18"/>
          <w:szCs w:val="18"/>
        </w:rPr>
        <w:t>表</w:t>
      </w:r>
      <w:r>
        <w:rPr>
          <w:rFonts w:ascii="Times New Roman"/>
          <w:b/>
          <w:color w:val="000000"/>
          <w:sz w:val="18"/>
          <w:szCs w:val="18"/>
        </w:rPr>
        <w:t>E.1</w:t>
      </w:r>
      <w:r>
        <w:rPr>
          <w:rFonts w:hint="eastAsia" w:ascii="Times New Roman"/>
          <w:b/>
          <w:color w:val="000000"/>
          <w:sz w:val="18"/>
          <w:szCs w:val="18"/>
        </w:rPr>
        <w:t xml:space="preserve"> </w:t>
      </w:r>
      <w:r>
        <w:rPr>
          <w:rFonts w:hAnsi="宋体"/>
          <w:b/>
          <w:color w:val="000000"/>
          <w:sz w:val="18"/>
          <w:szCs w:val="18"/>
        </w:rPr>
        <w:t>性能系数评定</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0"/>
        <w:gridCol w:w="5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2"/>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hAnsi="宋体"/>
                <w:color w:val="000000"/>
                <w:sz w:val="18"/>
                <w:szCs w:val="18"/>
              </w:rPr>
            </w:pPr>
            <w:r>
              <w:rPr>
                <w:rFonts w:hAnsi="宋体"/>
                <w:color w:val="000000"/>
                <w:sz w:val="18"/>
                <w:szCs w:val="18"/>
              </w:rPr>
              <w:t>性能系数（COP</w:t>
            </w:r>
            <w:r>
              <w:rPr>
                <w:rFonts w:hAnsi="宋体"/>
                <w:color w:val="000000"/>
                <w:sz w:val="18"/>
                <w:szCs w:val="18"/>
                <w:vertAlign w:val="subscript"/>
              </w:rPr>
              <w:t>sys</w:t>
            </w:r>
            <w:r>
              <w:rPr>
                <w:rFonts w:hAnsi="宋体"/>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993"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hAnsi="宋体"/>
                <w:color w:val="000000"/>
                <w:sz w:val="18"/>
                <w:szCs w:val="18"/>
              </w:rPr>
            </w:pPr>
            <w:r>
              <w:rPr>
                <w:rFonts w:hAnsi="宋体"/>
                <w:color w:val="000000"/>
                <w:sz w:val="18"/>
                <w:szCs w:val="18"/>
              </w:rPr>
              <w:t>非寒冷季节</w:t>
            </w:r>
          </w:p>
        </w:tc>
        <w:tc>
          <w:tcPr>
            <w:tcW w:w="3007"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hAnsi="宋体"/>
                <w:color w:val="000000"/>
                <w:sz w:val="18"/>
                <w:szCs w:val="18"/>
              </w:rPr>
            </w:pPr>
            <w:r>
              <w:rPr>
                <w:rFonts w:hAnsi="宋体"/>
                <w:color w:val="000000"/>
                <w:sz w:val="18"/>
                <w:szCs w:val="18"/>
              </w:rPr>
              <w:t>寒冷季节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993"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hAnsi="宋体"/>
                <w:color w:val="000000"/>
                <w:sz w:val="18"/>
                <w:szCs w:val="18"/>
              </w:rPr>
            </w:pPr>
            <w:r>
              <w:rPr>
                <w:rFonts w:hAnsi="宋体"/>
                <w:color w:val="000000"/>
                <w:sz w:val="18"/>
                <w:szCs w:val="18"/>
              </w:rPr>
              <w:t>3.4</w:t>
            </w:r>
          </w:p>
        </w:tc>
        <w:tc>
          <w:tcPr>
            <w:tcW w:w="3007"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hAnsi="宋体"/>
                <w:color w:val="000000"/>
                <w:sz w:val="18"/>
                <w:szCs w:val="18"/>
              </w:rPr>
            </w:pPr>
            <w:r>
              <w:rPr>
                <w:rFonts w:hAnsi="宋体"/>
                <w:color w:val="000000"/>
                <w:sz w:val="18"/>
                <w:szCs w:val="18"/>
              </w:rPr>
              <w:t>3.0</w:t>
            </w:r>
          </w:p>
        </w:tc>
      </w:tr>
    </w:tbl>
    <w:p>
      <w:pPr>
        <w:pStyle w:val="60"/>
        <w:ind w:firstLine="0" w:firstLineChars="0"/>
        <w:rPr>
          <w:rFonts w:ascii="Times New Roman"/>
          <w:color w:val="000000"/>
          <w:szCs w:val="21"/>
        </w:rPr>
      </w:pPr>
    </w:p>
    <w:p>
      <w:pPr>
        <w:pStyle w:val="83"/>
        <w:numPr>
          <w:ilvl w:val="2"/>
          <w:numId w:val="95"/>
        </w:numPr>
        <w:spacing w:before="0" w:beforeLines="0" w:after="0" w:afterLines="0"/>
        <w:outlineLvl w:val="9"/>
        <w:rPr>
          <w:rFonts w:ascii="Times New Roman" w:eastAsia="宋体"/>
          <w:color w:val="000000" w:themeColor="text1"/>
          <w14:textFill>
            <w14:solidFill>
              <w14:schemeClr w14:val="tx1"/>
            </w14:solidFill>
          </w14:textFill>
        </w:rPr>
      </w:pPr>
      <w:r>
        <w:rPr>
          <w:rFonts w:ascii="宋体" w:hAnsi="宋体" w:eastAsia="宋体"/>
          <w:color w:val="000000" w:themeColor="text1"/>
          <w14:textFill>
            <w14:solidFill>
              <w14:schemeClr w14:val="tx1"/>
            </w14:solidFill>
          </w14:textFill>
        </w:rPr>
        <w:t>贮热水箱保温性能检测方法</w:t>
      </w:r>
    </w:p>
    <w:p>
      <w:pPr>
        <w:pStyle w:val="60"/>
        <w:numPr>
          <w:ilvl w:val="4"/>
          <w:numId w:val="97"/>
        </w:numPr>
        <w:ind w:left="158" w:leftChars="75" w:firstLine="0" w:firstLineChars="0"/>
        <w:rPr>
          <w:rFonts w:ascii="Times New Roman"/>
          <w:color w:val="000000"/>
        </w:rPr>
      </w:pPr>
      <w:r>
        <w:rPr>
          <w:rFonts w:hAnsi="宋体"/>
          <w:color w:val="000000"/>
        </w:rPr>
        <w:t>检测设备：带自动记录功能的模拟或数字式记录仪，准确度为</w:t>
      </w:r>
      <w:r>
        <w:rPr>
          <w:rFonts w:ascii="Times New Roman"/>
          <w:color w:val="000000"/>
        </w:rPr>
        <w:t>0.5℃</w:t>
      </w:r>
      <w:r>
        <w:rPr>
          <w:rFonts w:hAnsi="宋体"/>
          <w:color w:val="000000"/>
        </w:rPr>
        <w:t>；温度计，准确度</w:t>
      </w:r>
    </w:p>
    <w:p>
      <w:pPr>
        <w:pStyle w:val="60"/>
        <w:ind w:firstLine="0" w:firstLineChars="0"/>
        <w:rPr>
          <w:rFonts w:ascii="Times New Roman"/>
          <w:color w:val="000000"/>
        </w:rPr>
      </w:pPr>
      <w:r>
        <w:rPr>
          <w:rFonts w:hAnsi="宋体"/>
          <w:color w:val="000000"/>
        </w:rPr>
        <w:t>为</w:t>
      </w:r>
      <w:r>
        <w:rPr>
          <w:rFonts w:ascii="Times New Roman"/>
          <w:color w:val="000000"/>
        </w:rPr>
        <w:t>0.2℃</w:t>
      </w:r>
      <w:r>
        <w:rPr>
          <w:rFonts w:hAnsi="宋体"/>
          <w:color w:val="000000"/>
        </w:rPr>
        <w:t>。</w:t>
      </w:r>
    </w:p>
    <w:p>
      <w:pPr>
        <w:pStyle w:val="60"/>
        <w:numPr>
          <w:ilvl w:val="4"/>
          <w:numId w:val="97"/>
        </w:numPr>
        <w:ind w:left="158" w:leftChars="75" w:firstLine="0" w:firstLineChars="0"/>
        <w:rPr>
          <w:rFonts w:ascii="Times New Roman"/>
          <w:color w:val="000000"/>
        </w:rPr>
      </w:pPr>
      <w:r>
        <w:rPr>
          <w:rFonts w:hAnsi="宋体"/>
          <w:color w:val="000000"/>
        </w:rPr>
        <w:t>检测方法：</w:t>
      </w:r>
    </w:p>
    <w:p>
      <w:pPr>
        <w:pStyle w:val="60"/>
        <w:ind w:firstLine="420"/>
        <w:rPr>
          <w:rFonts w:ascii="Times New Roman"/>
          <w:color w:val="000000"/>
        </w:rPr>
      </w:pPr>
      <w:r>
        <w:rPr>
          <w:rFonts w:hint="eastAsia" w:hAnsi="宋体"/>
          <w:color w:val="000000"/>
        </w:rPr>
        <w:t>测试开始时</w:t>
      </w:r>
      <w:r>
        <w:rPr>
          <w:rFonts w:hAnsi="宋体"/>
          <w:color w:val="000000"/>
        </w:rPr>
        <w:t>贮热水箱</w:t>
      </w:r>
      <w:r>
        <w:rPr>
          <w:rFonts w:hint="eastAsia" w:hAnsi="宋体"/>
          <w:color w:val="000000"/>
        </w:rPr>
        <w:t>水温不得低于</w:t>
      </w:r>
      <w:r>
        <w:rPr>
          <w:rFonts w:ascii="Times New Roman"/>
          <w:color w:val="000000"/>
        </w:rPr>
        <w:t>50</w:t>
      </w:r>
      <w:r>
        <w:rPr>
          <w:rFonts w:hint="eastAsia" w:hAnsi="宋体"/>
          <w:color w:val="000000"/>
        </w:rPr>
        <w:t>℃，记录初始温度，与水箱所处环境温度差不应小于</w:t>
      </w:r>
      <w:r>
        <w:rPr>
          <w:rFonts w:hint="eastAsia" w:ascii="Times New Roman"/>
          <w:color w:val="000000"/>
        </w:rPr>
        <w:t>2</w:t>
      </w:r>
      <w:r>
        <w:rPr>
          <w:rFonts w:ascii="Times New Roman"/>
          <w:color w:val="000000"/>
        </w:rPr>
        <w:t>0</w:t>
      </w:r>
      <w:r>
        <w:rPr>
          <w:rFonts w:hint="eastAsia" w:hAnsi="宋体"/>
          <w:color w:val="000000"/>
        </w:rPr>
        <w:t>℃，测试期间确保水箱注满水，且无冷热水出入水箱。将注满热水的</w:t>
      </w:r>
      <w:r>
        <w:rPr>
          <w:rFonts w:hAnsi="宋体"/>
          <w:color w:val="000000"/>
        </w:rPr>
        <w:t>贮热水箱</w:t>
      </w:r>
      <w:r>
        <w:rPr>
          <w:rFonts w:hint="eastAsia" w:hAnsi="宋体"/>
          <w:color w:val="000000"/>
        </w:rPr>
        <w:t>自然放置</w:t>
      </w:r>
      <w:r>
        <w:rPr>
          <w:rFonts w:hint="eastAsia" w:ascii="Times New Roman"/>
          <w:color w:val="000000"/>
        </w:rPr>
        <w:t>2</w:t>
      </w:r>
      <w:r>
        <w:rPr>
          <w:rFonts w:ascii="Times New Roman"/>
          <w:color w:val="000000"/>
        </w:rPr>
        <w:t>4h</w:t>
      </w:r>
      <w:r>
        <w:rPr>
          <w:rFonts w:hint="eastAsia" w:hAnsi="宋体"/>
          <w:color w:val="000000"/>
        </w:rPr>
        <w:t>，然后打开水箱阀门放水，记录出水温度的平均值，即为终止温度。放置</w:t>
      </w:r>
      <w:r>
        <w:rPr>
          <w:rFonts w:hint="eastAsia" w:ascii="Times New Roman"/>
          <w:color w:val="000000"/>
        </w:rPr>
        <w:t>2</w:t>
      </w:r>
      <w:r>
        <w:rPr>
          <w:rFonts w:ascii="Times New Roman"/>
          <w:color w:val="000000"/>
        </w:rPr>
        <w:t>4h</w:t>
      </w:r>
      <w:r>
        <w:rPr>
          <w:rFonts w:hint="eastAsia" w:hAnsi="宋体"/>
          <w:color w:val="000000"/>
        </w:rPr>
        <w:t>后的热水温降</w:t>
      </w:r>
      <w:r>
        <w:rPr>
          <w:rFonts w:ascii="Times New Roman"/>
          <w:color w:val="000000"/>
        </w:rPr>
        <w:t>∆T</w:t>
      </w:r>
      <w:r>
        <w:rPr>
          <w:rFonts w:hAnsi="宋体"/>
          <w:color w:val="000000"/>
        </w:rPr>
        <w:t>应符合相关设计文件的要求。当设计文件无明确要求时，结果宜不大于表</w:t>
      </w:r>
      <w:r>
        <w:rPr>
          <w:rFonts w:hint="eastAsia" w:ascii="Times New Roman"/>
          <w:color w:val="000000"/>
        </w:rPr>
        <w:t>E</w:t>
      </w:r>
      <w:r>
        <w:rPr>
          <w:rFonts w:ascii="Times New Roman"/>
          <w:color w:val="000000"/>
        </w:rPr>
        <w:t>.2</w:t>
      </w:r>
      <w:r>
        <w:rPr>
          <w:rFonts w:hAnsi="宋体"/>
          <w:color w:val="000000"/>
        </w:rPr>
        <w:t>的规定。</w:t>
      </w:r>
    </w:p>
    <w:p>
      <w:pPr>
        <w:pStyle w:val="60"/>
        <w:ind w:firstLine="0" w:firstLineChars="0"/>
        <w:jc w:val="center"/>
        <w:rPr>
          <w:rFonts w:ascii="Times New Roman"/>
          <w:b/>
          <w:color w:val="000000"/>
          <w:sz w:val="18"/>
          <w:szCs w:val="18"/>
        </w:rPr>
      </w:pPr>
      <w:r>
        <w:rPr>
          <w:rFonts w:hAnsi="宋体"/>
          <w:b/>
          <w:color w:val="000000"/>
          <w:sz w:val="18"/>
          <w:szCs w:val="18"/>
        </w:rPr>
        <w:t>表</w:t>
      </w:r>
      <w:r>
        <w:rPr>
          <w:rFonts w:ascii="Times New Roman"/>
          <w:b/>
          <w:color w:val="000000"/>
          <w:sz w:val="18"/>
          <w:szCs w:val="18"/>
        </w:rPr>
        <w:t>E.2</w:t>
      </w:r>
      <w:r>
        <w:rPr>
          <w:rFonts w:hint="eastAsia" w:ascii="Times New Roman"/>
          <w:b/>
          <w:color w:val="000000"/>
          <w:sz w:val="18"/>
          <w:szCs w:val="18"/>
        </w:rPr>
        <w:t xml:space="preserve"> </w:t>
      </w:r>
      <w:r>
        <w:rPr>
          <w:rFonts w:hAnsi="宋体"/>
          <w:b/>
          <w:color w:val="000000"/>
          <w:sz w:val="18"/>
          <w:szCs w:val="18"/>
        </w:rPr>
        <w:t>热水温降值</w:t>
      </w:r>
      <w:r>
        <w:rPr>
          <w:rFonts w:ascii="Times New Roman" w:eastAsia="微软雅黑"/>
          <w:b/>
          <w:color w:val="000000"/>
          <w:sz w:val="18"/>
          <w:szCs w:val="18"/>
        </w:rPr>
        <w:t>∆T</w:t>
      </w:r>
      <w:r>
        <w:rPr>
          <w:rFonts w:ascii="微软雅黑" w:hAnsi="微软雅黑" w:eastAsia="微软雅黑"/>
          <w:b/>
          <w:color w:val="000000"/>
          <w:sz w:val="18"/>
          <w:szCs w:val="18"/>
        </w:rPr>
        <w:t>（</w:t>
      </w:r>
      <w:r>
        <w:rPr>
          <w:rFonts w:ascii="Times New Roman" w:eastAsia="微软雅黑"/>
          <w:b/>
          <w:color w:val="000000"/>
          <w:sz w:val="18"/>
          <w:szCs w:val="18"/>
        </w:rPr>
        <w:t>℃</w:t>
      </w:r>
      <w:r>
        <w:rPr>
          <w:rFonts w:ascii="微软雅黑" w:hAnsi="微软雅黑" w:eastAsia="微软雅黑"/>
          <w:b/>
          <w:color w:val="000000"/>
          <w:sz w:val="18"/>
          <w:szCs w:val="18"/>
        </w:rPr>
        <w:t>）</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5"/>
        <w:gridCol w:w="3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5000" w:type="pct"/>
            <w:gridSpan w:val="2"/>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ascii="Times New Roman"/>
                <w:color w:val="000000"/>
                <w:sz w:val="18"/>
                <w:szCs w:val="18"/>
              </w:rPr>
            </w:pPr>
            <w:r>
              <w:rPr>
                <w:rFonts w:hAnsi="宋体"/>
                <w:color w:val="000000"/>
                <w:sz w:val="18"/>
                <w:szCs w:val="18"/>
              </w:rPr>
              <w:t>热水温降值</w:t>
            </w:r>
            <w:r>
              <w:rPr>
                <w:rFonts w:ascii="Times New Roman"/>
                <w:color w:val="000000"/>
                <w:sz w:val="18"/>
                <w:szCs w:val="18"/>
              </w:rPr>
              <w:t>∆T</w:t>
            </w:r>
            <w:r>
              <w:rPr>
                <w:rFonts w:hAnsi="宋体"/>
                <w:color w:val="000000"/>
                <w:sz w:val="18"/>
                <w:szCs w:val="18"/>
              </w:rPr>
              <w:t>（</w:t>
            </w:r>
            <w:r>
              <w:rPr>
                <w:rFonts w:ascii="Times New Roman"/>
                <w:color w:val="000000"/>
                <w:sz w:val="18"/>
                <w:szCs w:val="18"/>
              </w:rPr>
              <w:t>℃</w:t>
            </w:r>
            <w:r>
              <w:rPr>
                <w:rFonts w:hAnsi="宋体"/>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2726"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ascii="Times New Roman"/>
                <w:color w:val="000000"/>
                <w:sz w:val="18"/>
                <w:szCs w:val="18"/>
              </w:rPr>
            </w:pPr>
            <w:r>
              <w:rPr>
                <w:rFonts w:hAnsi="宋体"/>
                <w:color w:val="000000"/>
                <w:sz w:val="18"/>
                <w:szCs w:val="18"/>
              </w:rPr>
              <w:t>非寒冷季节</w:t>
            </w:r>
          </w:p>
        </w:tc>
        <w:tc>
          <w:tcPr>
            <w:tcW w:w="2274"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ascii="Times New Roman"/>
                <w:color w:val="000000"/>
                <w:sz w:val="18"/>
                <w:szCs w:val="18"/>
              </w:rPr>
            </w:pPr>
            <w:r>
              <w:rPr>
                <w:rFonts w:hAnsi="宋体"/>
                <w:color w:val="000000"/>
                <w:sz w:val="18"/>
                <w:szCs w:val="18"/>
              </w:rPr>
              <w:t>寒冷季节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2726"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ascii="Times New Roman"/>
                <w:color w:val="000000"/>
                <w:sz w:val="18"/>
                <w:szCs w:val="18"/>
              </w:rPr>
            </w:pPr>
            <w:r>
              <w:rPr>
                <w:rFonts w:ascii="Times New Roman"/>
                <w:color w:val="000000"/>
                <w:sz w:val="18"/>
                <w:szCs w:val="18"/>
              </w:rPr>
              <w:t>3.0</w:t>
            </w:r>
          </w:p>
        </w:tc>
        <w:tc>
          <w:tcPr>
            <w:tcW w:w="2274"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ascii="Times New Roman"/>
                <w:color w:val="000000"/>
                <w:sz w:val="18"/>
                <w:szCs w:val="18"/>
              </w:rPr>
            </w:pPr>
            <w:r>
              <w:rPr>
                <w:rFonts w:ascii="Times New Roman"/>
                <w:color w:val="000000"/>
                <w:sz w:val="18"/>
                <w:szCs w:val="18"/>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726"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ascii="Times New Roman"/>
                <w:color w:val="000000"/>
                <w:sz w:val="18"/>
                <w:szCs w:val="18"/>
              </w:rPr>
            </w:pPr>
            <w:r>
              <w:rPr>
                <w:rFonts w:ascii="Times New Roman"/>
                <w:color w:val="000000"/>
                <w:sz w:val="18"/>
                <w:szCs w:val="18"/>
              </w:rPr>
              <w:t>3.5</w:t>
            </w:r>
          </w:p>
        </w:tc>
        <w:tc>
          <w:tcPr>
            <w:tcW w:w="2274" w:type="pct"/>
            <w:tcBorders>
              <w:top w:val="single" w:color="auto" w:sz="4" w:space="0"/>
              <w:left w:val="single" w:color="auto" w:sz="4" w:space="0"/>
              <w:bottom w:val="single" w:color="auto" w:sz="4" w:space="0"/>
              <w:right w:val="single" w:color="auto" w:sz="4" w:space="0"/>
            </w:tcBorders>
            <w:vAlign w:val="center"/>
          </w:tcPr>
          <w:p>
            <w:pPr>
              <w:pStyle w:val="60"/>
              <w:ind w:firstLine="0" w:firstLineChars="0"/>
              <w:jc w:val="center"/>
              <w:rPr>
                <w:rFonts w:ascii="Times New Roman"/>
                <w:color w:val="000000"/>
                <w:sz w:val="18"/>
                <w:szCs w:val="18"/>
              </w:rPr>
            </w:pPr>
            <w:r>
              <w:rPr>
                <w:rFonts w:ascii="Times New Roman"/>
                <w:color w:val="000000"/>
                <w:sz w:val="18"/>
                <w:szCs w:val="18"/>
              </w:rPr>
              <w:t>2.2</w:t>
            </w:r>
          </w:p>
        </w:tc>
      </w:tr>
    </w:tbl>
    <w:p>
      <w:pPr>
        <w:pStyle w:val="60"/>
        <w:ind w:firstLine="0" w:firstLineChars="0"/>
        <w:rPr>
          <w:rFonts w:ascii="Times New Roman"/>
          <w:color w:val="000000"/>
          <w:szCs w:val="21"/>
        </w:rPr>
        <w:sectPr>
          <w:pgSz w:w="11900" w:h="16840"/>
          <w:pgMar w:top="1460" w:right="1780" w:bottom="1460" w:left="1780" w:header="1032" w:footer="3" w:gutter="0"/>
          <w:cols w:space="720" w:num="1"/>
          <w:docGrid w:linePitch="360" w:charSpace="0"/>
        </w:sectPr>
      </w:pPr>
      <w:r>
        <w:rPr>
          <w:rFonts w:hAnsi="宋体"/>
          <w:color w:val="000000"/>
        </w:rPr>
        <w:t>注：以上数据为多年实际测量数据整理得出。</w:t>
      </w:r>
    </w:p>
    <w:p>
      <w:pPr>
        <w:pStyle w:val="60"/>
        <w:ind w:firstLine="0" w:firstLineChars="0"/>
      </w:pPr>
    </w:p>
    <w:p>
      <w:pPr>
        <w:pStyle w:val="60"/>
        <w:ind w:firstLine="420"/>
      </w:pPr>
    </w:p>
    <w:p>
      <w:pPr>
        <w:pStyle w:val="60"/>
        <w:ind w:firstLine="420"/>
      </w:pPr>
    </w:p>
    <w:p>
      <w:pPr>
        <w:pStyle w:val="60"/>
        <w:ind w:firstLine="420"/>
      </w:pPr>
    </w:p>
    <w:p>
      <w:pPr>
        <w:pStyle w:val="202"/>
        <w:rPr>
          <w:vanish w:val="0"/>
        </w:rPr>
      </w:pPr>
    </w:p>
    <w:p>
      <w:pPr>
        <w:pStyle w:val="60"/>
        <w:ind w:firstLine="0" w:firstLineChars="0"/>
      </w:pPr>
    </w:p>
    <w:p>
      <w:pPr>
        <w:autoSpaceDE w:val="0"/>
        <w:spacing w:line="240" w:lineRule="auto"/>
        <w:ind w:firstLine="2080" w:firstLineChars="400"/>
        <w:rPr>
          <w:rFonts w:ascii="黑体" w:hAnsi="黑体" w:eastAsia="黑体"/>
          <w:sz w:val="52"/>
          <w:szCs w:val="52"/>
        </w:rPr>
      </w:pPr>
    </w:p>
    <w:p>
      <w:pPr>
        <w:autoSpaceDE w:val="0"/>
        <w:spacing w:line="240" w:lineRule="auto"/>
        <w:jc w:val="center"/>
        <w:rPr>
          <w:rFonts w:ascii="黑体" w:hAnsi="黑体" w:eastAsia="黑体"/>
          <w:sz w:val="44"/>
          <w:szCs w:val="44"/>
        </w:rPr>
      </w:pPr>
      <w:r>
        <w:rPr>
          <w:rFonts w:hint="eastAsia" w:ascii="黑体" w:hAnsi="黑体" w:eastAsia="黑体"/>
          <w:sz w:val="44"/>
          <w:szCs w:val="44"/>
        </w:rPr>
        <w:t>湖北省地方标准</w:t>
      </w:r>
    </w:p>
    <w:p>
      <w:pPr>
        <w:autoSpaceDE w:val="0"/>
        <w:spacing w:line="240" w:lineRule="auto"/>
        <w:ind w:firstLine="1560" w:firstLineChars="300"/>
        <w:rPr>
          <w:rFonts w:ascii="黑体" w:hAnsi="黑体" w:eastAsia="黑体"/>
          <w:sz w:val="52"/>
          <w:szCs w:val="52"/>
        </w:rPr>
      </w:pPr>
    </w:p>
    <w:p>
      <w:pPr>
        <w:autoSpaceDE w:val="0"/>
        <w:spacing w:line="240" w:lineRule="auto"/>
        <w:jc w:val="center"/>
        <w:rPr>
          <w:rFonts w:ascii="黑体" w:hAnsi="黑体" w:eastAsia="黑体"/>
          <w:sz w:val="44"/>
          <w:szCs w:val="44"/>
        </w:rPr>
      </w:pPr>
      <w:r>
        <w:rPr>
          <w:rFonts w:hint="eastAsia" w:ascii="黑体" w:hAnsi="黑体" w:eastAsia="黑体"/>
          <w:sz w:val="44"/>
          <w:szCs w:val="44"/>
        </w:rPr>
        <w:t>绿色建筑检测技术规程</w:t>
      </w:r>
    </w:p>
    <w:p>
      <w:pPr>
        <w:autoSpaceDE w:val="0"/>
        <w:spacing w:line="240" w:lineRule="auto"/>
        <w:jc w:val="center"/>
        <w:rPr>
          <w:rFonts w:ascii="黑体" w:hAnsi="黑体" w:eastAsia="黑体"/>
          <w:sz w:val="44"/>
          <w:szCs w:val="44"/>
        </w:rPr>
      </w:pPr>
      <w:r>
        <w:rPr>
          <w:rFonts w:hint="eastAsia" w:ascii="黑体" w:hAnsi="黑体" w:eastAsia="黑体"/>
          <w:sz w:val="44"/>
          <w:szCs w:val="44"/>
        </w:rPr>
        <w:t>D</w:t>
      </w:r>
      <w:r>
        <w:rPr>
          <w:rFonts w:ascii="黑体" w:hAnsi="黑体" w:eastAsia="黑体"/>
          <w:sz w:val="44"/>
          <w:szCs w:val="44"/>
        </w:rPr>
        <w:t>B42/T XXXX-XXXX</w:t>
      </w:r>
    </w:p>
    <w:p>
      <w:pPr>
        <w:autoSpaceDE w:val="0"/>
        <w:spacing w:line="240" w:lineRule="auto"/>
        <w:ind w:firstLine="3360" w:firstLineChars="1600"/>
        <w:rPr>
          <w:rFonts w:ascii="宋体" w:hAnsi="宋体"/>
        </w:rPr>
      </w:pPr>
    </w:p>
    <w:p>
      <w:pPr>
        <w:autoSpaceDE w:val="0"/>
        <w:spacing w:line="240" w:lineRule="auto"/>
        <w:ind w:firstLine="3200" w:firstLineChars="1000"/>
        <w:outlineLvl w:val="0"/>
        <w:rPr>
          <w:rFonts w:ascii="黑体" w:hAnsi="黑体" w:eastAsia="黑体"/>
          <w:sz w:val="32"/>
          <w:szCs w:val="32"/>
        </w:rPr>
      </w:pPr>
      <w:r>
        <w:rPr>
          <w:rFonts w:hint="eastAsia" w:ascii="黑体" w:hAnsi="黑体" w:eastAsia="黑体"/>
          <w:sz w:val="32"/>
          <w:szCs w:val="32"/>
        </w:rPr>
        <w:t>条文说明</w:t>
      </w: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autoSpaceDE w:val="0"/>
        <w:spacing w:line="240" w:lineRule="auto"/>
        <w:rPr>
          <w:rFonts w:ascii="黑体" w:hAnsi="黑体" w:eastAsia="黑体"/>
          <w:sz w:val="32"/>
          <w:szCs w:val="32"/>
        </w:rPr>
      </w:pPr>
    </w:p>
    <w:p>
      <w:pPr>
        <w:spacing w:line="300" w:lineRule="auto"/>
        <w:rPr>
          <w:rFonts w:cs="Calibri"/>
          <w:color w:val="000000" w:themeColor="text1"/>
          <w14:textFill>
            <w14:solidFill>
              <w14:schemeClr w14:val="tx1"/>
            </w14:solidFill>
          </w14:textFill>
        </w:rPr>
      </w:pPr>
    </w:p>
    <w:p>
      <w:pPr>
        <w:spacing w:line="300" w:lineRule="auto"/>
        <w:rPr>
          <w:rFonts w:cs="Calibri"/>
          <w:color w:val="000000" w:themeColor="text1"/>
          <w14:textFill>
            <w14:solidFill>
              <w14:schemeClr w14:val="tx1"/>
            </w14:solidFill>
          </w14:textFill>
        </w:rPr>
        <w:sectPr>
          <w:pgSz w:w="11900" w:h="16840"/>
          <w:pgMar w:top="1475" w:right="1780" w:bottom="1365" w:left="1765" w:header="1047" w:footer="937" w:gutter="0"/>
          <w:cols w:space="720" w:num="1"/>
          <w:docGrid w:linePitch="360" w:charSpace="0"/>
        </w:sectPr>
      </w:pPr>
    </w:p>
    <w:bookmarkEnd w:id="207"/>
    <w:sdt>
      <w:sdtPr>
        <w:tag w:val="NEW_STAND_NAME"/>
        <w:id w:val="-1268852652"/>
        <w:placeholder>
          <w:docPart w:val="083338BFA937415685A89D9ECD3F517F"/>
        </w:placeholder>
      </w:sdtPr>
      <w:sdtContent>
        <w:p>
          <w:pPr>
            <w:pStyle w:val="181"/>
            <w:spacing w:before="2" w:beforeLines="1" w:after="528" w:afterLines="220"/>
          </w:pPr>
          <w:r>
            <w:rPr>
              <w:rFonts w:hint="eastAsia"/>
            </w:rPr>
            <w:t>绿色建筑检测技术规程</w:t>
          </w:r>
        </w:p>
      </w:sdtContent>
    </w:sdt>
    <w:p>
      <w:pPr>
        <w:pStyle w:val="108"/>
        <w:numPr>
          <w:ilvl w:val="0"/>
          <w:numId w:val="0"/>
        </w:numPr>
        <w:spacing w:before="240" w:after="240"/>
        <w:outlineLvl w:val="9"/>
      </w:pPr>
      <w:bookmarkStart w:id="310" w:name="_Toc97191423"/>
      <w:r>
        <w:rPr>
          <w:rFonts w:hint="eastAsia"/>
        </w:rPr>
        <w:t>1范围</w:t>
      </w:r>
      <w:bookmarkEnd w:id="310"/>
    </w:p>
    <w:p>
      <w:pPr>
        <w:pStyle w:val="236"/>
        <w:spacing w:line="240" w:lineRule="auto"/>
        <w:ind w:firstLine="420" w:firstLineChars="200"/>
        <w:rPr>
          <w:rFonts w:eastAsia="PMingLiU"/>
          <w:color w:val="000000" w:themeColor="text1"/>
          <w:sz w:val="21"/>
          <w:szCs w:val="21"/>
          <w14:textFill>
            <w14:solidFill>
              <w14:schemeClr w14:val="tx1"/>
            </w14:solidFill>
          </w14:textFill>
        </w:rPr>
      </w:pPr>
      <w:r>
        <w:rPr>
          <w:rFonts w:hint="eastAsia"/>
          <w:color w:val="000000" w:themeColor="text1"/>
          <w:sz w:val="21"/>
          <w:szCs w:val="21"/>
          <w:lang w:eastAsia="zh-CN"/>
          <w14:textFill>
            <w14:solidFill>
              <w14:schemeClr w14:val="tx1"/>
            </w14:solidFill>
          </w14:textFill>
        </w:rPr>
        <w:t>绿色建筑性能涉及建筑安全耐久、健康舒适、生活便利、资源节约（节地、节能、节水、节材）和环境宜居等方面的综合性能。本规程未包含安全耐久性能检测内容，主要是考虑到，安全耐久性能在建筑各分部分项工程验收中已有明确的要求，不应重复进行检测和评估，保证绿色建筑验收与建筑分部分项工程验收要求的一致性。绿色建筑验收或评价时，核查和采信涉及安全耐久性检测报告、验收记录和评估报告结论即可。</w:t>
      </w:r>
    </w:p>
    <w:p>
      <w:pPr>
        <w:pStyle w:val="6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在进行绿色建筑验收及评价的过程中，应对绿色建筑的相关性能进行检测。本标准为绿色建筑各项性能检测提供检测方法，明确检测指标，抽样数量、检测工况等技术要求。本标准的适用范围包括新建、改建、扩建的各类绿色建筑民用建筑的检测。其他类型绿色建筑的检测可参照此标准。</w:t>
      </w:r>
    </w:p>
    <w:p>
      <w:pPr>
        <w:pStyle w:val="60"/>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绿色建筑检测内容与国标、通用规范对照表详见下表。</w:t>
      </w:r>
    </w:p>
    <w:tbl>
      <w:tblPr>
        <w:tblStyle w:val="29"/>
        <w:tblW w:w="9634" w:type="dxa"/>
        <w:tblInd w:w="0" w:type="dxa"/>
        <w:tblLayout w:type="autofit"/>
        <w:tblCellMar>
          <w:top w:w="0" w:type="dxa"/>
          <w:left w:w="108" w:type="dxa"/>
          <w:bottom w:w="0" w:type="dxa"/>
          <w:right w:w="108" w:type="dxa"/>
        </w:tblCellMar>
      </w:tblPr>
      <w:tblGrid>
        <w:gridCol w:w="446"/>
        <w:gridCol w:w="850"/>
        <w:gridCol w:w="1559"/>
        <w:gridCol w:w="2268"/>
        <w:gridCol w:w="1754"/>
        <w:gridCol w:w="1463"/>
        <w:gridCol w:w="1417"/>
      </w:tblGrid>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序号</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系统</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子项</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检测项目</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对应GB/T 50378</w:t>
            </w:r>
          </w:p>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条文</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对应GB 55015条文</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对应GB 55016条文</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室外场地环境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土壤氡</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电磁辐射环境</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夜景照明光污染</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8.2.6</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玻璃幕墙可见光反射比</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8.2.7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环境噪声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8.2.6</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热岛强度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人行及非机动车道路照明</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4.2.5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地面防滑性能</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4.2.4</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9</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透水铺装渗透系数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8.2.5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10</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土壤渗透系数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8.2.5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11</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路面/屋面太阳辐射反射系数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12</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室内环境</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声环境</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室内噪声级</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5.2.6</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2.4.2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13</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隔声性能</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2.4.2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14</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Z振动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2.1.5</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15</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混响时间</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2.4.2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16</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光环境</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采光系数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5.2.8</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17</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采光均匀度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5.2.8</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18</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室内表面反射比</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5.2.8</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19</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颜色透射指数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20</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热湿环境</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空气温度、相对湿度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21</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空气流速</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22</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平均辐射温度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23</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新风量</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5.1.6</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34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24</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CO</w:t>
            </w:r>
            <w:r>
              <w:rPr>
                <w:rFonts w:ascii="Times New Roman" w:hAnsi="Times New Roman"/>
                <w:color w:val="000000" w:themeColor="text1"/>
                <w:kern w:val="0"/>
                <w:sz w:val="18"/>
                <w:szCs w:val="18"/>
                <w:vertAlign w:val="subscript"/>
                <w14:textFill>
                  <w14:solidFill>
                    <w14:schemeClr w14:val="tx1"/>
                  </w14:solidFill>
                </w14:textFill>
              </w:rPr>
              <w:t>2</w:t>
            </w:r>
            <w:r>
              <w:rPr>
                <w:rFonts w:ascii="Times New Roman" w:hAnsi="Times New Roman"/>
                <w:color w:val="000000" w:themeColor="text1"/>
                <w:kern w:val="0"/>
                <w:sz w:val="18"/>
                <w:szCs w:val="18"/>
                <w14:textFill>
                  <w14:solidFill>
                    <w14:schemeClr w14:val="tx1"/>
                  </w14:solidFill>
                </w14:textFill>
              </w:rPr>
              <w:t>浓度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5.1.6/6.2.7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25</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室内空气质量</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甲醛、苯、甲苯、二甲苯、氨、氡、TVOC</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3.2.8/5.1.1/5.2.1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5.4.3</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26</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PM2.5、PM10</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3.2.8/5.2.1/6.2.7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27</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外围护结构</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非透光围护结构</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传热系数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28</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热桥内表面温度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4.5.2</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29</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热工缺陷</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30</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隔热性能</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4.5.3</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31</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透光围护结构</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中空玻璃厚度及Low-E膜层位置</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32</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外门窗气密性</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4.1.5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6.2.14</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33</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暖通空调系统</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冷源系统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冷水机组能效比</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34</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冷源系统能效比</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6.2.12</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水系统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空调系统循环水流量</w:t>
            </w:r>
          </w:p>
        </w:tc>
        <w:tc>
          <w:tcPr>
            <w:tcW w:w="1656" w:type="dxa"/>
            <w:tcBorders>
              <w:top w:val="nil"/>
              <w:left w:val="nil"/>
              <w:bottom w:val="nil"/>
              <w:right w:val="nil"/>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6.3.13</w:t>
            </w:r>
          </w:p>
        </w:tc>
        <w:tc>
          <w:tcPr>
            <w:tcW w:w="1417" w:type="dxa"/>
            <w:tcBorders>
              <w:top w:val="nil"/>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36</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空调机组水流量</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6.2.12</w:t>
            </w:r>
          </w:p>
        </w:tc>
        <w:tc>
          <w:tcPr>
            <w:tcW w:w="14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6.3.13</w:t>
            </w:r>
          </w:p>
        </w:tc>
        <w:tc>
          <w:tcPr>
            <w:tcW w:w="1417" w:type="dxa"/>
            <w:tcBorders>
              <w:top w:val="single" w:color="000000" w:sz="4" w:space="0"/>
              <w:left w:val="nil"/>
              <w:bottom w:val="nil"/>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37</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空调水系统耗电输冷（热）比</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7.2.6</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38</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风系统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风道系统单位风量耗功率</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7.2.6</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39</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定风量系统平衡度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6.2.12</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40</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热回收新风机组交换效率</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41</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给水排水系统</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饮水</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生活二次供水水质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5.1.3</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42</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直饮水水质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5.2.3</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43</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热水</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生活热水水质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5.2.3</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44</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给水</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游泳池水质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5.2.3</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45</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采暖空调循环水水质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5.2.3</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46</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景观水水质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5.2.3</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47</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中、雨水</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非传统水源水质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6.2.12</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48</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排水</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污</w:t>
            </w:r>
            <w:r>
              <w:rPr>
                <w:rFonts w:hint="eastAsia" w:ascii="Times New Roman" w:hAnsi="Times New Roman"/>
                <w:color w:val="000000" w:themeColor="text1"/>
                <w:kern w:val="0"/>
                <w:sz w:val="18"/>
                <w:szCs w:val="18"/>
                <w14:textFill>
                  <w14:solidFill>
                    <w14:schemeClr w14:val="tx1"/>
                  </w14:solidFill>
                </w14:textFill>
              </w:rPr>
              <w:t>水</w:t>
            </w:r>
            <w:r>
              <w:rPr>
                <w:rFonts w:ascii="Times New Roman" w:hAnsi="Times New Roman"/>
                <w:color w:val="000000" w:themeColor="text1"/>
                <w:kern w:val="0"/>
                <w:sz w:val="18"/>
                <w:szCs w:val="18"/>
                <w14:textFill>
                  <w14:solidFill>
                    <w14:schemeClr w14:val="tx1"/>
                  </w14:solidFill>
                </w14:textFill>
              </w:rPr>
              <w:t>废水水质</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8.1.6</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49</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供配电系统</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三相电压不平衡</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50</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谐波电压及谐波电流</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功率因数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52</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电压偏差</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7.1.1</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53</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照明系统</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照度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6.3.13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3.5.3</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54</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照度均匀度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3.5.3</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55</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照明功率密度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7.1.4/7.2.7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6.3.13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56</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色温</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3.5.3</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57</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一般显色指数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3.5.3</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58</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统一眩光值</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5.1.5</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3.5.3</w:t>
            </w: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59</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可再生能源系统</w:t>
            </w: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太阳能热利用系统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集热系统效率</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60</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贮热水箱热损因数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61</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供热水温度</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太阳能光伏系统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光电转转效率</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63</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地源热泵系统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热泵机组制热性能系数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64</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热泵系统制热性能系数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65</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热泵机组制冷能效比</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66</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热泵系统制冷能效比</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67</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空气源热泵系统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空气源热泵机组性能系数</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68</w:t>
            </w:r>
          </w:p>
        </w:tc>
        <w:tc>
          <w:tcPr>
            <w:tcW w:w="8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监测与控制</w:t>
            </w:r>
          </w:p>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系统</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室内空气质量监控系统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6.2.7</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69</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水质在线监测系统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6.2.8</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r>
        <w:tblPrEx>
          <w:tblCellMar>
            <w:top w:w="0" w:type="dxa"/>
            <w:left w:w="108" w:type="dxa"/>
            <w:bottom w:w="0" w:type="dxa"/>
            <w:right w:w="108" w:type="dxa"/>
          </w:tblCellMar>
        </w:tblPrEx>
        <w:trPr>
          <w:trHeight w:val="288" w:hRule="atLeast"/>
        </w:trPr>
        <w:tc>
          <w:tcPr>
            <w:tcW w:w="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70</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照明控制系统</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left"/>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w:t>
            </w:r>
          </w:p>
        </w:tc>
        <w:tc>
          <w:tcPr>
            <w:tcW w:w="1656" w:type="dxa"/>
            <w:tcBorders>
              <w:top w:val="single" w:color="000000" w:sz="4" w:space="0"/>
              <w:left w:val="nil"/>
              <w:bottom w:val="single" w:color="000000" w:sz="4" w:space="0"/>
              <w:right w:val="single" w:color="000000" w:sz="4" w:space="0"/>
            </w:tcBorders>
            <w:shd w:val="clear" w:color="auto" w:fill="auto"/>
            <w:noWrap/>
            <w:vAlign w:val="center"/>
          </w:tcPr>
          <w:p>
            <w:pPr>
              <w:pStyle w:val="260"/>
              <w:widowControl/>
              <w:numPr>
                <w:ilvl w:val="2"/>
                <w:numId w:val="98"/>
              </w:numPr>
              <w:adjustRightInd/>
              <w:spacing w:line="240" w:lineRule="auto"/>
              <w:ind w:firstLineChars="0"/>
              <w:jc w:val="center"/>
              <w:rPr>
                <w:rFonts w:ascii="Times New Roman" w:hAnsi="Times New Roman"/>
                <w:color w:val="000000" w:themeColor="text1"/>
                <w:kern w:val="0"/>
                <w:sz w:val="18"/>
                <w:szCs w:val="18"/>
                <w14:textFill>
                  <w14:solidFill>
                    <w14:schemeClr w14:val="tx1"/>
                  </w14:solidFill>
                </w14:textFill>
              </w:rPr>
            </w:pPr>
            <w:r>
              <w:rPr>
                <w:rFonts w:ascii="Times New Roman" w:hAnsi="Times New Roman"/>
                <w:color w:val="000000" w:themeColor="text1"/>
                <w:kern w:val="0"/>
                <w:sz w:val="18"/>
                <w:szCs w:val="18"/>
                <w14:textFill>
                  <w14:solidFill>
                    <w14:schemeClr w14:val="tx1"/>
                  </w14:solidFill>
                </w14:textFill>
              </w:rPr>
              <w:t>6.2.9</w:t>
            </w:r>
          </w:p>
        </w:tc>
        <w:tc>
          <w:tcPr>
            <w:tcW w:w="1463" w:type="dxa"/>
            <w:tcBorders>
              <w:top w:val="single" w:color="000000" w:sz="4" w:space="0"/>
              <w:left w:val="nil"/>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color w:val="000000" w:themeColor="text1"/>
                <w:kern w:val="0"/>
                <w:sz w:val="18"/>
                <w:szCs w:val="18"/>
                <w14:textFill>
                  <w14:solidFill>
                    <w14:schemeClr w14:val="tx1"/>
                  </w14:solidFill>
                </w14:textFill>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adjustRightInd/>
              <w:spacing w:line="240" w:lineRule="auto"/>
              <w:jc w:val="center"/>
              <w:rPr>
                <w:rFonts w:ascii="Times New Roman" w:hAnsi="Times New Roman" w:eastAsia="Times New Roman"/>
                <w:color w:val="000000" w:themeColor="text1"/>
                <w:kern w:val="0"/>
                <w:sz w:val="18"/>
                <w:szCs w:val="18"/>
                <w14:textFill>
                  <w14:solidFill>
                    <w14:schemeClr w14:val="tx1"/>
                  </w14:solidFill>
                </w14:textFill>
              </w:rPr>
            </w:pPr>
          </w:p>
        </w:tc>
      </w:tr>
    </w:tbl>
    <w:sdt>
      <w:sdtPr>
        <w:id w:val="1944639944"/>
        <w:placeholder>
          <w:docPart w:val="CBC6EE157D094D4B8074099666514881"/>
        </w:placeholder>
        <w:showingPlcHd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0"/>
            <w:ind w:firstLine="199" w:firstLineChars="95"/>
          </w:pPr>
          <w:r>
            <w:rPr>
              <w:rStyle w:val="190"/>
              <w:rFonts w:hint="eastAsia"/>
            </w:rPr>
            <w:t>选择一项。</w:t>
          </w:r>
        </w:p>
      </w:sdtContent>
    </w:sdt>
    <w:p>
      <w:pPr>
        <w:pStyle w:val="108"/>
        <w:numPr>
          <w:ilvl w:val="0"/>
          <w:numId w:val="0"/>
        </w:numPr>
        <w:spacing w:before="240" w:after="240"/>
        <w:outlineLvl w:val="9"/>
      </w:pPr>
    </w:p>
    <w:p>
      <w:pPr>
        <w:pStyle w:val="108"/>
        <w:numPr>
          <w:ilvl w:val="0"/>
          <w:numId w:val="0"/>
        </w:numPr>
        <w:spacing w:before="240" w:after="240"/>
        <w:outlineLvl w:val="9"/>
      </w:pPr>
      <w:r>
        <w:rPr>
          <w:rFonts w:hint="eastAsia"/>
        </w:rPr>
        <w:t>4基本规定</w:t>
      </w:r>
    </w:p>
    <w:p>
      <w:pPr>
        <w:spacing w:line="240" w:lineRule="auto"/>
        <w:rPr>
          <w:rFonts w:cs="Calibri"/>
          <w:color w:val="000000" w:themeColor="text1"/>
          <w14:textFill>
            <w14:solidFill>
              <w14:schemeClr w14:val="tx1"/>
            </w14:solidFill>
          </w14:textFill>
        </w:rPr>
      </w:pPr>
      <w:r>
        <w:rPr>
          <w:rFonts w:hint="eastAsia" w:ascii="黑体" w:hAnsi="Times New Roman" w:eastAsia="黑体"/>
          <w:kern w:val="0"/>
          <w:szCs w:val="20"/>
        </w:rPr>
        <w:t>4</w:t>
      </w:r>
      <w:r>
        <w:rPr>
          <w:rFonts w:ascii="黑体" w:hAnsi="Times New Roman" w:eastAsia="黑体"/>
          <w:kern w:val="0"/>
          <w:szCs w:val="20"/>
        </w:rPr>
        <w:t>.9</w:t>
      </w:r>
      <w:r>
        <w:t xml:space="preserve"> </w:t>
      </w:r>
      <w:r>
        <w:rPr>
          <w:rFonts w:hint="eastAsia" w:cs="Calibri"/>
          <w:color w:val="000000" w:themeColor="text1"/>
          <w14:textFill>
            <w14:solidFill>
              <w14:schemeClr w14:val="tx1"/>
            </w14:solidFill>
          </w14:textFill>
        </w:rPr>
        <w:t>绿色建筑检测的目的是通过实际的检测数据来验证项目的性能指标是否达到了设计目标要求，为绿色建筑验收或绿色建筑评价提供数据支撑，因此检测机构应对绿色建筑的检测结果进行判定，给出明确的检测结论，明确检测结果是否符合要求。绿色建筑技术的设计指标在设计图纸中有规定的，检测指标应按照设计指标要求对检测结果进行判定，如室内噪声级、室内污染物浓度指标等。绿色建筑技术的设计指标未在设计图纸中明确的，但现行有效的设计技术标准有明确要求的，则应依据现行有效的设计技术标准进行判定，如室外场地环境中的土壤氡浓度、电磁辐射强度、环境噪声、水质指标等。另外对于部分技术指标，在设计规范中并未明确合格范围，但是在施工质量验收规范中有合格判定范围，则可依据施工质量验收规范的合格要求进行判定，如空调系统风量，水流量指标等。</w:t>
      </w:r>
    </w:p>
    <w:p>
      <w:pPr>
        <w:pStyle w:val="108"/>
        <w:numPr>
          <w:ilvl w:val="0"/>
          <w:numId w:val="0"/>
        </w:numPr>
        <w:spacing w:before="240" w:after="240"/>
        <w:outlineLvl w:val="9"/>
      </w:pPr>
      <w:bookmarkStart w:id="311" w:name="_Hlk129789932"/>
      <w:r>
        <w:rPr>
          <w:rFonts w:hint="eastAsia"/>
        </w:rPr>
        <w:t>5室外场地环境检测</w:t>
      </w:r>
    </w:p>
    <w:p>
      <w:pPr>
        <w:pStyle w:val="109"/>
        <w:numPr>
          <w:ilvl w:val="0"/>
          <w:numId w:val="0"/>
        </w:numPr>
        <w:spacing w:before="120" w:after="120"/>
        <w:outlineLvl w:val="9"/>
      </w:pPr>
      <w:r>
        <w:rPr>
          <w:rFonts w:hint="eastAsia"/>
        </w:rPr>
        <w:t>5</w:t>
      </w:r>
      <w:r>
        <w:t>.1</w:t>
      </w:r>
      <w:r>
        <w:rPr>
          <w:rFonts w:hint="eastAsia"/>
        </w:rPr>
        <w:t>基本规定</w:t>
      </w:r>
    </w:p>
    <w:p>
      <w:pPr>
        <w:widowControl/>
        <w:spacing w:line="240" w:lineRule="auto"/>
        <w:jc w:val="left"/>
        <w:rPr>
          <w:rFonts w:ascii="宋体" w:hAnsi="宋体"/>
          <w:color w:val="4472C4"/>
          <w:kern w:val="0"/>
        </w:rPr>
      </w:pPr>
      <w:r>
        <w:rPr>
          <w:rFonts w:hint="eastAsia" w:ascii="黑体" w:hAnsi="Times New Roman" w:eastAsia="黑体"/>
          <w:kern w:val="0"/>
          <w:szCs w:val="20"/>
        </w:rPr>
        <w:t>5</w:t>
      </w:r>
      <w:r>
        <w:rPr>
          <w:rFonts w:ascii="黑体" w:hAnsi="Times New Roman" w:eastAsia="黑体"/>
          <w:kern w:val="0"/>
          <w:szCs w:val="20"/>
        </w:rPr>
        <w:t xml:space="preserve">.1.1 </w:t>
      </w:r>
      <w:r>
        <w:rPr>
          <w:rFonts w:hint="eastAsia" w:ascii="宋体" w:hAnsi="宋体"/>
          <w:color w:val="000000" w:themeColor="text1"/>
          <w:kern w:val="0"/>
          <w14:textFill>
            <w14:solidFill>
              <w14:schemeClr w14:val="tx1"/>
            </w14:solidFill>
          </w14:textFill>
        </w:rPr>
        <w:t>当需要进行绿色建筑施工场地评价时，宜按本条规定的项目进行检测，当建筑已完成施工的工程，应对相关资料进行核查。</w:t>
      </w:r>
    </w:p>
    <w:p>
      <w:pPr>
        <w:pStyle w:val="109"/>
        <w:numPr>
          <w:ilvl w:val="0"/>
          <w:numId w:val="0"/>
        </w:numPr>
        <w:spacing w:before="120" w:after="120"/>
        <w:outlineLvl w:val="9"/>
      </w:pPr>
      <w:r>
        <w:rPr>
          <w:rFonts w:hint="eastAsia"/>
        </w:rPr>
        <w:t>5</w:t>
      </w:r>
      <w:r>
        <w:t>.2</w:t>
      </w:r>
      <w:r>
        <w:rPr>
          <w:rFonts w:hint="eastAsia"/>
        </w:rPr>
        <w:t>场地土壤氡浓度检测</w:t>
      </w:r>
    </w:p>
    <w:p>
      <w:pPr>
        <w:widowControl/>
        <w:spacing w:line="240" w:lineRule="auto"/>
        <w:jc w:val="left"/>
        <w:rPr>
          <w:rFonts w:ascii="宋体" w:hAnsi="宋体"/>
          <w:color w:val="4472C4"/>
          <w:kern w:val="0"/>
        </w:rPr>
      </w:pPr>
      <w:r>
        <w:rPr>
          <w:rFonts w:hint="eastAsia" w:ascii="黑体" w:hAnsi="Times New Roman" w:eastAsia="黑体"/>
          <w:kern w:val="0"/>
          <w:szCs w:val="20"/>
        </w:rPr>
        <w:t>5</w:t>
      </w:r>
      <w:r>
        <w:rPr>
          <w:rFonts w:ascii="黑体" w:hAnsi="Times New Roman" w:eastAsia="黑体"/>
          <w:kern w:val="0"/>
          <w:szCs w:val="20"/>
        </w:rPr>
        <w:t>.2.1</w:t>
      </w:r>
      <w:r>
        <w:rPr>
          <w:rFonts w:ascii="Times New Roman" w:hAnsi="Times New Roman"/>
        </w:rPr>
        <w:t xml:space="preserve"> </w:t>
      </w:r>
      <w:r>
        <w:rPr>
          <w:rFonts w:ascii="Times New Roman" w:hAnsi="Times New Roman"/>
          <w:color w:val="000000" w:themeColor="text1"/>
          <w:kern w:val="0"/>
          <w14:textFill>
            <w14:solidFill>
              <w14:schemeClr w14:val="tx1"/>
            </w14:solidFill>
          </w14:textFill>
        </w:rPr>
        <w:t>有地质构造断裂的区域会出现土壤氡浓度高的情况。根据现行国家标准 《民用建筑工程室内环境污染控制标准》GB50325的有关规定，当地土壤氛浓度测定结果平均值不大于10000Bq/m</w:t>
      </w:r>
      <w:r>
        <w:rPr>
          <w:rFonts w:ascii="Times New Roman" w:hAnsi="Times New Roman"/>
          <w:color w:val="000000" w:themeColor="text1"/>
          <w:kern w:val="0"/>
          <w:vertAlign w:val="superscript"/>
          <w14:textFill>
            <w14:solidFill>
              <w14:schemeClr w14:val="tx1"/>
            </w14:solidFill>
          </w14:textFill>
        </w:rPr>
        <w:t>3</w:t>
      </w:r>
      <w:r>
        <w:rPr>
          <w:rFonts w:ascii="Times New Roman" w:hAnsi="Times New Roman"/>
          <w:color w:val="000000" w:themeColor="text1"/>
          <w:kern w:val="0"/>
          <w14:textFill>
            <w14:solidFill>
              <w14:schemeClr w14:val="tx1"/>
            </w14:solidFill>
          </w14:textFill>
        </w:rPr>
        <w:t>或土壤表面氡析出率测定结果平均值不大于0.02Bq/(m</w:t>
      </w:r>
      <w:r>
        <w:rPr>
          <w:rFonts w:ascii="Times New Roman" w:hAnsi="Times New Roman"/>
          <w:color w:val="000000" w:themeColor="text1"/>
          <w:kern w:val="0"/>
          <w:vertAlign w:val="superscript"/>
          <w14:textFill>
            <w14:solidFill>
              <w14:schemeClr w14:val="tx1"/>
            </w14:solidFill>
          </w14:textFill>
        </w:rPr>
        <w:t>2</w:t>
      </w:r>
      <w:r>
        <w:rPr>
          <w:rFonts w:ascii="Times New Roman" w:hAnsi="Times New Roman"/>
          <w:color w:val="000000" w:themeColor="text1"/>
          <w:kern w:val="0"/>
          <w14:textFill>
            <w14:solidFill>
              <w14:schemeClr w14:val="tx1"/>
            </w14:solidFill>
          </w14:textFill>
        </w:rPr>
        <w:t>·s)，且工程场地所在地点不存在地质断裂构造时，可不再进行土壤氡测定。</w:t>
      </w:r>
    </w:p>
    <w:p>
      <w:pPr>
        <w:spacing w:line="240" w:lineRule="auto"/>
      </w:pPr>
      <w:r>
        <w:rPr>
          <w:rFonts w:hint="eastAsia" w:ascii="黑体" w:hAnsi="Times New Roman" w:eastAsia="黑体"/>
          <w:kern w:val="0"/>
          <w:szCs w:val="20"/>
        </w:rPr>
        <w:t>5</w:t>
      </w:r>
      <w:r>
        <w:rPr>
          <w:rFonts w:ascii="黑体" w:hAnsi="Times New Roman" w:eastAsia="黑体"/>
          <w:kern w:val="0"/>
          <w:szCs w:val="20"/>
        </w:rPr>
        <w:t>.2.2</w:t>
      </w:r>
      <w:r>
        <w:rPr>
          <w:rFonts w:hint="eastAsia" w:ascii="宋体" w:hAnsi="宋体"/>
          <w:color w:val="000000"/>
        </w:rPr>
        <w:t>对于改建及改造的绿色建筑，综合考虑实际情况和数据可靠，本文件规定在建筑周边外侧和外侧10m范围内按十米网格法布设检测点。</w:t>
      </w:r>
    </w:p>
    <w:p>
      <w:pPr>
        <w:widowControl/>
        <w:spacing w:line="240" w:lineRule="auto"/>
        <w:jc w:val="left"/>
        <w:rPr>
          <w:rFonts w:ascii="宋体" w:hAnsi="宋体"/>
          <w:color w:val="000000" w:themeColor="text1"/>
          <w:kern w:val="0"/>
          <w14:textFill>
            <w14:solidFill>
              <w14:schemeClr w14:val="tx1"/>
            </w14:solidFill>
          </w14:textFill>
        </w:rPr>
      </w:pPr>
    </w:p>
    <w:p>
      <w:pPr>
        <w:pStyle w:val="109"/>
        <w:numPr>
          <w:ilvl w:val="0"/>
          <w:numId w:val="0"/>
        </w:numPr>
        <w:spacing w:before="120" w:after="120"/>
        <w:outlineLvl w:val="9"/>
      </w:pPr>
      <w:r>
        <w:rPr>
          <w:rFonts w:hint="eastAsia"/>
        </w:rPr>
        <w:t>5</w:t>
      </w:r>
      <w:r>
        <w:t>.3</w:t>
      </w:r>
      <w:r>
        <w:rPr>
          <w:rFonts w:hint="eastAsia"/>
        </w:rPr>
        <w:t>建筑周围电磁环境检测</w:t>
      </w:r>
    </w:p>
    <w:p>
      <w:pPr>
        <w:widowControl/>
        <w:spacing w:line="240" w:lineRule="auto"/>
        <w:jc w:val="left"/>
        <w:rPr>
          <w:rFonts w:ascii="宋体" w:hAnsi="宋体"/>
          <w:color w:val="000000" w:themeColor="text1"/>
          <w:kern w:val="0"/>
          <w14:textFill>
            <w14:solidFill>
              <w14:schemeClr w14:val="tx1"/>
            </w14:solidFill>
          </w14:textFill>
        </w:rPr>
      </w:pPr>
      <w:r>
        <w:rPr>
          <w:rFonts w:hint="eastAsia" w:ascii="黑体" w:hAnsi="Times New Roman" w:eastAsia="黑体"/>
          <w:kern w:val="0"/>
          <w:szCs w:val="20"/>
        </w:rPr>
        <w:t>5</w:t>
      </w:r>
      <w:r>
        <w:rPr>
          <w:rFonts w:ascii="黑体" w:hAnsi="Times New Roman" w:eastAsia="黑体"/>
          <w:kern w:val="0"/>
          <w:szCs w:val="20"/>
        </w:rPr>
        <w:t>.3.1</w:t>
      </w:r>
      <w:r>
        <w:rPr>
          <w:rFonts w:ascii="宋体" w:hAnsi="宋体"/>
          <w:color w:val="4472C4" w:themeColor="accent1"/>
          <w:kern w:val="0"/>
          <w14:textFill>
            <w14:solidFill>
              <w14:schemeClr w14:val="accent1"/>
            </w14:solidFill>
          </w14:textFill>
        </w:rPr>
        <w:t xml:space="preserve"> </w:t>
      </w:r>
      <w:r>
        <w:rPr>
          <w:rFonts w:hint="eastAsia" w:ascii="宋体" w:hAnsi="宋体"/>
          <w:color w:val="000000" w:themeColor="text1"/>
          <w:kern w:val="0"/>
          <w14:textFill>
            <w14:solidFill>
              <w14:schemeClr w14:val="tx1"/>
            </w14:solidFill>
          </w14:textFill>
        </w:rPr>
        <w:t>场地电磁辐射检测前，应核查环境影响评价报告，确认建筑周边有无广播发射塔、雷达站、通信发射台、变电站、高压电线等可能存在电磁辐射危险的危险源。建筑建成运行后，建筑周围电磁辐射情况相比项目开工前环评时可能有所变化，如场地内或周边增设地下电缆、基站等辐射源，因此需核查并进行建筑周围电磁辐射现场测试，确保公众健康。若无法确定是否存在典型辐射源，则应进行电测辐射影响评价检测。</w:t>
      </w:r>
    </w:p>
    <w:p>
      <w:pPr>
        <w:pStyle w:val="109"/>
        <w:numPr>
          <w:ilvl w:val="0"/>
          <w:numId w:val="0"/>
        </w:numPr>
        <w:spacing w:before="120" w:after="120"/>
        <w:outlineLvl w:val="9"/>
      </w:pPr>
      <w:r>
        <w:rPr>
          <w:rFonts w:hint="eastAsia"/>
        </w:rPr>
        <w:t>5</w:t>
      </w:r>
      <w:r>
        <w:t>.4</w:t>
      </w:r>
      <w:r>
        <w:rPr>
          <w:rFonts w:hint="eastAsia"/>
        </w:rPr>
        <w:t>室外夜景照明光污染检测</w:t>
      </w:r>
    </w:p>
    <w:p>
      <w:pPr>
        <w:spacing w:line="240" w:lineRule="auto"/>
      </w:pPr>
      <w:r>
        <w:rPr>
          <w:rFonts w:hint="eastAsia" w:ascii="黑体" w:hAnsi="Times New Roman" w:eastAsia="黑体"/>
          <w:kern w:val="0"/>
          <w:szCs w:val="20"/>
        </w:rPr>
        <w:t>5</w:t>
      </w:r>
      <w:r>
        <w:rPr>
          <w:rFonts w:ascii="黑体" w:hAnsi="Times New Roman" w:eastAsia="黑体"/>
          <w:kern w:val="0"/>
          <w:szCs w:val="20"/>
        </w:rPr>
        <w:t xml:space="preserve">.4.1 </w:t>
      </w:r>
      <w:r>
        <w:rPr>
          <w:rFonts w:hint="eastAsia" w:ascii="宋体" w:hAnsi="宋体"/>
        </w:rPr>
        <w:t>室外夜景照明光污染指干扰光或过量的光辐射</w:t>
      </w:r>
      <w:r>
        <w:rPr>
          <w:rFonts w:hint="eastAsia"/>
        </w:rPr>
        <w:t xml:space="preserve"> </w:t>
      </w:r>
      <w:r>
        <w:rPr>
          <w:rFonts w:hint="eastAsia" w:cs="Calibri"/>
        </w:rPr>
        <w:t>(</w:t>
      </w:r>
      <w:r>
        <w:rPr>
          <w:rFonts w:hint="eastAsia" w:ascii="宋体" w:hAnsi="宋体"/>
        </w:rPr>
        <w:t xml:space="preserve">含可见光、紫外和红外光辐射 </w:t>
      </w:r>
      <w:r>
        <w:rPr>
          <w:rFonts w:hint="eastAsia" w:cs="Calibri"/>
        </w:rPr>
        <w:t>)</w:t>
      </w:r>
      <w:r>
        <w:rPr>
          <w:rFonts w:hint="eastAsia" w:ascii="宋体" w:hAnsi="宋体"/>
        </w:rPr>
        <w:t>对人、生态环境和天文观测等造成的负面影响的总称。室外照明光污染检测项目包括</w:t>
      </w:r>
      <w:r>
        <w:rPr>
          <w:rFonts w:hint="eastAsia" w:cs="Calibri"/>
        </w:rPr>
        <w:t>:</w:t>
      </w:r>
      <w:r>
        <w:rPr>
          <w:rFonts w:hint="eastAsia" w:ascii="宋体" w:hAnsi="宋体"/>
        </w:rPr>
        <w:t>住宅建筑居室窗户外表面上垂直照度、广告标识在受影响建筑立面产生的平均亮度、媒体立面墙在受影响建筑立面产生的平均亮度、</w:t>
      </w:r>
      <w:r>
        <w:rPr>
          <w:rFonts w:hint="eastAsia" w:cs="Calibri"/>
        </w:rPr>
        <w:t>LED</w:t>
      </w:r>
      <w:r>
        <w:rPr>
          <w:rFonts w:hint="eastAsia" w:ascii="宋体" w:hAnsi="宋体"/>
        </w:rPr>
        <w:t>显示屏在受影响建筑立面产生的平均亮度。应根据室外照明灯具实际布置以及周边住宅建筑的分布情况，选择相应的检测项目进行现场检测。</w:t>
      </w:r>
    </w:p>
    <w:p>
      <w:pPr>
        <w:widowControl/>
        <w:spacing w:line="240" w:lineRule="auto"/>
        <w:jc w:val="left"/>
      </w:pPr>
      <w:r>
        <w:rPr>
          <w:rFonts w:ascii="黑体" w:hAnsi="Times New Roman" w:eastAsia="黑体"/>
          <w:kern w:val="0"/>
          <w:szCs w:val="20"/>
        </w:rPr>
        <w:t>5.6</w:t>
      </w:r>
      <w:r>
        <w:t xml:space="preserve"> </w:t>
      </w:r>
      <w:r>
        <w:rPr>
          <w:rFonts w:hint="eastAsia"/>
        </w:rPr>
        <w:t>环境噪声检测</w:t>
      </w:r>
    </w:p>
    <w:p>
      <w:pPr>
        <w:widowControl/>
        <w:spacing w:line="240" w:lineRule="auto"/>
        <w:jc w:val="left"/>
        <w:rPr>
          <w:rFonts w:ascii="黑体" w:hAnsi="Times New Roman" w:eastAsia="黑体"/>
          <w:kern w:val="0"/>
          <w:szCs w:val="20"/>
        </w:rPr>
      </w:pPr>
      <w:r>
        <w:rPr>
          <w:rFonts w:hint="eastAsia" w:ascii="黑体" w:hAnsi="Times New Roman" w:eastAsia="黑体"/>
          <w:kern w:val="0"/>
          <w:szCs w:val="20"/>
        </w:rPr>
        <w:t>5</w:t>
      </w:r>
      <w:r>
        <w:rPr>
          <w:rFonts w:ascii="黑体" w:hAnsi="Times New Roman" w:eastAsia="黑体"/>
          <w:kern w:val="0"/>
          <w:szCs w:val="20"/>
        </w:rPr>
        <w:t xml:space="preserve">.6.1 </w:t>
      </w:r>
      <w:r>
        <w:rPr>
          <w:rFonts w:hint="eastAsia" w:ascii="宋体" w:hAnsi="宋体"/>
          <w:kern w:val="0"/>
          <w:szCs w:val="20"/>
        </w:rPr>
        <w:t>建筑周围环境噪声主要是指场地周边的噪声，如交通工具等。</w:t>
      </w:r>
      <w:r>
        <w:rPr>
          <w:rFonts w:hint="eastAsia" w:ascii="黑体" w:hAnsi="Times New Roman" w:eastAsia="黑体"/>
          <w:kern w:val="0"/>
          <w:szCs w:val="20"/>
        </w:rPr>
        <w:t xml:space="preserve"> </w:t>
      </w:r>
    </w:p>
    <w:p>
      <w:pPr>
        <w:widowControl/>
        <w:spacing w:line="240" w:lineRule="auto"/>
        <w:jc w:val="left"/>
        <w:rPr>
          <w:rFonts w:ascii="宋体" w:hAnsi="宋体"/>
          <w:color w:val="4472C4" w:themeColor="accent1"/>
          <w:kern w:val="0"/>
          <w14:textFill>
            <w14:solidFill>
              <w14:schemeClr w14:val="accent1"/>
            </w14:solidFill>
          </w14:textFill>
        </w:rPr>
      </w:pPr>
      <w:r>
        <w:rPr>
          <w:rFonts w:hint="eastAsia" w:ascii="黑体" w:hAnsi="黑体" w:eastAsia="黑体"/>
        </w:rPr>
        <w:t>5</w:t>
      </w:r>
      <w:r>
        <w:rPr>
          <w:rFonts w:ascii="黑体" w:hAnsi="黑体" w:eastAsia="黑体"/>
        </w:rPr>
        <w:t xml:space="preserve">.6.2 </w:t>
      </w:r>
      <w:r>
        <w:rPr>
          <w:rFonts w:hint="eastAsia" w:ascii="宋体" w:hAnsi="宋体"/>
          <w:color w:val="000000" w:themeColor="text1"/>
          <w:kern w:val="0"/>
          <w14:textFill>
            <w14:solidFill>
              <w14:schemeClr w14:val="tx1"/>
            </w14:solidFill>
          </w14:textFill>
        </w:rPr>
        <w:t>考虑检测成本，在建筑物周边四个方向布设具有代表性的采样点。主要考察绿色建筑竣工后，其使用者所处的室外环境噪声情况。噪声敏感建筑物是指医院、学校、机关、科研单位、住宅等需要保持安静的建筑物。</w:t>
      </w:r>
    </w:p>
    <w:p>
      <w:pPr>
        <w:pStyle w:val="109"/>
        <w:numPr>
          <w:ilvl w:val="0"/>
          <w:numId w:val="0"/>
        </w:numPr>
        <w:spacing w:before="120" w:after="120"/>
        <w:outlineLvl w:val="9"/>
      </w:pPr>
      <w:r>
        <w:rPr>
          <w:rFonts w:hint="eastAsia"/>
        </w:rPr>
        <w:t>5</w:t>
      </w:r>
      <w:r>
        <w:t>.7</w:t>
      </w:r>
      <w:r>
        <w:rPr>
          <w:rFonts w:hint="eastAsia"/>
        </w:rPr>
        <w:t>建筑周围热岛强度检测</w:t>
      </w:r>
    </w:p>
    <w:p>
      <w:pPr>
        <w:widowControl/>
        <w:jc w:val="left"/>
      </w:pPr>
      <w:r>
        <w:rPr>
          <w:rFonts w:hint="eastAsia" w:ascii="黑体" w:hAnsi="黑体" w:eastAsia="黑体"/>
        </w:rPr>
        <w:t>5</w:t>
      </w:r>
      <w:r>
        <w:rPr>
          <w:rFonts w:ascii="黑体" w:hAnsi="黑体" w:eastAsia="黑体"/>
        </w:rPr>
        <w:t>.7.3</w:t>
      </w:r>
      <w:r>
        <w:rPr>
          <w:rFonts w:ascii="宋体" w:hAnsi="宋体"/>
          <w:color w:val="000000" w:themeColor="text1"/>
          <w14:textFill>
            <w14:solidFill>
              <w14:schemeClr w14:val="tx1"/>
            </w14:solidFill>
          </w14:textFill>
        </w:rPr>
        <w:t xml:space="preserve"> </w:t>
      </w:r>
      <w:r>
        <w:rPr>
          <w:rFonts w:hint="eastAsia" w:ascii="宋体" w:hAnsi="宋体"/>
        </w:rPr>
        <w:t>当采用热成像仪测量热岛强度时，热成像仪和无人机的</w:t>
      </w:r>
      <w:r>
        <w:rPr>
          <w:rFonts w:ascii="宋体" w:hAnsi="宋体"/>
        </w:rPr>
        <w:t>主要技术参数应分别满足表</w:t>
      </w:r>
      <w:r>
        <w:rPr>
          <w:rFonts w:ascii="黑体" w:hAnsi="黑体" w:eastAsia="黑体"/>
        </w:rPr>
        <w:t>1</w:t>
      </w:r>
      <w:r>
        <w:rPr>
          <w:rFonts w:ascii="宋体" w:hAnsi="宋体"/>
        </w:rPr>
        <w:t>和表</w:t>
      </w:r>
      <w:r>
        <w:rPr>
          <w:rFonts w:ascii="黑体" w:hAnsi="黑体" w:eastAsia="黑体"/>
        </w:rPr>
        <w:t>2</w:t>
      </w:r>
      <w:r>
        <w:rPr>
          <w:rFonts w:ascii="宋体" w:hAnsi="宋体"/>
        </w:rPr>
        <w:t>的要求。</w:t>
      </w:r>
    </w:p>
    <w:p>
      <w:pPr>
        <w:widowControl/>
        <w:spacing w:line="240" w:lineRule="auto"/>
        <w:jc w:val="center"/>
        <w:rPr>
          <w:rFonts w:ascii="宋体" w:hAnsi="宋体"/>
          <w:b/>
          <w:bCs/>
          <w:kern w:val="0"/>
          <w:sz w:val="20"/>
          <w:szCs w:val="20"/>
        </w:rPr>
      </w:pPr>
    </w:p>
    <w:p>
      <w:pPr>
        <w:widowControl/>
        <w:spacing w:line="240" w:lineRule="auto"/>
        <w:jc w:val="center"/>
        <w:rPr>
          <w:rFonts w:ascii="宋体" w:hAnsi="宋体"/>
          <w:b/>
          <w:bCs/>
          <w:kern w:val="0"/>
          <w:sz w:val="20"/>
          <w:szCs w:val="20"/>
        </w:rPr>
      </w:pPr>
      <w:r>
        <w:rPr>
          <w:rFonts w:hint="eastAsia" w:ascii="宋体" w:hAnsi="宋体"/>
          <w:b/>
          <w:bCs/>
          <w:kern w:val="0"/>
          <w:sz w:val="20"/>
          <w:szCs w:val="20"/>
        </w:rPr>
        <w:t>表1  热成像仪主要技术参数</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551"/>
        <w:gridCol w:w="1741"/>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热成像系统类型</w:t>
            </w:r>
          </w:p>
        </w:tc>
        <w:tc>
          <w:tcPr>
            <w:tcW w:w="255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非制冷氧化钒（VO</w:t>
            </w:r>
            <w:r>
              <w:rPr>
                <w:rFonts w:ascii="Times New Roman" w:hAnsi="Times New Roman"/>
                <w:kern w:val="0"/>
                <w:sz w:val="20"/>
                <w:szCs w:val="20"/>
                <w:vertAlign w:val="subscript"/>
              </w:rPr>
              <w:t>X</w:t>
            </w:r>
            <w:r>
              <w:rPr>
                <w:rFonts w:ascii="Times New Roman" w:hAnsi="Times New Roman"/>
                <w:kern w:val="0"/>
                <w:sz w:val="20"/>
                <w:szCs w:val="20"/>
              </w:rPr>
              <w:t>）微测辐射热计</w:t>
            </w:r>
          </w:p>
        </w:tc>
        <w:tc>
          <w:tcPr>
            <w:tcW w:w="174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波长范围</w:t>
            </w:r>
          </w:p>
        </w:tc>
        <w:tc>
          <w:tcPr>
            <w:tcW w:w="2058"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7.5μm~13.5μm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像元间距</w:t>
            </w:r>
          </w:p>
        </w:tc>
        <w:tc>
          <w:tcPr>
            <w:tcW w:w="255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17μm</w:t>
            </w:r>
          </w:p>
        </w:tc>
        <w:tc>
          <w:tcPr>
            <w:tcW w:w="174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灵敏度</w:t>
            </w:r>
          </w:p>
          <w:p>
            <w:pPr>
              <w:widowControl/>
              <w:spacing w:line="240" w:lineRule="auto"/>
              <w:jc w:val="center"/>
              <w:rPr>
                <w:rFonts w:ascii="Times New Roman" w:hAnsi="Times New Roman"/>
                <w:kern w:val="0"/>
                <w:sz w:val="20"/>
                <w:szCs w:val="20"/>
              </w:rPr>
            </w:pPr>
            <w:r>
              <w:rPr>
                <w:rFonts w:ascii="Times New Roman" w:hAnsi="Times New Roman"/>
                <w:kern w:val="0"/>
                <w:sz w:val="20"/>
                <w:szCs w:val="20"/>
              </w:rPr>
              <w:t>（NEdT）</w:t>
            </w:r>
          </w:p>
        </w:tc>
        <w:tc>
          <w:tcPr>
            <w:tcW w:w="2058"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＜50mK@f/1.0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测温范围</w:t>
            </w:r>
          </w:p>
        </w:tc>
        <w:tc>
          <w:tcPr>
            <w:tcW w:w="255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+/-5℃或读数的5%（温度在-25℃~+135℃范围内）</w:t>
            </w:r>
          </w:p>
        </w:tc>
        <w:tc>
          <w:tcPr>
            <w:tcW w:w="1741"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温差感知范围</w:t>
            </w:r>
          </w:p>
        </w:tc>
        <w:tc>
          <w:tcPr>
            <w:tcW w:w="2058"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+/-0.1℃（温度在-25℃~+135℃范围内）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8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工作环境温度</w:t>
            </w:r>
          </w:p>
        </w:tc>
        <w:tc>
          <w:tcPr>
            <w:tcW w:w="6350"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-10℃~40℃</w:t>
            </w:r>
          </w:p>
        </w:tc>
      </w:tr>
    </w:tbl>
    <w:p>
      <w:pPr>
        <w:widowControl/>
        <w:spacing w:line="240" w:lineRule="auto"/>
        <w:jc w:val="center"/>
        <w:rPr>
          <w:rFonts w:ascii="宋体" w:hAnsi="宋体"/>
          <w:b/>
          <w:bCs/>
          <w:kern w:val="0"/>
          <w:sz w:val="20"/>
          <w:szCs w:val="20"/>
        </w:rPr>
      </w:pPr>
      <w:r>
        <w:rPr>
          <w:rFonts w:hint="eastAsia" w:ascii="宋体" w:hAnsi="宋体"/>
          <w:b/>
          <w:bCs/>
          <w:kern w:val="0"/>
          <w:sz w:val="20"/>
          <w:szCs w:val="20"/>
        </w:rPr>
        <w:t>表2  无人机主要技术参数</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8"/>
        <w:gridCol w:w="2563"/>
        <w:gridCol w:w="1749"/>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8"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GPS悬停精度</w:t>
            </w:r>
          </w:p>
        </w:tc>
        <w:tc>
          <w:tcPr>
            <w:tcW w:w="2563"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垂直：±0.5m（下视视觉系统启用：±0.1m）</w:t>
            </w:r>
          </w:p>
          <w:p>
            <w:pPr>
              <w:widowControl/>
              <w:spacing w:line="240" w:lineRule="auto"/>
              <w:jc w:val="center"/>
              <w:rPr>
                <w:rFonts w:ascii="Times New Roman" w:hAnsi="Times New Roman"/>
                <w:kern w:val="0"/>
                <w:sz w:val="20"/>
                <w:szCs w:val="20"/>
              </w:rPr>
            </w:pPr>
            <w:r>
              <w:rPr>
                <w:rFonts w:ascii="Times New Roman" w:hAnsi="Times New Roman"/>
                <w:kern w:val="0"/>
                <w:sz w:val="20"/>
                <w:szCs w:val="20"/>
              </w:rPr>
              <w:t>水平：±1.5m（下视视觉系统启用：±0.3m）</w:t>
            </w:r>
          </w:p>
        </w:tc>
        <w:tc>
          <w:tcPr>
            <w:tcW w:w="174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角度抖动量</w:t>
            </w:r>
          </w:p>
        </w:tc>
        <w:tc>
          <w:tcPr>
            <w:tcW w:w="2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8"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最大可承受风速</w:t>
            </w:r>
          </w:p>
        </w:tc>
        <w:tc>
          <w:tcPr>
            <w:tcW w:w="2563"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10m/s</w:t>
            </w:r>
          </w:p>
        </w:tc>
        <w:tc>
          <w:tcPr>
            <w:tcW w:w="1749"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工作环境温度</w:t>
            </w:r>
          </w:p>
        </w:tc>
        <w:tc>
          <w:tcPr>
            <w:tcW w:w="2050"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-20℃~45℃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8"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前方视觉系统障碍物感知范围</w:t>
            </w:r>
          </w:p>
        </w:tc>
        <w:tc>
          <w:tcPr>
            <w:tcW w:w="636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imes New Roman" w:hAnsi="Times New Roman"/>
                <w:kern w:val="0"/>
                <w:sz w:val="20"/>
                <w:szCs w:val="20"/>
              </w:rPr>
            </w:pPr>
            <w:r>
              <w:rPr>
                <w:rFonts w:ascii="Times New Roman" w:hAnsi="Times New Roman"/>
                <w:kern w:val="0"/>
                <w:sz w:val="20"/>
                <w:szCs w:val="20"/>
              </w:rPr>
              <w:t>0.7m~30m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68"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20"/>
                <w:szCs w:val="20"/>
              </w:rPr>
            </w:pPr>
            <w:r>
              <w:rPr>
                <w:rFonts w:hint="eastAsia" w:ascii="宋体" w:hAnsi="宋体"/>
                <w:kern w:val="0"/>
                <w:sz w:val="20"/>
                <w:szCs w:val="20"/>
              </w:rPr>
              <w:t>最大信号有效距离（无干扰、无遮挡）</w:t>
            </w:r>
          </w:p>
        </w:tc>
        <w:tc>
          <w:tcPr>
            <w:tcW w:w="636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宋体" w:hAnsi="宋体"/>
                <w:kern w:val="0"/>
                <w:sz w:val="20"/>
                <w:szCs w:val="20"/>
              </w:rPr>
            </w:pPr>
            <w:r>
              <w:rPr>
                <w:rFonts w:hint="eastAsia" w:ascii="宋体" w:hAnsi="宋体"/>
                <w:kern w:val="0"/>
                <w:sz w:val="20"/>
                <w:szCs w:val="20"/>
              </w:rPr>
              <w:t>2.4GHz：7km（FCC）3.5km(CE)4km(SRRC)</w:t>
            </w:r>
          </w:p>
          <w:p>
            <w:pPr>
              <w:widowControl/>
              <w:spacing w:line="240" w:lineRule="auto"/>
              <w:jc w:val="center"/>
              <w:rPr>
                <w:rFonts w:ascii="宋体" w:hAnsi="宋体"/>
                <w:kern w:val="0"/>
                <w:sz w:val="20"/>
                <w:szCs w:val="20"/>
              </w:rPr>
            </w:pPr>
            <w:r>
              <w:rPr>
                <w:rFonts w:hint="eastAsia" w:ascii="宋体" w:hAnsi="宋体"/>
                <w:kern w:val="0"/>
                <w:sz w:val="20"/>
                <w:szCs w:val="20"/>
              </w:rPr>
              <w:t>5.8GHz：7km（FCC）2km(CE)5km(SRRC)</w:t>
            </w:r>
          </w:p>
        </w:tc>
      </w:tr>
    </w:tbl>
    <w:p>
      <w:pPr>
        <w:pStyle w:val="108"/>
        <w:numPr>
          <w:ilvl w:val="0"/>
          <w:numId w:val="0"/>
        </w:numPr>
        <w:spacing w:before="240" w:after="240"/>
        <w:outlineLvl w:val="9"/>
      </w:pPr>
      <w:r>
        <w:rPr>
          <w:rFonts w:hint="eastAsia"/>
        </w:rPr>
        <w:t>6</w:t>
      </w:r>
      <w:r>
        <w:t xml:space="preserve"> </w:t>
      </w:r>
      <w:r>
        <w:rPr>
          <w:rFonts w:hint="eastAsia"/>
        </w:rPr>
        <w:t>室内环境检测</w:t>
      </w:r>
    </w:p>
    <w:p>
      <w:pPr>
        <w:pStyle w:val="109"/>
        <w:numPr>
          <w:ilvl w:val="0"/>
          <w:numId w:val="0"/>
        </w:numPr>
        <w:spacing w:before="120" w:after="120"/>
        <w:outlineLvl w:val="9"/>
      </w:pPr>
      <w:r>
        <w:rPr>
          <w:rFonts w:hint="eastAsia"/>
        </w:rPr>
        <w:t>6</w:t>
      </w:r>
      <w:r>
        <w:t xml:space="preserve">.2 </w:t>
      </w:r>
      <w:r>
        <w:rPr>
          <w:rFonts w:hint="eastAsia"/>
        </w:rPr>
        <w:t>声环境检测</w:t>
      </w:r>
    </w:p>
    <w:p>
      <w:pPr>
        <w:spacing w:line="240" w:lineRule="auto"/>
      </w:pPr>
      <w:r>
        <w:rPr>
          <w:rFonts w:hint="eastAsia" w:ascii="黑体" w:hAnsi="Times New Roman" w:eastAsia="黑体"/>
          <w:kern w:val="0"/>
          <w:szCs w:val="20"/>
        </w:rPr>
        <w:t>6</w:t>
      </w:r>
      <w:r>
        <w:rPr>
          <w:rFonts w:ascii="黑体" w:hAnsi="Times New Roman" w:eastAsia="黑体"/>
          <w:kern w:val="0"/>
          <w:szCs w:val="20"/>
        </w:rPr>
        <w:t>.2.1</w:t>
      </w:r>
      <w:r>
        <w:t xml:space="preserve"> </w:t>
      </w:r>
      <w:r>
        <w:rPr>
          <w:rFonts w:hint="eastAsia" w:ascii="宋体" w:hAnsi="宋体"/>
          <w:color w:val="000000" w:themeColor="text1"/>
          <w:kern w:val="0"/>
          <w14:textFill>
            <w14:solidFill>
              <w14:schemeClr w14:val="tx1"/>
            </w14:solidFill>
          </w14:textFill>
        </w:rPr>
        <w:t>检测项来自《建筑环境通用规范》 GB 55016-2021的相关规定。</w:t>
      </w:r>
    </w:p>
    <w:p>
      <w:pPr>
        <w:widowControl/>
        <w:spacing w:line="240" w:lineRule="auto"/>
        <w:jc w:val="left"/>
        <w:rPr>
          <w:rFonts w:ascii="宋体" w:hAnsi="宋体"/>
          <w:color w:val="4472C4"/>
          <w:kern w:val="0"/>
        </w:rPr>
      </w:pPr>
      <w:r>
        <w:rPr>
          <w:rFonts w:hint="eastAsia" w:ascii="黑体" w:hAnsi="Times New Roman" w:eastAsia="黑体"/>
          <w:kern w:val="0"/>
          <w:szCs w:val="20"/>
        </w:rPr>
        <w:t>6</w:t>
      </w:r>
      <w:r>
        <w:rPr>
          <w:rFonts w:ascii="黑体" w:hAnsi="Times New Roman" w:eastAsia="黑体"/>
          <w:kern w:val="0"/>
          <w:szCs w:val="20"/>
        </w:rPr>
        <w:t xml:space="preserve">.2.2 </w:t>
      </w:r>
      <w:r>
        <w:rPr>
          <w:rFonts w:hint="eastAsia" w:ascii="黑体" w:hAnsi="Times New Roman" w:eastAsia="黑体"/>
          <w:kern w:val="0"/>
          <w:szCs w:val="20"/>
        </w:rPr>
        <w:t>b</w:t>
      </w:r>
      <w:r>
        <w:rPr>
          <w:rFonts w:ascii="黑体" w:hAnsi="Times New Roman" w:eastAsia="黑体"/>
          <w:kern w:val="0"/>
          <w:szCs w:val="20"/>
        </w:rPr>
        <w:t>)</w:t>
      </w:r>
      <w:r>
        <w:rPr>
          <w:rFonts w:hint="eastAsia" w:ascii="宋体" w:hAnsi="宋体"/>
          <w:color w:val="000000" w:themeColor="text1"/>
          <w:kern w:val="0"/>
          <w14:textFill>
            <w14:solidFill>
              <w14:schemeClr w14:val="tx1"/>
            </w14:solidFill>
          </w14:textFill>
        </w:rPr>
        <w:t>《民用建筑隔声设计规范》GB 50118对各类建筑内有噪声要求的房间和相应的标准限值进行了分类和限定，主要功能房间的选取和检测结果的判定依据GB 50118进行。</w:t>
      </w:r>
    </w:p>
    <w:p>
      <w:pPr>
        <w:pStyle w:val="109"/>
        <w:numPr>
          <w:ilvl w:val="0"/>
          <w:numId w:val="0"/>
        </w:numPr>
        <w:spacing w:before="120" w:after="120"/>
        <w:outlineLvl w:val="9"/>
      </w:pPr>
      <w:r>
        <w:rPr>
          <w:rFonts w:hint="eastAsia"/>
        </w:rPr>
        <w:t>6</w:t>
      </w:r>
      <w:r>
        <w:t xml:space="preserve">.3 </w:t>
      </w:r>
      <w:r>
        <w:rPr>
          <w:rFonts w:hint="eastAsia"/>
        </w:rPr>
        <w:t>光环境检测</w:t>
      </w:r>
    </w:p>
    <w:p>
      <w:pPr>
        <w:widowControl/>
        <w:spacing w:line="240" w:lineRule="auto"/>
        <w:jc w:val="left"/>
        <w:rPr>
          <w:rFonts w:ascii="宋体" w:hAnsi="宋体"/>
          <w:color w:val="4472C4"/>
          <w:kern w:val="0"/>
        </w:rPr>
      </w:pPr>
      <w:r>
        <w:rPr>
          <w:rFonts w:hint="eastAsia" w:ascii="黑体" w:hAnsi="Times New Roman" w:eastAsia="黑体"/>
          <w:kern w:val="0"/>
          <w:szCs w:val="20"/>
        </w:rPr>
        <w:t>6</w:t>
      </w:r>
      <w:r>
        <w:rPr>
          <w:rFonts w:ascii="黑体" w:hAnsi="Times New Roman" w:eastAsia="黑体"/>
          <w:kern w:val="0"/>
          <w:szCs w:val="20"/>
        </w:rPr>
        <w:t>.3.1</w:t>
      </w:r>
      <w:r>
        <w:t xml:space="preserve"> </w:t>
      </w:r>
      <w:r>
        <w:rPr>
          <w:rFonts w:hint="eastAsia" w:ascii="宋体" w:hAnsi="宋体"/>
          <w:color w:val="000000" w:themeColor="text1"/>
          <w:kern w:val="0"/>
          <w14:textFill>
            <w14:solidFill>
              <w14:schemeClr w14:val="tx1"/>
            </w14:solidFill>
          </w14:textFill>
        </w:rPr>
        <w:t>检测项来自《建筑环境通用规范》 GB 55016-2021的相关规定。</w:t>
      </w:r>
    </w:p>
    <w:p>
      <w:pPr>
        <w:pStyle w:val="109"/>
        <w:numPr>
          <w:ilvl w:val="0"/>
          <w:numId w:val="0"/>
        </w:numPr>
        <w:spacing w:before="120" w:after="120"/>
        <w:outlineLvl w:val="9"/>
      </w:pPr>
      <w:r>
        <w:rPr>
          <w:rFonts w:hint="eastAsia"/>
        </w:rPr>
        <w:t>6</w:t>
      </w:r>
      <w:r>
        <w:t xml:space="preserve">.5 </w:t>
      </w:r>
      <w:r>
        <w:rPr>
          <w:rFonts w:hint="eastAsia"/>
        </w:rPr>
        <w:t>室内空气质量检测</w:t>
      </w:r>
    </w:p>
    <w:p>
      <w:pPr>
        <w:pStyle w:val="236"/>
        <w:spacing w:line="240" w:lineRule="auto"/>
        <w:ind w:firstLine="0"/>
        <w:rPr>
          <w:rFonts w:ascii="Calibri" w:hAnsi="Calibri" w:eastAsia="PMingLiU" w:cs="Times New Roman"/>
          <w:color w:val="4472C4" w:themeColor="accent1"/>
          <w:sz w:val="21"/>
          <w:szCs w:val="21"/>
          <w:lang w:val="en-US" w:eastAsia="zh-CN" w:bidi="ar-SA"/>
          <w14:textFill>
            <w14:solidFill>
              <w14:schemeClr w14:val="accent1"/>
            </w14:solidFill>
          </w14:textFill>
        </w:rPr>
      </w:pPr>
      <w:r>
        <w:rPr>
          <w:rFonts w:hint="eastAsia" w:ascii="黑体" w:hAnsi="Times New Roman" w:eastAsia="黑体" w:cs="Times New Roman"/>
          <w:kern w:val="0"/>
          <w:sz w:val="21"/>
          <w:szCs w:val="20"/>
          <w:lang w:val="en-US" w:eastAsia="zh-CN" w:bidi="ar-SA"/>
        </w:rPr>
        <w:t>6</w:t>
      </w:r>
      <w:r>
        <w:rPr>
          <w:rFonts w:ascii="黑体" w:hAnsi="Times New Roman" w:eastAsia="黑体" w:cs="Times New Roman"/>
          <w:kern w:val="0"/>
          <w:sz w:val="21"/>
          <w:szCs w:val="20"/>
          <w:lang w:val="en-US" w:eastAsia="zh-CN" w:bidi="ar-SA"/>
        </w:rPr>
        <w:t xml:space="preserve">.5.2 </w:t>
      </w:r>
      <w:r>
        <w:rPr>
          <w:rFonts w:hint="eastAsia" w:ascii="黑体" w:hAnsi="Times New Roman" w:eastAsia="黑体" w:cs="Times New Roman"/>
          <w:kern w:val="0"/>
          <w:sz w:val="21"/>
          <w:szCs w:val="20"/>
          <w:lang w:val="en-US" w:eastAsia="zh-CN" w:bidi="ar-SA"/>
        </w:rPr>
        <w:t>b）</w:t>
      </w:r>
      <w:r>
        <w:rPr>
          <w:rFonts w:hint="eastAsia" w:ascii="Calibri" w:hAnsi="Calibri" w:cs="Times New Roman"/>
          <w:color w:val="000000" w:themeColor="text1"/>
          <w:sz w:val="21"/>
          <w:szCs w:val="21"/>
          <w:lang w:val="en-US" w:eastAsia="zh-CN" w:bidi="ar-SA"/>
          <w14:textFill>
            <w14:solidFill>
              <w14:schemeClr w14:val="tx1"/>
            </w14:solidFill>
          </w14:textFill>
        </w:rPr>
        <w:t>对于进行绿色建筑竣工验收的项目，其室内装修软装部分一般未安装到位，与其投入运行后的状态不一样，故对于此种情况依旧按照</w:t>
      </w:r>
      <w:r>
        <w:rPr>
          <w:rFonts w:hint="eastAsia"/>
          <w:color w:val="000000" w:themeColor="text1"/>
          <w14:textFill>
            <w14:solidFill>
              <w14:schemeClr w14:val="tx1"/>
            </w14:solidFill>
          </w14:textFill>
        </w:rPr>
        <w:t>《民用建筑工程室内环境污染控制标准》G</w:t>
      </w:r>
      <w:r>
        <w:rPr>
          <w:color w:val="000000" w:themeColor="text1"/>
          <w14:textFill>
            <w14:solidFill>
              <w14:schemeClr w14:val="tx1"/>
            </w14:solidFill>
          </w14:textFill>
        </w:rPr>
        <w:t>B 50325</w:t>
      </w:r>
      <w:r>
        <w:rPr>
          <w:rFonts w:hint="eastAsia"/>
          <w:color w:val="000000" w:themeColor="text1"/>
          <w14:textFill>
            <w14:solidFill>
              <w14:schemeClr w14:val="tx1"/>
            </w14:solidFill>
          </w14:textFill>
        </w:rPr>
        <w:t>的要求进行检测，既实现了与现有验收标准的有效衔接，同时避免重复性检测。对于进行绿色建筑评价项目，其室内软装均已安装到位，与验收时的工况条件不同，此时按照《室内空气质量标准》G</w:t>
      </w:r>
      <w:r>
        <w:rPr>
          <w:color w:val="000000" w:themeColor="text1"/>
          <w14:textFill>
            <w14:solidFill>
              <w14:schemeClr w14:val="tx1"/>
            </w14:solidFill>
          </w14:textFill>
        </w:rPr>
        <w:t>B/T 18883</w:t>
      </w:r>
      <w:r>
        <w:rPr>
          <w:rFonts w:hint="eastAsia"/>
          <w:color w:val="000000" w:themeColor="text1"/>
          <w14:textFill>
            <w14:solidFill>
              <w14:schemeClr w14:val="tx1"/>
            </w14:solidFill>
          </w14:textFill>
        </w:rPr>
        <w:t>的规定进行检测，符合《绿色建筑评价标准》G</w:t>
      </w:r>
      <w:r>
        <w:rPr>
          <w:color w:val="000000" w:themeColor="text1"/>
          <w14:textFill>
            <w14:solidFill>
              <w14:schemeClr w14:val="tx1"/>
            </w14:solidFill>
          </w14:textFill>
        </w:rPr>
        <w:t>B/T 50378</w:t>
      </w:r>
      <w:r>
        <w:rPr>
          <w:rFonts w:hint="eastAsia"/>
          <w:color w:val="000000" w:themeColor="text1"/>
          <w14:textFill>
            <w14:solidFill>
              <w14:schemeClr w14:val="tx1"/>
            </w14:solidFill>
          </w14:textFill>
        </w:rPr>
        <w:t>评价的技术要求。</w:t>
      </w:r>
    </w:p>
    <w:p>
      <w:pPr>
        <w:pStyle w:val="108"/>
        <w:numPr>
          <w:ilvl w:val="0"/>
          <w:numId w:val="0"/>
        </w:numPr>
        <w:spacing w:before="240" w:after="240"/>
        <w:outlineLvl w:val="9"/>
      </w:pPr>
      <w:r>
        <w:rPr>
          <w:rFonts w:hint="eastAsia"/>
        </w:rPr>
        <w:t>7</w:t>
      </w:r>
      <w:r>
        <w:t xml:space="preserve"> </w:t>
      </w:r>
      <w:r>
        <w:rPr>
          <w:rFonts w:hint="eastAsia"/>
        </w:rPr>
        <w:t>外围护结构性能检测</w:t>
      </w:r>
    </w:p>
    <w:p>
      <w:pPr>
        <w:pStyle w:val="109"/>
        <w:numPr>
          <w:ilvl w:val="0"/>
          <w:numId w:val="0"/>
        </w:numPr>
        <w:spacing w:before="120" w:after="120"/>
        <w:outlineLvl w:val="9"/>
      </w:pPr>
      <w:r>
        <w:rPr>
          <w:rFonts w:hint="eastAsia"/>
        </w:rPr>
        <w:t>7</w:t>
      </w:r>
      <w:r>
        <w:t xml:space="preserve">.2 </w:t>
      </w:r>
      <w:r>
        <w:rPr>
          <w:rFonts w:hint="eastAsia"/>
        </w:rPr>
        <w:t>非透光围护结构热工性能检测</w:t>
      </w:r>
    </w:p>
    <w:p>
      <w:pPr>
        <w:pStyle w:val="236"/>
        <w:spacing w:line="240" w:lineRule="auto"/>
        <w:ind w:firstLine="0"/>
        <w:rPr>
          <w:rFonts w:eastAsia="PMingLiU"/>
          <w:color w:val="4472C4" w:themeColor="accent1"/>
          <w:sz w:val="21"/>
          <w:szCs w:val="21"/>
          <w14:textFill>
            <w14:solidFill>
              <w14:schemeClr w14:val="accent1"/>
            </w14:solidFill>
          </w14:textFill>
        </w:rPr>
      </w:pPr>
      <w:r>
        <w:rPr>
          <w:rFonts w:hint="eastAsia" w:ascii="黑体" w:eastAsia="黑体"/>
        </w:rPr>
        <w:t>7</w:t>
      </w:r>
      <w:r>
        <w:rPr>
          <w:rFonts w:ascii="黑体" w:eastAsia="黑体"/>
        </w:rPr>
        <w:t xml:space="preserve">.2.1 </w:t>
      </w:r>
      <w:r>
        <w:rPr>
          <w:rFonts w:hint="eastAsia" w:eastAsiaTheme="minorEastAsia"/>
          <w:color w:val="000000"/>
          <w:sz w:val="21"/>
          <w:szCs w:val="21"/>
          <w:lang w:eastAsia="zh-CN"/>
        </w:rPr>
        <w:t xml:space="preserve"> </w:t>
      </w:r>
      <w:r>
        <w:rPr>
          <w:rFonts w:hint="eastAsia"/>
          <w:color w:val="000000" w:themeColor="text1"/>
          <w:sz w:val="21"/>
          <w:szCs w:val="21"/>
          <w14:textFill>
            <w14:solidFill>
              <w14:schemeClr w14:val="tx1"/>
            </w14:solidFill>
          </w14:textFill>
        </w:rPr>
        <w:t>非透光围护结构的传热系数检测应根据不同建筑部位进行，包括屋顶传热系数，外墙主体部位传热系数，分户墙传热系数，架空楼板传热系数等。热桥部位内表面温度检测包括外墙角、梁、柱以及窗洞口四周等部位。</w:t>
      </w:r>
    </w:p>
    <w:p>
      <w:pPr>
        <w:pStyle w:val="108"/>
        <w:numPr>
          <w:ilvl w:val="0"/>
          <w:numId w:val="99"/>
        </w:numPr>
        <w:spacing w:before="240" w:after="240"/>
        <w:ind w:left="0" w:firstLine="0"/>
        <w:jc w:val="left"/>
        <w:outlineLvl w:val="9"/>
      </w:pPr>
      <w:r>
        <w:rPr>
          <w:rFonts w:hint="eastAsia"/>
        </w:rPr>
        <w:t>暖通空调系统检测</w:t>
      </w:r>
    </w:p>
    <w:p>
      <w:pPr>
        <w:pStyle w:val="109"/>
        <w:numPr>
          <w:ilvl w:val="0"/>
          <w:numId w:val="0"/>
        </w:numPr>
        <w:spacing w:before="120" w:after="120"/>
        <w:outlineLvl w:val="9"/>
      </w:pPr>
      <w:r>
        <w:rPr>
          <w:rFonts w:hint="eastAsia"/>
        </w:rPr>
        <w:t>8</w:t>
      </w:r>
      <w:r>
        <w:t>.1</w:t>
      </w:r>
      <w:r>
        <w:rPr>
          <w:rFonts w:hint="eastAsia"/>
        </w:rPr>
        <w:t>一般规定</w:t>
      </w:r>
    </w:p>
    <w:p>
      <w:pPr>
        <w:pStyle w:val="69"/>
        <w:spacing w:before="120" w:after="120"/>
        <w:outlineLvl w:val="9"/>
        <w:rPr>
          <w:rFonts w:ascii="宋体" w:hAnsi="宋体" w:eastAsia="PMingLiU"/>
          <w:lang w:val="zh-TW" w:eastAsia="zh-TW" w:bidi="zh-TW"/>
        </w:rPr>
      </w:pPr>
      <w:r>
        <w:rPr>
          <w:rFonts w:hint="eastAsia" w:hAnsi="黑体"/>
          <w:lang w:val="zh-TW" w:bidi="zh-TW"/>
        </w:rPr>
        <w:t>8</w:t>
      </w:r>
      <w:r>
        <w:rPr>
          <w:rFonts w:hAnsi="黑体"/>
          <w:lang w:val="zh-TW" w:eastAsia="zh-TW" w:bidi="zh-TW"/>
        </w:rPr>
        <w:t>.1.1</w:t>
      </w:r>
      <w:r>
        <w:rPr>
          <w:rFonts w:ascii="宋体" w:hAnsi="宋体" w:eastAsia="PMingLiU"/>
          <w:lang w:val="zh-TW" w:eastAsia="zh-TW" w:bidi="zh-TW"/>
        </w:rPr>
        <w:t xml:space="preserve"> </w:t>
      </w:r>
      <w:r>
        <w:rPr>
          <w:rFonts w:hint="eastAsia" w:ascii="宋体" w:hAnsi="宋体" w:eastAsia="宋体"/>
          <w:lang w:val="zh-TW" w:eastAsia="zh-TW" w:bidi="zh-TW"/>
        </w:rPr>
        <w:t>暖通空调系统属于动态系统，虽然在竣工验收阶段已做过调试和检测验证工作，但在建筑投入运行后，由于运维工作不到位，系统各种运行参数会随着运行时间偏离目标区间，造成系统效率低下。如空调箱风机皮带未定期进行松紧造成送风量降低，空调箱过滤网未定期清洗造成阻力增加，从而导致送风量降低。空调水系统中多台冷冻机并联运行时，由于并联支路其他冷冻机组的支路电动阀未关闭，造成混水，提高了供水温度，因此需要定期对暖通空调系统进行调适，确保空调系统处于高效运行水平。绿色建筑运行评价中，应对暖通空调系统的重要性能参数进行检测验证，以评估其当前运行状态是否满足目标要求。</w:t>
      </w:r>
    </w:p>
    <w:p>
      <w:pPr>
        <w:pStyle w:val="109"/>
        <w:numPr>
          <w:ilvl w:val="0"/>
          <w:numId w:val="0"/>
        </w:numPr>
        <w:spacing w:before="120" w:after="120"/>
        <w:outlineLvl w:val="9"/>
      </w:pPr>
      <w:r>
        <w:rPr>
          <w:rFonts w:hint="eastAsia"/>
        </w:rPr>
        <w:t>8</w:t>
      </w:r>
      <w:r>
        <w:t xml:space="preserve">.6 </w:t>
      </w:r>
      <w:r>
        <w:rPr>
          <w:rFonts w:hint="eastAsia"/>
        </w:rPr>
        <w:t>风道系统单位风量耗功率检测</w:t>
      </w:r>
    </w:p>
    <w:p>
      <w:pPr>
        <w:pStyle w:val="236"/>
        <w:spacing w:line="240" w:lineRule="auto"/>
        <w:ind w:firstLine="0"/>
        <w:jc w:val="left"/>
        <w:rPr>
          <w:rFonts w:ascii="Calibri" w:hAnsi="Calibri" w:cs="Times New Roman"/>
          <w:color w:val="000000" w:themeColor="text1"/>
          <w:sz w:val="21"/>
          <w:szCs w:val="21"/>
          <w:lang w:val="en-US" w:eastAsia="zh-CN" w:bidi="ar-SA"/>
          <w14:textFill>
            <w14:solidFill>
              <w14:schemeClr w14:val="tx1"/>
            </w14:solidFill>
          </w14:textFill>
        </w:rPr>
      </w:pPr>
      <w:r>
        <w:rPr>
          <w:rFonts w:hint="eastAsia" w:ascii="黑体" w:hAnsi="黑体" w:eastAsia="黑体"/>
        </w:rPr>
        <w:t>8</w:t>
      </w:r>
      <w:r>
        <w:rPr>
          <w:rFonts w:ascii="黑体" w:hAnsi="黑体" w:eastAsia="黑体"/>
        </w:rPr>
        <w:t>.6.</w:t>
      </w:r>
      <w:r>
        <w:rPr>
          <w:rFonts w:ascii="黑体" w:hAnsi="黑体" w:eastAsia="PMingLiU"/>
        </w:rPr>
        <w:t xml:space="preserve">4 </w:t>
      </w:r>
      <w:r>
        <w:rPr>
          <w:rFonts w:hint="eastAsia" w:ascii="Calibri" w:hAnsi="Calibri" w:cs="Times New Roman"/>
          <w:color w:val="000000" w:themeColor="text1"/>
          <w:sz w:val="21"/>
          <w:szCs w:val="21"/>
          <w:lang w:val="en-US" w:eastAsia="zh-CN" w:bidi="ar-SA"/>
          <w14:textFill>
            <w14:solidFill>
              <w14:schemeClr w14:val="tx1"/>
            </w14:solidFill>
          </w14:textFill>
        </w:rPr>
        <w:t>依据《公共建筑节能设计标准》G</w:t>
      </w:r>
      <w:r>
        <w:rPr>
          <w:rFonts w:ascii="Calibri" w:hAnsi="Calibri" w:cs="Times New Roman"/>
          <w:color w:val="000000" w:themeColor="text1"/>
          <w:sz w:val="21"/>
          <w:szCs w:val="21"/>
          <w:lang w:val="en-US" w:eastAsia="zh-CN" w:bidi="ar-SA"/>
          <w14:textFill>
            <w14:solidFill>
              <w14:schemeClr w14:val="tx1"/>
            </w14:solidFill>
          </w14:textFill>
        </w:rPr>
        <w:t>B 50189-2015</w:t>
      </w:r>
      <w:r>
        <w:rPr>
          <w:rFonts w:hint="eastAsia" w:ascii="Calibri" w:hAnsi="Calibri" w:cs="Times New Roman"/>
          <w:color w:val="000000" w:themeColor="text1"/>
          <w:sz w:val="21"/>
          <w:szCs w:val="21"/>
          <w:lang w:val="en-US" w:eastAsia="zh-CN" w:bidi="ar-SA"/>
          <w14:textFill>
            <w14:solidFill>
              <w14:schemeClr w14:val="tx1"/>
            </w14:solidFill>
          </w14:textFill>
        </w:rPr>
        <w:t>中4</w:t>
      </w:r>
      <w:r>
        <w:rPr>
          <w:rFonts w:ascii="Calibri" w:hAnsi="Calibri" w:cs="Times New Roman"/>
          <w:color w:val="000000" w:themeColor="text1"/>
          <w:sz w:val="21"/>
          <w:szCs w:val="21"/>
          <w:lang w:val="en-US" w:eastAsia="zh-CN" w:bidi="ar-SA"/>
          <w14:textFill>
            <w14:solidFill>
              <w14:schemeClr w14:val="tx1"/>
            </w14:solidFill>
          </w14:textFill>
        </w:rPr>
        <w:t>.3.22</w:t>
      </w:r>
      <w:r>
        <w:rPr>
          <w:rFonts w:hint="eastAsia" w:ascii="Calibri" w:hAnsi="Calibri" w:cs="Times New Roman"/>
          <w:color w:val="000000" w:themeColor="text1"/>
          <w:sz w:val="21"/>
          <w:szCs w:val="21"/>
          <w:lang w:val="en-US" w:eastAsia="zh-CN" w:bidi="ar-SA"/>
          <w14:textFill>
            <w14:solidFill>
              <w14:schemeClr w14:val="tx1"/>
            </w14:solidFill>
          </w14:textFill>
        </w:rPr>
        <w:t>条的计算公式，风道系统单位风量耗功率计算式如下：</w:t>
      </w:r>
    </w:p>
    <w:p>
      <w:pPr>
        <w:pStyle w:val="236"/>
        <w:spacing w:line="240" w:lineRule="auto"/>
        <w:ind w:firstLine="0"/>
        <w:jc w:val="center"/>
        <w:rPr>
          <w:rFonts w:ascii="Calibri" w:hAnsi="Calibri" w:cs="Times New Roman"/>
          <w:color w:val="000000" w:themeColor="text1"/>
          <w:sz w:val="18"/>
          <w:szCs w:val="18"/>
          <w:lang w:val="en-US" w:eastAsia="zh-CN" w:bidi="ar-SA"/>
          <w14:textFill>
            <w14:solidFill>
              <w14:schemeClr w14:val="tx1"/>
            </w14:solidFill>
          </w14:textFill>
        </w:rPr>
      </w:pPr>
      <m:oMathPara>
        <m:oMath>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W</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hint="eastAsia" w:ascii="Cambria Math" w:hAnsi="Cambria Math" w:cs="Times New Roman"/>
                  <w:color w:val="000000" w:themeColor="text1"/>
                  <w:sz w:val="18"/>
                  <w:szCs w:val="18"/>
                  <w:lang w:val="en-US" w:eastAsia="zh-CN" w:bidi="ar-SA"/>
                  <w14:textFill>
                    <w14:solidFill>
                      <w14:schemeClr w14:val="tx1"/>
                    </w14:solidFill>
                  </w14:textFill>
                </w:rPr>
                <m:t>s</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hint="eastAsia" w:ascii="Cambria Math" w:hAnsi="Cambria Math" w:cs="Times New Roman"/>
              <w:color w:val="000000" w:themeColor="text1"/>
              <w:sz w:val="18"/>
              <w:szCs w:val="18"/>
              <w:lang w:val="en-US" w:eastAsia="zh-CN" w:bidi="ar-SA"/>
              <w14:textFill>
                <w14:solidFill>
                  <w14:schemeClr w14:val="tx1"/>
                </w14:solidFill>
              </w14:textFill>
            </w:rPr>
            <m:t>=</m:t>
          </m:r>
          <m:f>
            <m:fPr>
              <m:type m:val="skw"/>
              <m:ctrlPr>
                <w:rPr>
                  <w:rFonts w:ascii="Cambria Math" w:hAnsi="Cambria Math" w:cs="Times New Roman"/>
                  <w:i/>
                  <w:color w:val="000000" w:themeColor="text1"/>
                  <w:sz w:val="18"/>
                  <w:szCs w:val="18"/>
                  <w:lang w:val="en-US" w:eastAsia="zh-CN" w:bidi="ar-SA"/>
                  <w14:textFill>
                    <w14:solidFill>
                      <w14:schemeClr w14:val="tx1"/>
                    </w14:solidFill>
                  </w14:textFill>
                </w:rPr>
              </m:ctrlPr>
            </m:fPr>
            <m:num>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num>
            <m:den>
              <m:r>
                <m:rPr/>
                <w:rPr>
                  <w:rFonts w:ascii="Cambria Math" w:hAnsi="Cambria Math" w:cs="Times New Roman"/>
                  <w:color w:val="000000" w:themeColor="text1"/>
                  <w:sz w:val="18"/>
                  <w:szCs w:val="18"/>
                  <w:lang w:val="en-US" w:eastAsia="zh-CN" w:bidi="ar-SA"/>
                  <w14:textFill>
                    <w14:solidFill>
                      <w14:schemeClr w14:val="tx1"/>
                    </w14:solidFill>
                  </w14:textFill>
                </w:rPr>
                <m:t>(3600×</m:t>
              </m:r>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η</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CD</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ascii="Cambria Math" w:hAnsi="Cambria Math" w:cs="Times New Roman"/>
                  <w:color w:val="000000" w:themeColor="text1"/>
                  <w:sz w:val="18"/>
                  <w:szCs w:val="18"/>
                  <w:lang w:val="en-US" w:eastAsia="zh-CN" w:bidi="ar-SA"/>
                  <w14:textFill>
                    <w14:solidFill>
                      <w14:schemeClr w14:val="tx1"/>
                    </w14:solidFill>
                  </w14:textFill>
                </w:rPr>
                <m:t>×</m:t>
              </m:r>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η</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F</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ascii="Cambria Math" w:hAnsi="Cambria Math" w:cs="Times New Roman"/>
                  <w:color w:val="000000" w:themeColor="text1"/>
                  <w:sz w:val="18"/>
                  <w:szCs w:val="18"/>
                  <w:lang w:val="en-US" w:eastAsia="zh-CN" w:bidi="ar-SA"/>
                  <w14:textFill>
                    <w14:solidFill>
                      <w14:schemeClr w14:val="tx1"/>
                    </w14:solidFill>
                  </w14:textFill>
                </w:rPr>
                <m:t>)</m:t>
              </m:r>
              <m:ctrlPr>
                <w:rPr>
                  <w:rFonts w:ascii="Cambria Math" w:hAnsi="Cambria Math" w:cs="Times New Roman"/>
                  <w:i/>
                  <w:color w:val="000000" w:themeColor="text1"/>
                  <w:sz w:val="18"/>
                  <w:szCs w:val="18"/>
                  <w:lang w:val="en-US" w:eastAsia="zh-CN" w:bidi="ar-SA"/>
                  <w14:textFill>
                    <w14:solidFill>
                      <w14:schemeClr w14:val="tx1"/>
                    </w14:solidFill>
                  </w14:textFill>
                </w:rPr>
              </m:ctrlPr>
            </m:den>
          </m:f>
        </m:oMath>
      </m:oMathPara>
    </w:p>
    <w:p>
      <w:pPr>
        <w:pStyle w:val="236"/>
        <w:spacing w:line="240" w:lineRule="auto"/>
        <w:ind w:firstLine="0"/>
        <w:jc w:val="left"/>
        <w:rPr>
          <w:rFonts w:eastAsia="PMingLiU"/>
          <w:color w:val="000000" w:themeColor="text1"/>
          <w14:textFill>
            <w14:solidFill>
              <w14:schemeClr w14:val="tx1"/>
            </w14:solidFill>
          </w14:textFill>
        </w:rPr>
      </w:pPr>
      <w:r>
        <w:rPr>
          <w:rFonts w:hint="eastAsia" w:ascii="Calibri" w:hAnsi="Calibri" w:cs="Times New Roman"/>
          <w:color w:val="000000" w:themeColor="text1"/>
          <w:sz w:val="21"/>
          <w:szCs w:val="21"/>
          <w:lang w:val="en-US" w:eastAsia="zh-CN" w:bidi="ar-SA"/>
          <w14:textFill>
            <w14:solidFill>
              <w14:schemeClr w14:val="tx1"/>
            </w14:solidFill>
          </w14:textFill>
        </w:rPr>
        <w:t xml:space="preserve"> </w:t>
      </w:r>
      <w:r>
        <w:rPr>
          <w:rFonts w:ascii="Calibri" w:hAnsi="Calibri" w:cs="Times New Roman"/>
          <w:color w:val="000000" w:themeColor="text1"/>
          <w:sz w:val="21"/>
          <w:szCs w:val="21"/>
          <w:lang w:val="en-US" w:eastAsia="zh-CN" w:bidi="ar-SA"/>
          <w14:textFill>
            <w14:solidFill>
              <w14:schemeClr w14:val="tx1"/>
            </w14:solidFill>
          </w14:textFill>
        </w:rPr>
        <w:t xml:space="preserve">     </w:t>
      </w:r>
      <w:r>
        <w:rPr>
          <w:rFonts w:hint="eastAsia" w:ascii="Calibri" w:hAnsi="Calibri" w:cs="Times New Roman"/>
          <w:color w:val="000000" w:themeColor="text1"/>
          <w:sz w:val="21"/>
          <w:szCs w:val="21"/>
          <w:lang w:val="en-US" w:eastAsia="zh-CN" w:bidi="ar-SA"/>
          <w14:textFill>
            <w14:solidFill>
              <w14:schemeClr w14:val="tx1"/>
            </w14:solidFill>
          </w14:textFill>
        </w:rPr>
        <w:t>式中：</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W</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hint="eastAsia" w:ascii="Cambria Math" w:hAnsi="Cambria Math" w:cs="Times New Roman"/>
                <w:color w:val="000000" w:themeColor="text1"/>
                <w:sz w:val="21"/>
                <w:szCs w:val="21"/>
                <w:lang w:val="en-US" w:eastAsia="zh-CN" w:bidi="ar-SA"/>
                <w14:textFill>
                  <w14:solidFill>
                    <w14:schemeClr w14:val="tx1"/>
                  </w14:solidFill>
                </w14:textFill>
              </w:rPr>
              <m:t>s</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ascii="Calibri" w:hAnsi="Calibri" w:cs="Times New Roman"/>
          <w:color w:val="000000" w:themeColor="text1"/>
          <w:sz w:val="21"/>
          <w:szCs w:val="21"/>
          <w:lang w:val="en-US" w:eastAsia="zh-CN" w:bidi="ar-SA"/>
          <w14:textFill>
            <w14:solidFill>
              <w14:schemeClr w14:val="tx1"/>
            </w14:solidFill>
          </w14:textFill>
        </w:rPr>
        <w:t>——风道系统单位风量耗功率</w:t>
      </w:r>
      <w:r>
        <w:rPr>
          <w:rFonts w:ascii="Calibri" w:hAnsi="Calibri" w:cs="Times New Roman"/>
          <w:color w:val="000000" w:themeColor="text1"/>
          <w:sz w:val="21"/>
          <w:szCs w:val="21"/>
          <w:lang w:val="en-US" w:eastAsia="zh-CN" w:bidi="ar-SA"/>
          <w14:textFill>
            <w14:solidFill>
              <w14:schemeClr w14:val="tx1"/>
            </w14:solidFill>
          </w14:textFill>
        </w:rPr>
        <w:t>[</w:t>
      </w:r>
      <w:r>
        <w:rPr>
          <w:rFonts w:hint="eastAsia"/>
          <w:color w:val="000000" w:themeColor="text1"/>
          <w14:textFill>
            <w14:solidFill>
              <w14:schemeClr w14:val="tx1"/>
            </w14:solidFill>
          </w14:textFill>
        </w:rPr>
        <w:t>W</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h</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w:t>
      </w:r>
      <w:r>
        <w:rPr>
          <w:rFonts w:eastAsia="PMingLiU"/>
          <w:color w:val="000000" w:themeColor="text1"/>
          <w14:textFill>
            <w14:solidFill>
              <w14:schemeClr w14:val="tx1"/>
            </w14:solidFill>
          </w14:textFill>
        </w:rPr>
        <w:t>;</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eastAsiaTheme="minorEastAsia"/>
          <w:color w:val="000000" w:themeColor="text1"/>
          <w:lang w:eastAsia="zh-CN"/>
          <w14:textFill>
            <w14:solidFill>
              <w14:schemeClr w14:val="tx1"/>
            </w14:solidFill>
          </w14:textFill>
        </w:rPr>
        <w:t xml:space="preserve"> </w:t>
      </w:r>
      <w:r>
        <w:rPr>
          <w:rFonts w:eastAsia="PMingLiU"/>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m:oMath>
        <m:r>
          <m:rPr/>
          <w:rPr>
            <w:rFonts w:ascii="Cambria Math" w:hAnsi="Cambria Math" w:cs="Times New Roman"/>
            <w:color w:val="000000" w:themeColor="text1"/>
            <w:sz w:val="21"/>
            <w:szCs w:val="21"/>
            <w:lang w:val="en-US" w:eastAsia="zh-CN" w:bidi="ar-SA"/>
            <w14:textFill>
              <w14:solidFill>
                <w14:schemeClr w14:val="tx1"/>
              </w14:solidFill>
            </w14:textFill>
          </w:rPr>
          <m:t>P</m:t>
        </m:r>
      </m:oMath>
      <w:r>
        <w:rPr>
          <w:rFonts w:hint="eastAsia"/>
          <w:color w:val="000000" w:themeColor="text1"/>
          <w:sz w:val="21"/>
          <w:szCs w:val="21"/>
          <w:lang w:val="en-US" w:eastAsia="zh-CN" w:bidi="ar-SA"/>
          <w14:textFill>
            <w14:solidFill>
              <w14:schemeClr w14:val="tx1"/>
            </w14:solidFill>
          </w14:textFill>
        </w:rPr>
        <w:t>——空调机组的余压或通风系统风机的风压（Pa）；</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η</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CD</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——电机及传动效率（%），</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η</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CD</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取0</w:t>
      </w:r>
      <w:r>
        <w:rPr>
          <w:color w:val="000000" w:themeColor="text1"/>
          <w:sz w:val="21"/>
          <w:szCs w:val="21"/>
          <w:lang w:val="en-US" w:eastAsia="zh-CN" w:bidi="ar-SA"/>
          <w14:textFill>
            <w14:solidFill>
              <w14:schemeClr w14:val="tx1"/>
            </w14:solidFill>
          </w14:textFill>
        </w:rPr>
        <w:t>.855</w:t>
      </w:r>
      <w:r>
        <w:rPr>
          <w:rFonts w:hint="eastAsia"/>
          <w:color w:val="000000" w:themeColor="text1"/>
          <w:sz w:val="21"/>
          <w:szCs w:val="21"/>
          <w:lang w:val="en-US" w:eastAsia="zh-CN" w:bidi="ar-SA"/>
          <w14:textFill>
            <w14:solidFill>
              <w14:schemeClr w14:val="tx1"/>
            </w14:solidFill>
          </w14:textFill>
        </w:rPr>
        <w:t>；</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η</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F</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——风机效率（%），按设计图中标注的效率选择。</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w:r>
        <w:rPr>
          <w:rFonts w:hint="eastAsia"/>
          <w:color w:val="000000" w:themeColor="text1"/>
          <w:sz w:val="21"/>
          <w:szCs w:val="21"/>
          <w:lang w:val="en-US" w:eastAsia="zh-CN" w:bidi="ar-SA"/>
          <w14:textFill>
            <w14:solidFill>
              <w14:schemeClr w14:val="tx1"/>
            </w14:solidFill>
          </w14:textFill>
        </w:rPr>
        <w:t>在实际检测中，风机效率计算公式为：</w:t>
      </w:r>
    </w:p>
    <w:p>
      <w:pPr>
        <w:pStyle w:val="236"/>
        <w:spacing w:line="240" w:lineRule="auto"/>
        <w:ind w:firstLine="2340" w:firstLineChars="1300"/>
        <w:jc w:val="left"/>
        <w:rPr>
          <w:color w:val="000000" w:themeColor="text1"/>
          <w:sz w:val="18"/>
          <w:szCs w:val="18"/>
          <w:lang w:val="en-US" w:eastAsia="zh-CN" w:bidi="ar-SA"/>
          <w14:textFill>
            <w14:solidFill>
              <w14:schemeClr w14:val="tx1"/>
            </w14:solidFill>
          </w14:textFill>
        </w:rPr>
      </w:pPr>
      <m:oMathPara>
        <m:oMath>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η</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F</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hint="eastAsia" w:ascii="Cambria Math" w:hAnsi="Cambria Math" w:cs="Times New Roman"/>
              <w:color w:val="000000" w:themeColor="text1"/>
              <w:sz w:val="18"/>
              <w:szCs w:val="18"/>
              <w:lang w:val="en-US" w:eastAsia="zh-CN" w:bidi="ar-SA"/>
              <w14:textFill>
                <w14:solidFill>
                  <w14:schemeClr w14:val="tx1"/>
                </w14:solidFill>
              </w14:textFill>
            </w:rPr>
            <m:t>=</m:t>
          </m:r>
          <m:f>
            <m:fPr>
              <m:type m:val="skw"/>
              <m:ctrlPr>
                <w:rPr>
                  <w:rFonts w:ascii="Cambria Math" w:hAnsi="Cambria Math" w:cs="Times New Roman"/>
                  <w:i/>
                  <w:color w:val="000000" w:themeColor="text1"/>
                  <w:sz w:val="18"/>
                  <w:szCs w:val="18"/>
                  <w:lang w:val="en-US" w:eastAsia="zh-CN" w:bidi="ar-SA"/>
                  <w14:textFill>
                    <w14:solidFill>
                      <w14:schemeClr w14:val="tx1"/>
                    </w14:solidFill>
                  </w14:textFill>
                </w:rPr>
              </m:ctrlPr>
            </m:fPr>
            <m:num>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N</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A</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ctrlPr>
                <w:rPr>
                  <w:rFonts w:ascii="Cambria Math" w:hAnsi="Cambria Math" w:cs="Times New Roman"/>
                  <w:i/>
                  <w:color w:val="000000" w:themeColor="text1"/>
                  <w:sz w:val="18"/>
                  <w:szCs w:val="18"/>
                  <w:lang w:val="en-US" w:eastAsia="zh-CN" w:bidi="ar-SA"/>
                  <w14:textFill>
                    <w14:solidFill>
                      <w14:schemeClr w14:val="tx1"/>
                    </w14:solidFill>
                  </w14:textFill>
                </w:rPr>
              </m:ctrlPr>
            </m:num>
            <m:den>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N</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F</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ctrlPr>
                <w:rPr>
                  <w:rFonts w:ascii="Cambria Math" w:hAnsi="Cambria Math" w:cs="Times New Roman"/>
                  <w:i/>
                  <w:color w:val="000000" w:themeColor="text1"/>
                  <w:sz w:val="18"/>
                  <w:szCs w:val="18"/>
                  <w:lang w:val="en-US" w:eastAsia="zh-CN" w:bidi="ar-SA"/>
                  <w14:textFill>
                    <w14:solidFill>
                      <w14:schemeClr w14:val="tx1"/>
                    </w14:solidFill>
                  </w14:textFill>
                </w:rPr>
              </m:ctrlPr>
            </m:den>
          </m:f>
          <m:r>
            <m:rPr/>
            <w:rPr>
              <w:rFonts w:hint="eastAsia" w:ascii="Cambria Math" w:hAnsi="Cambria Math" w:cs="Times New Roman"/>
              <w:color w:val="000000" w:themeColor="text1"/>
              <w:sz w:val="18"/>
              <w:szCs w:val="18"/>
              <w:lang w:val="en-US" w:eastAsia="zh-CN" w:bidi="ar-SA"/>
              <w14:textFill>
                <w14:solidFill>
                  <w14:schemeClr w14:val="tx1"/>
                </w14:solidFill>
              </w14:textFill>
            </w:rPr>
            <m:t>=</m:t>
          </m:r>
          <m:f>
            <m:fPr>
              <m:ctrlPr>
                <w:rPr>
                  <w:rFonts w:ascii="Cambria Math" w:hAnsi="Cambria Math" w:cs="Times New Roman"/>
                  <w:i/>
                  <w:color w:val="000000" w:themeColor="text1"/>
                  <w:sz w:val="18"/>
                  <w:szCs w:val="18"/>
                  <w:lang w:val="en-US" w:eastAsia="zh-CN" w:bidi="ar-SA"/>
                  <w14:textFill>
                    <w14:solidFill>
                      <w14:schemeClr w14:val="tx1"/>
                    </w14:solidFill>
                  </w14:textFill>
                </w:rPr>
              </m:ctrlPr>
            </m:fPr>
            <m:num>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0</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ascii="Cambria Math" w:hAnsi="Cambria Math" w:cs="Times New Roman"/>
                  <w:color w:val="000000" w:themeColor="text1"/>
                  <w:sz w:val="18"/>
                  <w:szCs w:val="18"/>
                  <w:lang w:val="en-US" w:eastAsia="zh-CN" w:bidi="ar-SA"/>
                  <w14:textFill>
                    <w14:solidFill>
                      <w14:schemeClr w14:val="tx1"/>
                    </w14:solidFill>
                  </w14:textFill>
                </w:rPr>
                <m:t>L</m:t>
              </m:r>
              <m:ctrlPr>
                <w:rPr>
                  <w:rFonts w:ascii="Cambria Math" w:hAnsi="Cambria Math" w:cs="Times New Roman"/>
                  <w:i/>
                  <w:color w:val="000000" w:themeColor="text1"/>
                  <w:sz w:val="18"/>
                  <w:szCs w:val="18"/>
                  <w:lang w:val="en-US" w:eastAsia="zh-CN" w:bidi="ar-SA"/>
                  <w14:textFill>
                    <w14:solidFill>
                      <w14:schemeClr w14:val="tx1"/>
                    </w14:solidFill>
                  </w14:textFill>
                </w:rPr>
              </m:ctrlPr>
            </m:num>
            <m:den>
              <m:r>
                <m:rPr/>
                <w:rPr>
                  <w:rFonts w:ascii="Cambria Math" w:hAnsi="Cambria Math" w:cs="Times New Roman"/>
                  <w:color w:val="000000" w:themeColor="text1"/>
                  <w:sz w:val="18"/>
                  <w:szCs w:val="18"/>
                  <w:lang w:val="en-US" w:eastAsia="zh-CN" w:bidi="ar-SA"/>
                  <w14:textFill>
                    <w14:solidFill>
                      <w14:schemeClr w14:val="tx1"/>
                    </w14:solidFill>
                  </w14:textFill>
                </w:rPr>
                <m:t>3600×</m:t>
              </m:r>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N</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F</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ctrlPr>
                <w:rPr>
                  <w:rFonts w:ascii="Cambria Math" w:hAnsi="Cambria Math" w:cs="Times New Roman"/>
                  <w:i/>
                  <w:color w:val="000000" w:themeColor="text1"/>
                  <w:sz w:val="18"/>
                  <w:szCs w:val="18"/>
                  <w:lang w:val="en-US" w:eastAsia="zh-CN" w:bidi="ar-SA"/>
                  <w14:textFill>
                    <w14:solidFill>
                      <w14:schemeClr w14:val="tx1"/>
                    </w14:solidFill>
                  </w14:textFill>
                </w:rPr>
              </m:ctrlPr>
            </m:den>
          </m:f>
          <m:r>
            <m:rPr/>
            <w:rPr>
              <w:rFonts w:ascii="Cambria Math" w:hAnsi="Cambria Math" w:cs="Times New Roman"/>
              <w:color w:val="000000" w:themeColor="text1"/>
              <w:sz w:val="18"/>
              <w:szCs w:val="18"/>
              <w:lang w:val="en-US" w:eastAsia="zh-CN" w:bidi="ar-SA"/>
              <w14:textFill>
                <w14:solidFill>
                  <w14:schemeClr w14:val="tx1"/>
                </w14:solidFill>
              </w14:textFill>
            </w:rPr>
            <m:t>=</m:t>
          </m:r>
          <m:f>
            <m:fPr>
              <m:ctrlPr>
                <w:rPr>
                  <w:rFonts w:ascii="Cambria Math" w:hAnsi="Cambria Math" w:cs="Times New Roman"/>
                  <w:i/>
                  <w:color w:val="000000" w:themeColor="text1"/>
                  <w:sz w:val="18"/>
                  <w:szCs w:val="18"/>
                  <w:lang w:val="en-US" w:eastAsia="zh-CN" w:bidi="ar-SA"/>
                  <w14:textFill>
                    <w14:solidFill>
                      <w14:schemeClr w14:val="tx1"/>
                    </w14:solidFill>
                  </w14:textFill>
                </w:rPr>
              </m:ctrlPr>
            </m:fPr>
            <m:num>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0</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ascii="Cambria Math" w:hAnsi="Cambria Math" w:cs="Times New Roman"/>
                  <w:color w:val="000000" w:themeColor="text1"/>
                  <w:sz w:val="18"/>
                  <w:szCs w:val="18"/>
                  <w:lang w:val="en-US" w:eastAsia="zh-CN" w:bidi="ar-SA"/>
                  <w14:textFill>
                    <w14:solidFill>
                      <w14:schemeClr w14:val="tx1"/>
                    </w14:solidFill>
                  </w14:textFill>
                </w:rPr>
                <m:t>L</m:t>
              </m:r>
              <m:ctrlPr>
                <w:rPr>
                  <w:rFonts w:ascii="Cambria Math" w:hAnsi="Cambria Math" w:cs="Times New Roman"/>
                  <w:i/>
                  <w:color w:val="000000" w:themeColor="text1"/>
                  <w:sz w:val="18"/>
                  <w:szCs w:val="18"/>
                  <w:lang w:val="en-US" w:eastAsia="zh-CN" w:bidi="ar-SA"/>
                  <w14:textFill>
                    <w14:solidFill>
                      <w14:schemeClr w14:val="tx1"/>
                    </w14:solidFill>
                  </w14:textFill>
                </w:rPr>
              </m:ctrlPr>
            </m:num>
            <m:den>
              <m:r>
                <m:rPr/>
                <w:rPr>
                  <w:rFonts w:ascii="Cambria Math" w:hAnsi="Cambria Math" w:cs="Times New Roman"/>
                  <w:color w:val="000000" w:themeColor="text1"/>
                  <w:sz w:val="18"/>
                  <w:szCs w:val="18"/>
                  <w:lang w:val="en-US" w:eastAsia="zh-CN" w:bidi="ar-SA"/>
                  <w14:textFill>
                    <w14:solidFill>
                      <w14:schemeClr w14:val="tx1"/>
                    </w14:solidFill>
                  </w14:textFill>
                </w:rPr>
                <m:t>3600×N×</m:t>
              </m:r>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η</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CD</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ctrlPr>
                <w:rPr>
                  <w:rFonts w:ascii="Cambria Math" w:hAnsi="Cambria Math" w:cs="Times New Roman"/>
                  <w:i/>
                  <w:color w:val="000000" w:themeColor="text1"/>
                  <w:sz w:val="18"/>
                  <w:szCs w:val="18"/>
                  <w:lang w:val="en-US" w:eastAsia="zh-CN" w:bidi="ar-SA"/>
                  <w14:textFill>
                    <w14:solidFill>
                      <w14:schemeClr w14:val="tx1"/>
                    </w14:solidFill>
                  </w14:textFill>
                </w:rPr>
              </m:ctrlPr>
            </m:den>
          </m:f>
        </m:oMath>
      </m:oMathPara>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w:r>
        <w:rPr>
          <w:rFonts w:hint="eastAsia"/>
          <w:color w:val="000000" w:themeColor="text1"/>
          <w:sz w:val="21"/>
          <w:szCs w:val="21"/>
          <w:lang w:val="en-US" w:eastAsia="zh-CN" w:bidi="ar-SA"/>
          <w14:textFill>
            <w14:solidFill>
              <w14:schemeClr w14:val="tx1"/>
            </w14:solidFill>
          </w14:textFill>
        </w:rPr>
        <w:t>式中：</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η</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F</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——测试状态下风机效率（%）；</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N</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A</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——测试状态下空调箱风机提供给输送空气的能量，</w:t>
      </w:r>
      <w:r>
        <w:rPr>
          <w:color w:val="000000" w:themeColor="text1"/>
          <w:sz w:val="21"/>
          <w:szCs w:val="21"/>
          <w:lang w:val="en-US" w:eastAsia="zh-CN" w:bidi="ar-SA"/>
          <w14:textFill>
            <w14:solidFill>
              <w14:schemeClr w14:val="tx1"/>
            </w14:solidFill>
          </w14:textFill>
        </w:rPr>
        <w:t>W</w:t>
      </w:r>
      <w:r>
        <w:rPr>
          <w:rFonts w:hint="eastAsia"/>
          <w:color w:val="000000" w:themeColor="text1"/>
          <w:sz w:val="21"/>
          <w:szCs w:val="21"/>
          <w:lang w:val="en-US" w:eastAsia="zh-CN" w:bidi="ar-SA"/>
          <w14:textFill>
            <w14:solidFill>
              <w14:schemeClr w14:val="tx1"/>
            </w14:solidFill>
          </w14:textFill>
        </w:rPr>
        <w:t>；</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N</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F</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——测试状态下风机消耗的有功功率，</w:t>
      </w:r>
      <w:r>
        <w:rPr>
          <w:color w:val="000000" w:themeColor="text1"/>
          <w:sz w:val="21"/>
          <w:szCs w:val="21"/>
          <w:lang w:val="en-US" w:eastAsia="zh-CN" w:bidi="ar-SA"/>
          <w14:textFill>
            <w14:solidFill>
              <w14:schemeClr w14:val="tx1"/>
            </w14:solidFill>
          </w14:textFill>
        </w:rPr>
        <w:t>W</w:t>
      </w:r>
      <w:r>
        <w:rPr>
          <w:rFonts w:hint="eastAsia"/>
          <w:color w:val="000000" w:themeColor="text1"/>
          <w:sz w:val="21"/>
          <w:szCs w:val="21"/>
          <w:lang w:val="en-US" w:eastAsia="zh-CN" w:bidi="ar-SA"/>
          <w14:textFill>
            <w14:solidFill>
              <w14:schemeClr w14:val="tx1"/>
            </w14:solidFill>
          </w14:textFill>
        </w:rPr>
        <w:t>；</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m:oMath>
        <m:r>
          <m:rPr/>
          <w:rPr>
            <w:rFonts w:ascii="Cambria Math" w:hAnsi="Cambria Math" w:cs="Times New Roman"/>
            <w:color w:val="000000" w:themeColor="text1"/>
            <w:sz w:val="21"/>
            <w:szCs w:val="21"/>
            <w:lang w:val="en-US" w:eastAsia="zh-CN" w:bidi="ar-SA"/>
            <w14:textFill>
              <w14:solidFill>
                <w14:schemeClr w14:val="tx1"/>
              </w14:solidFill>
            </w14:textFill>
          </w:rPr>
          <m:t>N</m:t>
        </m:r>
      </m:oMath>
      <w:r>
        <w:rPr>
          <w:rFonts w:hint="eastAsia"/>
          <w:color w:val="000000" w:themeColor="text1"/>
          <w:sz w:val="21"/>
          <w:szCs w:val="21"/>
          <w:lang w:val="en-US" w:eastAsia="zh-CN" w:bidi="ar-SA"/>
          <w14:textFill>
            <w14:solidFill>
              <w14:schemeClr w14:val="tx1"/>
            </w14:solidFill>
          </w14:textFill>
        </w:rPr>
        <w:t>——测试状态下风机电机的输入功率,</w:t>
      </w:r>
      <w:r>
        <w:rPr>
          <w:color w:val="000000" w:themeColor="text1"/>
          <w:sz w:val="21"/>
          <w:szCs w:val="21"/>
          <w:lang w:val="en-US" w:eastAsia="zh-CN" w:bidi="ar-SA"/>
          <w14:textFill>
            <w14:solidFill>
              <w14:schemeClr w14:val="tx1"/>
            </w14:solidFill>
          </w14:textFill>
        </w:rPr>
        <w:t>W</w:t>
      </w:r>
      <w:r>
        <w:rPr>
          <w:rFonts w:hint="eastAsia"/>
          <w:color w:val="000000" w:themeColor="text1"/>
          <w:sz w:val="21"/>
          <w:szCs w:val="21"/>
          <w:lang w:val="en-US" w:eastAsia="zh-CN" w:bidi="ar-SA"/>
          <w14:textFill>
            <w14:solidFill>
              <w14:schemeClr w14:val="tx1"/>
            </w14:solidFill>
          </w14:textFill>
        </w:rPr>
        <w:t>；</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η</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CD</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——测试状态下电机及传动效率（%），实际运行状态下的性能数据；</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m:oMath>
        <m:sSub>
          <m:sSubPr>
            <m:ctrlPr>
              <w:rPr>
                <w:rFonts w:ascii="Cambria Math" w:hAnsi="Cambria Math" w:cs="Times New Roman"/>
                <w:i/>
                <w:color w:val="000000" w:themeColor="text1"/>
                <w:sz w:val="21"/>
                <w:szCs w:val="21"/>
                <w:lang w:val="en-US" w:eastAsia="zh-CN" w:bidi="ar-SA"/>
                <w14:textFill>
                  <w14:solidFill>
                    <w14:schemeClr w14:val="tx1"/>
                  </w14:solidFill>
                </w14:textFill>
              </w:rPr>
            </m:ctrlPr>
          </m:sSubPr>
          <m:e>
            <m:r>
              <m:rPr/>
              <w:rPr>
                <w:rFonts w:ascii="Cambria Math" w:hAnsi="Cambria Math" w:cs="Times New Roman"/>
                <w:color w:val="000000" w:themeColor="text1"/>
                <w:sz w:val="21"/>
                <w:szCs w:val="21"/>
                <w:lang w:val="en-US" w:eastAsia="zh-CN" w:bidi="ar-SA"/>
                <w14:textFill>
                  <w14:solidFill>
                    <w14:schemeClr w14:val="tx1"/>
                  </w14:solidFill>
                </w14:textFill>
              </w:rPr>
              <m:t>P</m:t>
            </m:r>
            <m:ctrlPr>
              <w:rPr>
                <w:rFonts w:ascii="Cambria Math" w:hAnsi="Cambria Math" w:cs="Times New Roman"/>
                <w:i/>
                <w:color w:val="000000" w:themeColor="text1"/>
                <w:sz w:val="21"/>
                <w:szCs w:val="21"/>
                <w:lang w:val="en-US" w:eastAsia="zh-CN" w:bidi="ar-SA"/>
                <w14:textFill>
                  <w14:solidFill>
                    <w14:schemeClr w14:val="tx1"/>
                  </w14:solidFill>
                </w14:textFill>
              </w:rPr>
            </m:ctrlPr>
          </m:e>
          <m:sub>
            <m:r>
              <m:rPr/>
              <w:rPr>
                <w:rFonts w:ascii="Cambria Math" w:hAnsi="Cambria Math" w:cs="Times New Roman"/>
                <w:color w:val="000000" w:themeColor="text1"/>
                <w:sz w:val="21"/>
                <w:szCs w:val="21"/>
                <w:lang w:val="en-US" w:eastAsia="zh-CN" w:bidi="ar-SA"/>
                <w14:textFill>
                  <w14:solidFill>
                    <w14:schemeClr w14:val="tx1"/>
                  </w14:solidFill>
                </w14:textFill>
              </w:rPr>
              <m:t>0</m:t>
            </m:r>
            <m:ctrlPr>
              <w:rPr>
                <w:rFonts w:ascii="Cambria Math" w:hAnsi="Cambria Math" w:cs="Times New Roman"/>
                <w:i/>
                <w:color w:val="000000" w:themeColor="text1"/>
                <w:sz w:val="21"/>
                <w:szCs w:val="21"/>
                <w:lang w:val="en-US" w:eastAsia="zh-CN" w:bidi="ar-SA"/>
                <w14:textFill>
                  <w14:solidFill>
                    <w14:schemeClr w14:val="tx1"/>
                  </w14:solidFill>
                </w14:textFill>
              </w:rPr>
            </m:ctrlPr>
          </m:sub>
        </m:sSub>
      </m:oMath>
      <w:r>
        <w:rPr>
          <w:rFonts w:hint="eastAsia"/>
          <w:color w:val="000000" w:themeColor="text1"/>
          <w:sz w:val="21"/>
          <w:szCs w:val="21"/>
          <w:lang w:val="en-US" w:eastAsia="zh-CN" w:bidi="ar-SA"/>
          <w14:textFill>
            <w14:solidFill>
              <w14:schemeClr w14:val="tx1"/>
            </w14:solidFill>
          </w14:textFill>
        </w:rPr>
        <w:t>——空调机组的额定全压（Pa）；</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L</w:t>
      </w:r>
      <w:r>
        <w:rPr>
          <w:rFonts w:hint="eastAsia"/>
          <w:color w:val="000000" w:themeColor="text1"/>
          <w:sz w:val="21"/>
          <w:szCs w:val="21"/>
          <w:lang w:val="en-US" w:eastAsia="zh-CN" w:bidi="ar-SA"/>
          <w14:textFill>
            <w14:solidFill>
              <w14:schemeClr w14:val="tx1"/>
            </w14:solidFill>
          </w14:textFill>
        </w:rPr>
        <w:t>——测试状态下的风量（m</w:t>
      </w:r>
      <w:r>
        <w:rPr>
          <w:color w:val="000000" w:themeColor="text1"/>
          <w:sz w:val="21"/>
          <w:szCs w:val="21"/>
          <w:vertAlign w:val="superscript"/>
          <w:lang w:val="en-US" w:eastAsia="zh-CN" w:bidi="ar-SA"/>
          <w14:textFill>
            <w14:solidFill>
              <w14:schemeClr w14:val="tx1"/>
            </w14:solidFill>
          </w14:textFill>
        </w:rPr>
        <w:t>3</w:t>
      </w:r>
      <w:r>
        <w:rPr>
          <w:rFonts w:hint="eastAsia"/>
          <w:color w:val="000000" w:themeColor="text1"/>
          <w:sz w:val="21"/>
          <w:szCs w:val="21"/>
          <w:lang w:val="en-US" w:eastAsia="zh-CN" w:bidi="ar-SA"/>
          <w14:textFill>
            <w14:solidFill>
              <w14:schemeClr w14:val="tx1"/>
            </w14:solidFill>
          </w14:textFill>
        </w:rPr>
        <w:t>/h）；</w:t>
      </w:r>
    </w:p>
    <w:p>
      <w:pPr>
        <w:pStyle w:val="236"/>
        <w:spacing w:line="240" w:lineRule="auto"/>
        <w:ind w:firstLine="630" w:firstLineChars="300"/>
        <w:jc w:val="left"/>
        <w:rPr>
          <w:color w:val="000000" w:themeColor="text1"/>
          <w:sz w:val="21"/>
          <w:szCs w:val="21"/>
          <w:lang w:val="en-US" w:eastAsia="zh-CN" w:bidi="ar-SA"/>
          <w14:textFill>
            <w14:solidFill>
              <w14:schemeClr w14:val="tx1"/>
            </w14:solidFill>
          </w14:textFill>
        </w:rPr>
      </w:pPr>
      <w:r>
        <w:rPr>
          <w:rFonts w:hint="eastAsia"/>
          <w:color w:val="000000" w:themeColor="text1"/>
          <w:sz w:val="21"/>
          <w:szCs w:val="21"/>
          <w:lang w:val="en-US" w:eastAsia="zh-CN" w:bidi="ar-SA"/>
          <w14:textFill>
            <w14:solidFill>
              <w14:schemeClr w14:val="tx1"/>
            </w14:solidFill>
          </w14:textFill>
        </w:rPr>
        <w:t>对风机效率公式进行变形得到：</w:t>
      </w:r>
      <w:r>
        <w:rPr>
          <w:color w:val="000000" w:themeColor="text1"/>
          <w:sz w:val="21"/>
          <w:szCs w:val="21"/>
          <w:lang w:val="en-US" w:eastAsia="zh-CN" w:bidi="ar-SA"/>
          <w14:textFill>
            <w14:solidFill>
              <w14:schemeClr w14:val="tx1"/>
            </w14:solidFill>
          </w14:textFill>
        </w:rPr>
        <w:br w:type="textWrapping"/>
      </w:r>
      <m:oMathPara>
        <m:oMath>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η</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F</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η</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CD</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hint="eastAsia" w:ascii="Cambria Math" w:hAnsi="Cambria Math" w:cs="Times New Roman"/>
              <w:color w:val="000000" w:themeColor="text1"/>
              <w:sz w:val="18"/>
              <w:szCs w:val="18"/>
              <w:lang w:val="en-US" w:eastAsia="zh-CN" w:bidi="ar-SA"/>
              <w14:textFill>
                <w14:solidFill>
                  <w14:schemeClr w14:val="tx1"/>
                </w14:solidFill>
              </w14:textFill>
            </w:rPr>
            <m:t>=</m:t>
          </m:r>
          <m:f>
            <m:fPr>
              <m:ctrlPr>
                <w:rPr>
                  <w:rFonts w:ascii="Cambria Math" w:hAnsi="Cambria Math" w:cs="Times New Roman"/>
                  <w:i/>
                  <w:color w:val="000000" w:themeColor="text1"/>
                  <w:sz w:val="18"/>
                  <w:szCs w:val="18"/>
                  <w:lang w:val="en-US" w:eastAsia="zh-CN" w:bidi="ar-SA"/>
                  <w14:textFill>
                    <w14:solidFill>
                      <w14:schemeClr w14:val="tx1"/>
                    </w14:solidFill>
                  </w14:textFill>
                </w:rPr>
              </m:ctrlPr>
            </m:fPr>
            <m:num>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0</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ascii="Cambria Math" w:hAnsi="Cambria Math" w:cs="Times New Roman"/>
                  <w:color w:val="000000" w:themeColor="text1"/>
                  <w:sz w:val="18"/>
                  <w:szCs w:val="18"/>
                  <w:lang w:val="en-US" w:eastAsia="zh-CN" w:bidi="ar-SA"/>
                  <w14:textFill>
                    <w14:solidFill>
                      <w14:schemeClr w14:val="tx1"/>
                    </w14:solidFill>
                  </w14:textFill>
                </w:rPr>
                <m:t>L</m:t>
              </m:r>
              <m:ctrlPr>
                <w:rPr>
                  <w:rFonts w:ascii="Cambria Math" w:hAnsi="Cambria Math" w:cs="Times New Roman"/>
                  <w:i/>
                  <w:color w:val="000000" w:themeColor="text1"/>
                  <w:sz w:val="18"/>
                  <w:szCs w:val="18"/>
                  <w:lang w:val="en-US" w:eastAsia="zh-CN" w:bidi="ar-SA"/>
                  <w14:textFill>
                    <w14:solidFill>
                      <w14:schemeClr w14:val="tx1"/>
                    </w14:solidFill>
                  </w14:textFill>
                </w:rPr>
              </m:ctrlPr>
            </m:num>
            <m:den>
              <m:r>
                <m:rPr/>
                <w:rPr>
                  <w:rFonts w:ascii="Cambria Math" w:hAnsi="Cambria Math" w:cs="Times New Roman"/>
                  <w:color w:val="000000" w:themeColor="text1"/>
                  <w:sz w:val="18"/>
                  <w:szCs w:val="18"/>
                  <w:lang w:val="en-US" w:eastAsia="zh-CN" w:bidi="ar-SA"/>
                  <w14:textFill>
                    <w14:solidFill>
                      <w14:schemeClr w14:val="tx1"/>
                    </w14:solidFill>
                  </w14:textFill>
                </w:rPr>
                <m:t>3600×N</m:t>
              </m:r>
              <m:ctrlPr>
                <w:rPr>
                  <w:rFonts w:ascii="Cambria Math" w:hAnsi="Cambria Math" w:cs="Times New Roman"/>
                  <w:i/>
                  <w:color w:val="000000" w:themeColor="text1"/>
                  <w:sz w:val="18"/>
                  <w:szCs w:val="18"/>
                  <w:lang w:val="en-US" w:eastAsia="zh-CN" w:bidi="ar-SA"/>
                  <w14:textFill>
                    <w14:solidFill>
                      <w14:schemeClr w14:val="tx1"/>
                    </w14:solidFill>
                  </w14:textFill>
                </w:rPr>
              </m:ctrlPr>
            </m:den>
          </m:f>
          <m:r>
            <m:rPr>
              <m:sty m:val="p"/>
            </m:rPr>
            <w:rPr>
              <w:rFonts w:ascii="Cambria Math" w:hAnsi="Cambria Math"/>
              <w:color w:val="000000" w:themeColor="text1"/>
              <w:sz w:val="21"/>
              <w:szCs w:val="21"/>
              <w:lang w:val="en-US" w:eastAsia="zh-CN" w:bidi="ar-SA"/>
              <w14:textFill>
                <w14:solidFill>
                  <w14:schemeClr w14:val="tx1"/>
                </w14:solidFill>
              </w14:textFill>
            </w:rPr>
            <w:br w:type="textWrapping"/>
          </m:r>
        </m:oMath>
      </m:oMathPara>
      <w:r>
        <w:rPr>
          <w:rFonts w:hint="eastAsia"/>
          <w:color w:val="000000" w:themeColor="text1"/>
          <w:sz w:val="21"/>
          <w:szCs w:val="21"/>
          <w:lang w:val="en-US" w:eastAsia="zh-CN" w:bidi="ar-SA"/>
          <w14:textFill>
            <w14:solidFill>
              <w14:schemeClr w14:val="tx1"/>
            </w14:solidFill>
          </w14:textFill>
        </w:rPr>
        <w:t xml:space="preserve"> </w:t>
      </w:r>
      <w:r>
        <w:rPr>
          <w:color w:val="000000" w:themeColor="text1"/>
          <w:sz w:val="21"/>
          <w:szCs w:val="21"/>
          <w:lang w:val="en-US" w:eastAsia="zh-CN" w:bidi="ar-SA"/>
          <w14:textFill>
            <w14:solidFill>
              <w14:schemeClr w14:val="tx1"/>
            </w14:solidFill>
          </w14:textFill>
        </w:rPr>
        <w:t xml:space="preserve">     </w:t>
      </w:r>
      <w:r>
        <w:rPr>
          <w:rFonts w:hint="eastAsia"/>
          <w:color w:val="000000" w:themeColor="text1"/>
          <w:sz w:val="21"/>
          <w:szCs w:val="21"/>
          <w:lang w:val="en-US" w:eastAsia="zh-CN" w:bidi="ar-SA"/>
          <w14:textFill>
            <w14:solidFill>
              <w14:schemeClr w14:val="tx1"/>
            </w14:solidFill>
          </w14:textFill>
        </w:rPr>
        <w:t>将上式代入风道系统单位风量耗功率计算公式可得到：</w:t>
      </w:r>
    </w:p>
    <w:p>
      <w:pPr>
        <w:pStyle w:val="236"/>
        <w:spacing w:line="240" w:lineRule="auto"/>
        <w:ind w:firstLine="0"/>
        <w:jc w:val="left"/>
        <w:rPr>
          <w:color w:val="000000" w:themeColor="text1"/>
          <w:sz w:val="21"/>
          <w:szCs w:val="21"/>
          <w:lang w:val="en-US" w:eastAsia="zh-CN" w:bidi="ar-SA"/>
          <w14:textFill>
            <w14:solidFill>
              <w14:schemeClr w14:val="tx1"/>
            </w14:solidFill>
          </w14:textFill>
        </w:rPr>
      </w:pPr>
      <w:r>
        <w:rPr>
          <w:rFonts w:ascii="Cambria Math" w:hAnsi="Cambria Math" w:cs="Times New Roman"/>
          <w:i/>
          <w:color w:val="000000" w:themeColor="text1"/>
          <w:sz w:val="21"/>
          <w:szCs w:val="21"/>
          <w:lang w:val="en-US" w:eastAsia="zh-CN" w:bidi="ar-SA"/>
          <w14:textFill>
            <w14:solidFill>
              <w14:schemeClr w14:val="tx1"/>
            </w14:solidFill>
          </w14:textFill>
        </w:rPr>
        <w:br w:type="textWrapping"/>
      </w:r>
      <m:oMathPara>
        <m:oMath>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W</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hint="eastAsia" w:ascii="Cambria Math" w:hAnsi="Cambria Math" w:cs="Times New Roman"/>
                  <w:color w:val="000000" w:themeColor="text1"/>
                  <w:sz w:val="18"/>
                  <w:szCs w:val="18"/>
                  <w:lang w:val="en-US" w:eastAsia="zh-CN" w:bidi="ar-SA"/>
                  <w14:textFill>
                    <w14:solidFill>
                      <w14:schemeClr w14:val="tx1"/>
                    </w14:solidFill>
                  </w14:textFill>
                </w:rPr>
                <m:t>s</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hint="eastAsia" w:ascii="Cambria Math" w:hAnsi="Cambria Math" w:cs="Times New Roman"/>
              <w:color w:val="000000" w:themeColor="text1"/>
              <w:sz w:val="18"/>
              <w:szCs w:val="18"/>
              <w:lang w:val="en-US" w:eastAsia="zh-CN" w:bidi="ar-SA"/>
              <w14:textFill>
                <w14:solidFill>
                  <w14:schemeClr w14:val="tx1"/>
                </w14:solidFill>
              </w14:textFill>
            </w:rPr>
            <m:t>=</m:t>
          </m:r>
          <m:f>
            <m:fPr>
              <m:type m:val="skw"/>
              <m:ctrlPr>
                <w:rPr>
                  <w:rFonts w:ascii="Cambria Math" w:hAnsi="Cambria Math" w:cs="Times New Roman"/>
                  <w:i/>
                  <w:color w:val="000000" w:themeColor="text1"/>
                  <w:sz w:val="18"/>
                  <w:szCs w:val="18"/>
                  <w:lang w:val="en-US" w:eastAsia="zh-CN" w:bidi="ar-SA"/>
                  <w14:textFill>
                    <w14:solidFill>
                      <w14:schemeClr w14:val="tx1"/>
                    </w14:solidFill>
                  </w14:textFill>
                </w:rPr>
              </m:ctrlPr>
            </m:fPr>
            <m:num>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num>
            <m:den>
              <m:r>
                <m:rPr/>
                <w:rPr>
                  <w:rFonts w:ascii="Cambria Math" w:hAnsi="Cambria Math" w:cs="Times New Roman"/>
                  <w:color w:val="000000" w:themeColor="text1"/>
                  <w:sz w:val="18"/>
                  <w:szCs w:val="18"/>
                  <w:lang w:val="en-US" w:eastAsia="zh-CN" w:bidi="ar-SA"/>
                  <w14:textFill>
                    <w14:solidFill>
                      <w14:schemeClr w14:val="tx1"/>
                    </w14:solidFill>
                  </w14:textFill>
                </w:rPr>
                <m:t>(3600×</m:t>
              </m:r>
              <m:f>
                <m:fPr>
                  <m:ctrlPr>
                    <w:rPr>
                      <w:rFonts w:ascii="Cambria Math" w:hAnsi="Cambria Math" w:cs="Times New Roman"/>
                      <w:i/>
                      <w:color w:val="000000" w:themeColor="text1"/>
                      <w:sz w:val="18"/>
                      <w:szCs w:val="18"/>
                      <w:lang w:val="en-US" w:eastAsia="zh-CN" w:bidi="ar-SA"/>
                      <w14:textFill>
                        <w14:solidFill>
                          <w14:schemeClr w14:val="tx1"/>
                        </w14:solidFill>
                      </w14:textFill>
                    </w:rPr>
                  </m:ctrlPr>
                </m:fPr>
                <m:num>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0</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r>
                    <m:rPr/>
                    <w:rPr>
                      <w:rFonts w:ascii="Cambria Math" w:hAnsi="Cambria Math" w:cs="Times New Roman"/>
                      <w:color w:val="000000" w:themeColor="text1"/>
                      <w:sz w:val="18"/>
                      <w:szCs w:val="18"/>
                      <w:lang w:val="en-US" w:eastAsia="zh-CN" w:bidi="ar-SA"/>
                      <w14:textFill>
                        <w14:solidFill>
                          <w14:schemeClr w14:val="tx1"/>
                        </w14:solidFill>
                      </w14:textFill>
                    </w:rPr>
                    <m:t>L</m:t>
                  </m:r>
                  <m:ctrlPr>
                    <w:rPr>
                      <w:rFonts w:ascii="Cambria Math" w:hAnsi="Cambria Math" w:cs="Times New Roman"/>
                      <w:i/>
                      <w:color w:val="000000" w:themeColor="text1"/>
                      <w:sz w:val="18"/>
                      <w:szCs w:val="18"/>
                      <w:lang w:val="en-US" w:eastAsia="zh-CN" w:bidi="ar-SA"/>
                      <w14:textFill>
                        <w14:solidFill>
                          <w14:schemeClr w14:val="tx1"/>
                        </w14:solidFill>
                      </w14:textFill>
                    </w:rPr>
                  </m:ctrlPr>
                </m:num>
                <m:den>
                  <m:r>
                    <m:rPr/>
                    <w:rPr>
                      <w:rFonts w:ascii="Cambria Math" w:hAnsi="Cambria Math" w:cs="Times New Roman"/>
                      <w:color w:val="000000" w:themeColor="text1"/>
                      <w:sz w:val="18"/>
                      <w:szCs w:val="18"/>
                      <w:lang w:val="en-US" w:eastAsia="zh-CN" w:bidi="ar-SA"/>
                      <w14:textFill>
                        <w14:solidFill>
                          <w14:schemeClr w14:val="tx1"/>
                        </w14:solidFill>
                      </w14:textFill>
                    </w:rPr>
                    <m:t>3600</m:t>
                  </m:r>
                  <m:r>
                    <m:rPr/>
                    <w:rPr>
                      <w:rFonts w:ascii="Cambria Math" w:hAnsi="Cambria Math" w:cs="Times New Roman"/>
                      <w:color w:val="000000" w:themeColor="text1"/>
                      <w:sz w:val="21"/>
                      <w:szCs w:val="21"/>
                      <w:lang w:val="en-US" w:eastAsia="zh-CN" w:bidi="ar-SA"/>
                      <w14:textFill>
                        <w14:solidFill>
                          <w14:schemeClr w14:val="tx1"/>
                        </w14:solidFill>
                      </w14:textFill>
                    </w:rPr>
                    <m:t>×</m:t>
                  </m:r>
                  <m:r>
                    <m:rPr/>
                    <w:rPr>
                      <w:rFonts w:ascii="Cambria Math" w:hAnsi="Cambria Math" w:cs="Times New Roman"/>
                      <w:color w:val="000000" w:themeColor="text1"/>
                      <w:sz w:val="18"/>
                      <w:szCs w:val="18"/>
                      <w:lang w:val="en-US" w:eastAsia="zh-CN" w:bidi="ar-SA"/>
                      <w14:textFill>
                        <w14:solidFill>
                          <w14:schemeClr w14:val="tx1"/>
                        </w14:solidFill>
                      </w14:textFill>
                    </w:rPr>
                    <m:t>N</m:t>
                  </m:r>
                  <m:ctrlPr>
                    <w:rPr>
                      <w:rFonts w:ascii="Cambria Math" w:hAnsi="Cambria Math" w:cs="Times New Roman"/>
                      <w:i/>
                      <w:color w:val="000000" w:themeColor="text1"/>
                      <w:sz w:val="18"/>
                      <w:szCs w:val="18"/>
                      <w:lang w:val="en-US" w:eastAsia="zh-CN" w:bidi="ar-SA"/>
                      <w14:textFill>
                        <w14:solidFill>
                          <w14:schemeClr w14:val="tx1"/>
                        </w14:solidFill>
                      </w14:textFill>
                    </w:rPr>
                  </m:ctrlPr>
                </m:den>
              </m:f>
              <m:r>
                <m:rPr/>
                <w:rPr>
                  <w:rFonts w:ascii="Cambria Math" w:hAnsi="Cambria Math" w:cs="Times New Roman"/>
                  <w:color w:val="000000" w:themeColor="text1"/>
                  <w:sz w:val="18"/>
                  <w:szCs w:val="18"/>
                  <w:lang w:val="en-US" w:eastAsia="zh-CN" w:bidi="ar-SA"/>
                  <w14:textFill>
                    <w14:solidFill>
                      <w14:schemeClr w14:val="tx1"/>
                    </w14:solidFill>
                  </w14:textFill>
                </w:rPr>
                <m:t>)</m:t>
              </m:r>
              <m:ctrlPr>
                <w:rPr>
                  <w:rFonts w:ascii="Cambria Math" w:hAnsi="Cambria Math" w:cs="Times New Roman"/>
                  <w:i/>
                  <w:color w:val="000000" w:themeColor="text1"/>
                  <w:sz w:val="18"/>
                  <w:szCs w:val="18"/>
                  <w:lang w:val="en-US" w:eastAsia="zh-CN" w:bidi="ar-SA"/>
                  <w14:textFill>
                    <w14:solidFill>
                      <w14:schemeClr w14:val="tx1"/>
                    </w14:solidFill>
                  </w14:textFill>
                </w:rPr>
              </m:ctrlPr>
            </m:den>
          </m:f>
          <m:r>
            <m:rPr/>
            <w:rPr>
              <w:rFonts w:hint="eastAsia" w:ascii="Cambria Math" w:hAnsi="Cambria Math" w:cs="Times New Roman"/>
              <w:color w:val="000000" w:themeColor="text1"/>
              <w:sz w:val="18"/>
              <w:szCs w:val="18"/>
              <w:lang w:val="en-US" w:eastAsia="zh-CN" w:bidi="ar-SA"/>
              <w14:textFill>
                <w14:solidFill>
                  <w14:schemeClr w14:val="tx1"/>
                </w14:solidFill>
              </w14:textFill>
            </w:rPr>
            <m:t>=</m:t>
          </m:r>
          <m:f>
            <m:fPr>
              <m:ctrlPr>
                <w:rPr>
                  <w:rFonts w:ascii="Cambria Math" w:hAnsi="Cambria Math" w:cs="Times New Roman"/>
                  <w:i/>
                  <w:color w:val="000000" w:themeColor="text1"/>
                  <w:sz w:val="18"/>
                  <w:szCs w:val="18"/>
                  <w:lang w:val="en-US" w:eastAsia="zh-CN" w:bidi="ar-SA"/>
                  <w14:textFill>
                    <w14:solidFill>
                      <w14:schemeClr w14:val="tx1"/>
                    </w14:solidFill>
                  </w14:textFill>
                </w:rPr>
              </m:ctrlPr>
            </m:fPr>
            <m:num>
              <m:r>
                <m:rPr/>
                <w:rPr>
                  <w:rFonts w:ascii="Cambria Math" w:hAnsi="Cambria Math" w:cs="Times New Roman"/>
                  <w:color w:val="000000" w:themeColor="text1"/>
                  <w:sz w:val="18"/>
                  <w:szCs w:val="18"/>
                  <w:lang w:val="en-US" w:eastAsia="zh-CN" w:bidi="ar-SA"/>
                  <w14:textFill>
                    <w14:solidFill>
                      <w14:schemeClr w14:val="tx1"/>
                    </w14:solidFill>
                  </w14:textFill>
                </w:rPr>
                <m:t>N</m:t>
              </m:r>
              <m:ctrlPr>
                <w:rPr>
                  <w:rFonts w:ascii="Cambria Math" w:hAnsi="Cambria Math" w:cs="Times New Roman"/>
                  <w:i/>
                  <w:color w:val="000000" w:themeColor="text1"/>
                  <w:sz w:val="18"/>
                  <w:szCs w:val="18"/>
                  <w:lang w:val="en-US" w:eastAsia="zh-CN" w:bidi="ar-SA"/>
                  <w14:textFill>
                    <w14:solidFill>
                      <w14:schemeClr w14:val="tx1"/>
                    </w14:solidFill>
                  </w14:textFill>
                </w:rPr>
              </m:ctrlPr>
            </m:num>
            <m:den>
              <m:r>
                <m:rPr/>
                <w:rPr>
                  <w:rFonts w:ascii="Cambria Math" w:hAnsi="Cambria Math" w:cs="Times New Roman"/>
                  <w:color w:val="000000" w:themeColor="text1"/>
                  <w:sz w:val="18"/>
                  <w:szCs w:val="18"/>
                  <w:lang w:val="en-US" w:eastAsia="zh-CN" w:bidi="ar-SA"/>
                  <w14:textFill>
                    <w14:solidFill>
                      <w14:schemeClr w14:val="tx1"/>
                    </w14:solidFill>
                  </w14:textFill>
                </w:rPr>
                <m:t>L</m:t>
              </m:r>
              <m:ctrlPr>
                <w:rPr>
                  <w:rFonts w:ascii="Cambria Math" w:hAnsi="Cambria Math" w:cs="Times New Roman"/>
                  <w:i/>
                  <w:color w:val="000000" w:themeColor="text1"/>
                  <w:sz w:val="18"/>
                  <w:szCs w:val="18"/>
                  <w:lang w:val="en-US" w:eastAsia="zh-CN" w:bidi="ar-SA"/>
                  <w14:textFill>
                    <w14:solidFill>
                      <w14:schemeClr w14:val="tx1"/>
                    </w14:solidFill>
                  </w14:textFill>
                </w:rPr>
              </m:ctrlPr>
            </m:den>
          </m:f>
          <m:r>
            <m:rPr/>
            <w:rPr>
              <w:rFonts w:ascii="Cambria Math" w:hAnsi="Cambria Math" w:cs="Times New Roman"/>
              <w:color w:val="000000" w:themeColor="text1"/>
              <w:sz w:val="18"/>
              <w:szCs w:val="18"/>
              <w:lang w:val="en-US" w:eastAsia="zh-CN" w:bidi="ar-SA"/>
              <w14:textFill>
                <w14:solidFill>
                  <w14:schemeClr w14:val="tx1"/>
                </w14:solidFill>
              </w14:textFill>
            </w:rPr>
            <m:t>∙</m:t>
          </m:r>
          <m:f>
            <m:fPr>
              <m:ctrlPr>
                <w:rPr>
                  <w:rFonts w:ascii="Cambria Math" w:hAnsi="Cambria Math" w:cs="Times New Roman"/>
                  <w:i/>
                  <w:color w:val="000000" w:themeColor="text1"/>
                  <w:sz w:val="18"/>
                  <w:szCs w:val="18"/>
                  <w:lang w:val="en-US" w:eastAsia="zh-CN" w:bidi="ar-SA"/>
                  <w14:textFill>
                    <w14:solidFill>
                      <w14:schemeClr w14:val="tx1"/>
                    </w14:solidFill>
                  </w14:textFill>
                </w:rPr>
              </m:ctrlPr>
            </m:fPr>
            <m:num>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1</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ctrlPr>
                <w:rPr>
                  <w:rFonts w:ascii="Cambria Math" w:hAnsi="Cambria Math" w:cs="Times New Roman"/>
                  <w:i/>
                  <w:color w:val="000000" w:themeColor="text1"/>
                  <w:sz w:val="18"/>
                  <w:szCs w:val="18"/>
                  <w:lang w:val="en-US" w:eastAsia="zh-CN" w:bidi="ar-SA"/>
                  <w14:textFill>
                    <w14:solidFill>
                      <w14:schemeClr w14:val="tx1"/>
                    </w14:solidFill>
                  </w14:textFill>
                </w:rPr>
              </m:ctrlPr>
            </m:num>
            <m:den>
              <m:sSub>
                <m:sSubPr>
                  <m:ctrlPr>
                    <w:rPr>
                      <w:rFonts w:ascii="Cambria Math" w:hAnsi="Cambria Math" w:cs="Times New Roman"/>
                      <w:i/>
                      <w:color w:val="000000" w:themeColor="text1"/>
                      <w:sz w:val="18"/>
                      <w:szCs w:val="18"/>
                      <w:lang w:val="en-US" w:eastAsia="zh-CN" w:bidi="ar-SA"/>
                      <w14:textFill>
                        <w14:solidFill>
                          <w14:schemeClr w14:val="tx1"/>
                        </w14:solidFill>
                      </w14:textFill>
                    </w:rPr>
                  </m:ctrlPr>
                </m:sSubPr>
                <m:e>
                  <m:r>
                    <m:rPr/>
                    <w:rPr>
                      <w:rFonts w:ascii="Cambria Math" w:hAnsi="Cambria Math" w:cs="Times New Roman"/>
                      <w:color w:val="000000" w:themeColor="text1"/>
                      <w:sz w:val="18"/>
                      <w:szCs w:val="18"/>
                      <w:lang w:val="en-US" w:eastAsia="zh-CN" w:bidi="ar-SA"/>
                      <w14:textFill>
                        <w14:solidFill>
                          <w14:schemeClr w14:val="tx1"/>
                        </w14:solidFill>
                      </w14:textFill>
                    </w:rPr>
                    <m:t>P</m:t>
                  </m:r>
                  <m:ctrlPr>
                    <w:rPr>
                      <w:rFonts w:ascii="Cambria Math" w:hAnsi="Cambria Math" w:cs="Times New Roman"/>
                      <w:i/>
                      <w:color w:val="000000" w:themeColor="text1"/>
                      <w:sz w:val="18"/>
                      <w:szCs w:val="18"/>
                      <w:lang w:val="en-US" w:eastAsia="zh-CN" w:bidi="ar-SA"/>
                      <w14:textFill>
                        <w14:solidFill>
                          <w14:schemeClr w14:val="tx1"/>
                        </w14:solidFill>
                      </w14:textFill>
                    </w:rPr>
                  </m:ctrlPr>
                </m:e>
                <m:sub>
                  <m:r>
                    <m:rPr/>
                    <w:rPr>
                      <w:rFonts w:ascii="Cambria Math" w:hAnsi="Cambria Math" w:cs="Times New Roman"/>
                      <w:color w:val="000000" w:themeColor="text1"/>
                      <w:sz w:val="18"/>
                      <w:szCs w:val="18"/>
                      <w:lang w:val="en-US" w:eastAsia="zh-CN" w:bidi="ar-SA"/>
                      <w14:textFill>
                        <w14:solidFill>
                          <w14:schemeClr w14:val="tx1"/>
                        </w14:solidFill>
                      </w14:textFill>
                    </w:rPr>
                    <m:t>0</m:t>
                  </m:r>
                  <m:ctrlPr>
                    <w:rPr>
                      <w:rFonts w:ascii="Cambria Math" w:hAnsi="Cambria Math" w:cs="Times New Roman"/>
                      <w:i/>
                      <w:color w:val="000000" w:themeColor="text1"/>
                      <w:sz w:val="18"/>
                      <w:szCs w:val="18"/>
                      <w:lang w:val="en-US" w:eastAsia="zh-CN" w:bidi="ar-SA"/>
                      <w14:textFill>
                        <w14:solidFill>
                          <w14:schemeClr w14:val="tx1"/>
                        </w14:solidFill>
                      </w14:textFill>
                    </w:rPr>
                  </m:ctrlPr>
                </m:sub>
              </m:sSub>
              <m:ctrlPr>
                <w:rPr>
                  <w:rFonts w:ascii="Cambria Math" w:hAnsi="Cambria Math" w:cs="Times New Roman"/>
                  <w:i/>
                  <w:color w:val="000000" w:themeColor="text1"/>
                  <w:sz w:val="18"/>
                  <w:szCs w:val="18"/>
                  <w:lang w:val="en-US" w:eastAsia="zh-CN" w:bidi="ar-SA"/>
                  <w14:textFill>
                    <w14:solidFill>
                      <w14:schemeClr w14:val="tx1"/>
                    </w14:solidFill>
                  </w14:textFill>
                </w:rPr>
              </m:ctrlPr>
            </m:den>
          </m:f>
        </m:oMath>
      </m:oMathPara>
    </w:p>
    <w:p>
      <w:pPr>
        <w:pStyle w:val="108"/>
        <w:numPr>
          <w:ilvl w:val="0"/>
          <w:numId w:val="0"/>
        </w:numPr>
        <w:spacing w:before="240" w:after="240"/>
        <w:outlineLvl w:val="9"/>
      </w:pPr>
      <w:r>
        <w:rPr>
          <w:rFonts w:hint="eastAsia"/>
        </w:rPr>
        <w:t>9给水排水系统检测</w:t>
      </w:r>
    </w:p>
    <w:p>
      <w:pPr>
        <w:pStyle w:val="60"/>
        <w:ind w:firstLine="0" w:firstLineChars="0"/>
        <w:rPr>
          <w:rFonts w:ascii="黑体" w:hAnsi="黑体" w:eastAsia="PMingLiU" w:cs="宋体"/>
          <w:kern w:val="2"/>
          <w:sz w:val="22"/>
          <w:szCs w:val="22"/>
          <w:lang w:val="zh-TW" w:eastAsia="zh-TW" w:bidi="zh-TW"/>
        </w:rPr>
      </w:pPr>
      <w:r>
        <w:rPr>
          <w:rFonts w:hint="eastAsia" w:ascii="黑体" w:hAnsi="黑体" w:eastAsia="黑体" w:cs="宋体"/>
          <w:kern w:val="2"/>
          <w:sz w:val="22"/>
          <w:szCs w:val="22"/>
          <w:lang w:val="zh-TW" w:eastAsia="zh-TW" w:bidi="zh-TW"/>
        </w:rPr>
        <w:t>9</w:t>
      </w:r>
      <w:r>
        <w:rPr>
          <w:rFonts w:ascii="黑体" w:hAnsi="黑体" w:eastAsia="黑体" w:cs="宋体"/>
          <w:kern w:val="2"/>
          <w:sz w:val="22"/>
          <w:szCs w:val="22"/>
          <w:lang w:val="zh-TW" w:eastAsia="zh-TW" w:bidi="zh-TW"/>
        </w:rPr>
        <w:t>.1</w:t>
      </w:r>
      <w:r>
        <w:rPr>
          <w:rFonts w:ascii="黑体" w:hAnsi="黑体" w:eastAsia="PMingLiU" w:cs="宋体"/>
          <w:kern w:val="2"/>
          <w:sz w:val="22"/>
          <w:szCs w:val="22"/>
          <w:lang w:val="zh-TW" w:eastAsia="zh-TW" w:bidi="zh-TW"/>
        </w:rPr>
        <w:t xml:space="preserve"> </w:t>
      </w:r>
      <w:r>
        <w:rPr>
          <w:rFonts w:hint="eastAsia" w:ascii="黑体" w:eastAsia="黑体"/>
        </w:rPr>
        <w:t>一般规定</w:t>
      </w:r>
    </w:p>
    <w:p>
      <w:pPr>
        <w:spacing w:line="240" w:lineRule="auto"/>
      </w:pPr>
      <w:r>
        <w:rPr>
          <w:rFonts w:hint="eastAsia" w:ascii="黑体" w:hAnsi="黑体" w:eastAsia="黑体" w:cs="宋体"/>
          <w:sz w:val="22"/>
          <w:szCs w:val="22"/>
          <w:lang w:val="zh-TW" w:eastAsia="zh-TW" w:bidi="zh-TW"/>
        </w:rPr>
        <w:t>9</w:t>
      </w:r>
      <w:r>
        <w:rPr>
          <w:rFonts w:ascii="黑体" w:hAnsi="黑体" w:eastAsia="黑体" w:cs="宋体"/>
          <w:sz w:val="22"/>
          <w:szCs w:val="22"/>
          <w:lang w:val="zh-TW" w:eastAsia="zh-TW" w:bidi="zh-TW"/>
        </w:rPr>
        <w:t>.1.</w:t>
      </w:r>
      <w:r>
        <w:rPr>
          <w:rFonts w:ascii="黑体" w:hAnsi="黑体" w:eastAsia="PMingLiU" w:cs="宋体"/>
          <w:sz w:val="22"/>
          <w:szCs w:val="22"/>
          <w:lang w:val="zh-TW" w:eastAsia="zh-TW" w:bidi="zh-TW"/>
        </w:rPr>
        <w:t>1</w:t>
      </w:r>
      <w:r>
        <w:rPr>
          <w:rFonts w:ascii="黑体" w:hAnsi="黑体" w:eastAsia="黑体" w:cs="宋体"/>
          <w:sz w:val="22"/>
          <w:szCs w:val="22"/>
          <w:lang w:val="zh-TW" w:eastAsia="zh-TW" w:bidi="zh-TW"/>
        </w:rPr>
        <w:t xml:space="preserve"> </w:t>
      </w:r>
      <w:r>
        <w:rPr>
          <w:rFonts w:hint="eastAsia" w:ascii="宋体" w:hAnsi="宋体"/>
          <w:kern w:val="0"/>
        </w:rPr>
        <w:t>本条依据现行国家标准 《绿色建筑评价标准》 GB/T50378、《绿色工业建筑评价标准》GB/T50878、《既有建筑绿色改造评价标准》GB/T51141等相关绿色建筑评价标准列出绿色建筑给水排水系统的检测项目。</w:t>
      </w:r>
    </w:p>
    <w:p>
      <w:pPr>
        <w:widowControl/>
        <w:jc w:val="left"/>
        <w:rPr>
          <w:color w:val="000000" w:themeColor="text1"/>
          <w:kern w:val="0"/>
          <w14:textFill>
            <w14:solidFill>
              <w14:schemeClr w14:val="tx1"/>
            </w14:solidFill>
          </w14:textFill>
        </w:rPr>
      </w:pPr>
    </w:p>
    <w:p>
      <w:pPr>
        <w:pStyle w:val="60"/>
        <w:ind w:firstLine="0" w:firstLineChars="0"/>
        <w:rPr>
          <w:rFonts w:ascii="黑体" w:hAnsi="黑体" w:eastAsia="黑体" w:cs="宋体"/>
          <w:kern w:val="2"/>
          <w:sz w:val="22"/>
          <w:szCs w:val="22"/>
          <w:lang w:val="zh-TW" w:eastAsia="zh-TW" w:bidi="zh-TW"/>
        </w:rPr>
      </w:pPr>
      <w:r>
        <w:rPr>
          <w:rFonts w:hint="eastAsia" w:ascii="黑体" w:hAnsi="黑体" w:eastAsia="黑体" w:cs="宋体"/>
          <w:kern w:val="2"/>
          <w:sz w:val="22"/>
          <w:szCs w:val="22"/>
          <w:lang w:val="zh-TW" w:eastAsia="zh-TW" w:bidi="zh-TW"/>
        </w:rPr>
        <w:t>9</w:t>
      </w:r>
      <w:r>
        <w:rPr>
          <w:rFonts w:ascii="黑体" w:hAnsi="黑体" w:eastAsia="黑体" w:cs="宋体"/>
          <w:kern w:val="2"/>
          <w:sz w:val="22"/>
          <w:szCs w:val="22"/>
          <w:lang w:val="zh-TW" w:eastAsia="zh-TW" w:bidi="zh-TW"/>
        </w:rPr>
        <w:t xml:space="preserve">.4 </w:t>
      </w:r>
      <w:r>
        <w:rPr>
          <w:rFonts w:hint="eastAsia" w:ascii="黑体" w:hAnsi="黑体" w:eastAsia="黑体" w:cs="宋体"/>
          <w:kern w:val="2"/>
          <w:sz w:val="22"/>
          <w:szCs w:val="22"/>
          <w:lang w:val="zh-TW" w:eastAsia="zh-TW" w:bidi="zh-TW"/>
        </w:rPr>
        <w:t>生活饮用水水质检测</w:t>
      </w:r>
    </w:p>
    <w:p>
      <w:pPr>
        <w:widowControl/>
        <w:spacing w:line="240" w:lineRule="auto"/>
        <w:jc w:val="left"/>
        <w:rPr>
          <w:rFonts w:ascii="宋体" w:hAnsi="宋体"/>
          <w:color w:val="000000" w:themeColor="text1"/>
          <w:kern w:val="0"/>
          <w14:textFill>
            <w14:solidFill>
              <w14:schemeClr w14:val="tx1"/>
            </w14:solidFill>
          </w14:textFill>
        </w:rPr>
      </w:pPr>
      <w:r>
        <w:rPr>
          <w:rFonts w:hint="eastAsia" w:ascii="黑体" w:hAnsi="黑体" w:eastAsia="黑体" w:cs="宋体"/>
          <w:sz w:val="22"/>
          <w:szCs w:val="22"/>
          <w:lang w:val="zh-TW" w:eastAsia="zh-TW" w:bidi="zh-TW"/>
        </w:rPr>
        <w:t>9</w:t>
      </w:r>
      <w:r>
        <w:rPr>
          <w:rFonts w:ascii="黑体" w:hAnsi="黑体" w:eastAsia="黑体" w:cs="宋体"/>
          <w:sz w:val="22"/>
          <w:szCs w:val="22"/>
          <w:lang w:val="zh-TW" w:eastAsia="zh-TW" w:bidi="zh-TW"/>
        </w:rPr>
        <w:t xml:space="preserve">.4.1 </w:t>
      </w:r>
      <w:r>
        <w:rPr>
          <w:rFonts w:hint="eastAsia" w:ascii="宋体" w:hAnsi="宋体"/>
          <w:color w:val="000000" w:themeColor="text1"/>
          <w:kern w:val="0"/>
          <w14:textFill>
            <w14:solidFill>
              <w14:schemeClr w14:val="tx1"/>
            </w14:solidFill>
          </w14:textFill>
        </w:rPr>
        <w:t>一般建筑楼层为1层</w:t>
      </w:r>
      <w:r>
        <w:rPr>
          <w:rFonts w:ascii="Times New Roman" w:hAnsi="Times New Roman"/>
          <w:color w:val="000000" w:themeColor="text1"/>
          <w:kern w:val="0"/>
          <w14:textFill>
            <w14:solidFill>
              <w14:schemeClr w14:val="tx1"/>
            </w14:solidFill>
          </w14:textFill>
        </w:rPr>
        <w:t>~</w:t>
      </w:r>
      <w:r>
        <w:rPr>
          <w:rFonts w:hint="eastAsia" w:ascii="宋体" w:hAnsi="宋体"/>
          <w:color w:val="000000" w:themeColor="text1"/>
          <w:kern w:val="0"/>
          <w14:textFill>
            <w14:solidFill>
              <w14:schemeClr w14:val="tx1"/>
            </w14:solidFill>
          </w14:textFill>
        </w:rPr>
        <w:t>3层的供水方式为直供水，3层以上为二次供水。为了保证整栋建筑水质的质量，对直供水和二次供水水质的常规指标均应进行抽样检测。</w:t>
      </w:r>
    </w:p>
    <w:p>
      <w:pPr>
        <w:pStyle w:val="60"/>
        <w:ind w:firstLine="0" w:firstLineChars="0"/>
        <w:rPr>
          <w:rFonts w:ascii="黑体" w:hAnsi="黑体" w:eastAsia="黑体" w:cs="宋体"/>
          <w:kern w:val="2"/>
          <w:sz w:val="22"/>
          <w:szCs w:val="22"/>
          <w:lang w:val="zh-TW" w:eastAsia="zh-TW" w:bidi="zh-TW"/>
        </w:rPr>
      </w:pPr>
      <w:r>
        <w:rPr>
          <w:rFonts w:hint="eastAsia" w:ascii="黑体" w:hAnsi="黑体" w:eastAsia="黑体" w:cs="宋体"/>
          <w:kern w:val="2"/>
          <w:sz w:val="22"/>
          <w:szCs w:val="22"/>
          <w:lang w:val="zh-TW" w:eastAsia="zh-TW" w:bidi="zh-TW"/>
        </w:rPr>
        <w:t>9</w:t>
      </w:r>
      <w:r>
        <w:rPr>
          <w:rFonts w:ascii="黑体" w:hAnsi="黑体" w:eastAsia="黑体" w:cs="宋体"/>
          <w:kern w:val="2"/>
          <w:sz w:val="22"/>
          <w:szCs w:val="22"/>
          <w:lang w:val="zh-TW" w:eastAsia="zh-TW" w:bidi="zh-TW"/>
        </w:rPr>
        <w:t xml:space="preserve">.8 </w:t>
      </w:r>
      <w:r>
        <w:rPr>
          <w:rFonts w:hint="eastAsia" w:ascii="黑体" w:hAnsi="黑体" w:eastAsia="黑体" w:cs="宋体"/>
          <w:kern w:val="2"/>
          <w:sz w:val="22"/>
          <w:szCs w:val="22"/>
          <w:lang w:val="zh-TW" w:eastAsia="zh-TW" w:bidi="zh-TW"/>
        </w:rPr>
        <w:t>非传统水源水质检测</w:t>
      </w:r>
    </w:p>
    <w:p>
      <w:pPr>
        <w:widowControl/>
        <w:spacing w:line="240" w:lineRule="auto"/>
        <w:jc w:val="left"/>
        <w:rPr>
          <w:rFonts w:ascii="黑体" w:hAnsi="黑体" w:eastAsia="黑体"/>
          <w:kern w:val="0"/>
        </w:rPr>
      </w:pPr>
      <w:r>
        <w:rPr>
          <w:rFonts w:hint="eastAsia" w:ascii="黑体" w:hAnsi="黑体" w:eastAsia="黑体" w:cs="宋体"/>
          <w:sz w:val="22"/>
          <w:szCs w:val="22"/>
          <w:lang w:val="zh-TW" w:eastAsia="zh-TW" w:bidi="zh-TW"/>
        </w:rPr>
        <w:t>9</w:t>
      </w:r>
      <w:r>
        <w:rPr>
          <w:rFonts w:ascii="黑体" w:hAnsi="黑体" w:eastAsia="黑体" w:cs="宋体"/>
          <w:sz w:val="22"/>
          <w:szCs w:val="22"/>
          <w:lang w:val="zh-TW" w:eastAsia="zh-TW" w:bidi="zh-TW"/>
        </w:rPr>
        <w:t xml:space="preserve">.8.1 </w:t>
      </w:r>
      <w:r>
        <w:rPr>
          <w:rFonts w:hint="eastAsia" w:ascii="宋体" w:hAnsi="宋体"/>
          <w:kern w:val="0"/>
        </w:rPr>
        <w:t>非传统水源是指不同于传统地表供水和地下供水的水源，包括再生水、雨水、海水等。项目包含再生水、雨水、海水等多种非传统水源的情况下，应将所有非传统水源分别进行计量。非传统水源可由市政再生水或自建中 (雨)水站提供，对于同时有市政再生水和自建中 (雨)水站的项 目，应将市政再生水和自建中 (雨)水站非传统水源供水量分别计量。</w:t>
      </w:r>
    </w:p>
    <w:p>
      <w:pPr>
        <w:widowControl/>
        <w:spacing w:line="240" w:lineRule="auto"/>
        <w:jc w:val="left"/>
        <w:rPr>
          <w:rFonts w:ascii="宋体" w:hAnsi="宋体"/>
          <w:color w:val="4472C4"/>
          <w:kern w:val="0"/>
        </w:rPr>
      </w:pPr>
    </w:p>
    <w:p>
      <w:pPr>
        <w:widowControl/>
        <w:spacing w:line="240" w:lineRule="auto"/>
        <w:jc w:val="left"/>
        <w:rPr>
          <w:rFonts w:ascii="宋体" w:hAnsi="宋体"/>
          <w:color w:val="4472C4"/>
          <w:kern w:val="0"/>
        </w:rPr>
      </w:pPr>
    </w:p>
    <w:p>
      <w:pPr>
        <w:pStyle w:val="108"/>
        <w:numPr>
          <w:ilvl w:val="0"/>
          <w:numId w:val="0"/>
        </w:numPr>
        <w:spacing w:before="240" w:after="240"/>
        <w:outlineLvl w:val="9"/>
      </w:pPr>
      <w:r>
        <w:rPr>
          <w:rFonts w:hint="eastAsia"/>
        </w:rPr>
        <w:t>1</w:t>
      </w:r>
      <w:r>
        <w:t>1</w:t>
      </w:r>
      <w:r>
        <w:rPr>
          <w:rFonts w:hint="eastAsia"/>
        </w:rPr>
        <w:t>照明系统检测</w:t>
      </w:r>
    </w:p>
    <w:p>
      <w:pPr>
        <w:pStyle w:val="60"/>
        <w:ind w:firstLine="0" w:firstLineChars="0"/>
        <w:rPr>
          <w:rFonts w:ascii="黑体" w:hAnsi="黑体" w:eastAsia="黑体" w:cs="宋体"/>
          <w:kern w:val="2"/>
          <w:sz w:val="22"/>
          <w:szCs w:val="22"/>
          <w:lang w:val="zh-TW" w:eastAsia="zh-TW" w:bidi="zh-TW"/>
        </w:rPr>
      </w:pPr>
      <w:r>
        <w:rPr>
          <w:rFonts w:hint="eastAsia" w:ascii="黑体" w:hAnsi="黑体" w:eastAsia="黑体" w:cs="宋体"/>
          <w:kern w:val="2"/>
          <w:sz w:val="22"/>
          <w:szCs w:val="22"/>
          <w:lang w:val="zh-TW" w:eastAsia="zh-TW" w:bidi="zh-TW"/>
        </w:rPr>
        <w:t>1</w:t>
      </w:r>
      <w:r>
        <w:rPr>
          <w:rFonts w:ascii="黑体" w:hAnsi="黑体" w:eastAsia="黑体" w:cs="宋体"/>
          <w:kern w:val="2"/>
          <w:sz w:val="22"/>
          <w:szCs w:val="22"/>
          <w:lang w:val="zh-TW" w:eastAsia="zh-TW" w:bidi="zh-TW"/>
        </w:rPr>
        <w:t xml:space="preserve">1.1 </w:t>
      </w:r>
      <w:r>
        <w:rPr>
          <w:rFonts w:hint="eastAsia" w:ascii="黑体" w:hAnsi="黑体" w:eastAsia="黑体" w:cs="宋体"/>
          <w:kern w:val="2"/>
          <w:sz w:val="22"/>
          <w:szCs w:val="22"/>
          <w:lang w:val="zh-TW" w:eastAsia="zh-TW" w:bidi="zh-TW"/>
        </w:rPr>
        <w:t>一般规定</w:t>
      </w:r>
    </w:p>
    <w:p>
      <w:pPr>
        <w:widowControl/>
        <w:spacing w:line="240" w:lineRule="auto"/>
        <w:jc w:val="left"/>
        <w:rPr>
          <w:rFonts w:ascii="宋体" w:hAnsi="宋体"/>
          <w:color w:val="000000" w:themeColor="text1"/>
          <w:kern w:val="0"/>
          <w14:textFill>
            <w14:solidFill>
              <w14:schemeClr w14:val="tx1"/>
            </w14:solidFill>
          </w14:textFill>
        </w:rPr>
      </w:pPr>
      <w:r>
        <w:rPr>
          <w:rFonts w:hint="eastAsia" w:ascii="黑体" w:hAnsi="黑体" w:eastAsia="黑体" w:cs="宋体"/>
          <w:sz w:val="22"/>
          <w:szCs w:val="22"/>
          <w:lang w:val="zh-TW" w:eastAsia="zh-TW" w:bidi="zh-TW"/>
        </w:rPr>
        <w:t>1</w:t>
      </w:r>
      <w:r>
        <w:rPr>
          <w:rFonts w:ascii="黑体" w:hAnsi="黑体" w:eastAsia="黑体" w:cs="宋体"/>
          <w:sz w:val="22"/>
          <w:szCs w:val="22"/>
          <w:lang w:val="zh-TW" w:eastAsia="zh-TW" w:bidi="zh-TW"/>
        </w:rPr>
        <w:t xml:space="preserve">1.1.2 </w:t>
      </w:r>
      <w:r>
        <w:rPr>
          <w:rFonts w:hint="eastAsia" w:ascii="宋体" w:hAnsi="宋体"/>
          <w:color w:val="000000" w:themeColor="text1"/>
          <w:kern w:val="0"/>
          <w14:textFill>
            <w14:solidFill>
              <w14:schemeClr w14:val="tx1"/>
            </w14:solidFill>
          </w14:textFill>
        </w:rPr>
        <w:t>不同建筑不同房间或场所的划分原则可参照现行标准《建筑照明设计标准》GB 50034 中的规定。</w:t>
      </w:r>
    </w:p>
    <w:p>
      <w:pPr>
        <w:widowControl/>
        <w:spacing w:line="240" w:lineRule="auto"/>
        <w:jc w:val="left"/>
        <w:rPr>
          <w:rFonts w:ascii="宋体" w:hAnsi="Times New Roman"/>
          <w:color w:val="4472C4"/>
          <w:kern w:val="0"/>
        </w:rPr>
      </w:pPr>
      <w:r>
        <w:rPr>
          <w:rFonts w:hint="eastAsia" w:ascii="黑体" w:hAnsi="黑体" w:eastAsia="黑体" w:cs="宋体"/>
          <w:sz w:val="22"/>
          <w:szCs w:val="22"/>
          <w:lang w:val="zh-TW" w:eastAsia="zh-TW" w:bidi="zh-TW"/>
        </w:rPr>
        <w:t>1</w:t>
      </w:r>
      <w:r>
        <w:rPr>
          <w:rFonts w:ascii="黑体" w:hAnsi="黑体" w:eastAsia="黑体" w:cs="宋体"/>
          <w:sz w:val="22"/>
          <w:szCs w:val="22"/>
          <w:lang w:val="zh-TW" w:eastAsia="zh-TW" w:bidi="zh-TW"/>
        </w:rPr>
        <w:t xml:space="preserve">1.1.3 </w:t>
      </w:r>
      <w:r>
        <w:rPr>
          <w:rFonts w:hint="eastAsia" w:ascii="宋体" w:hAnsi="宋体"/>
          <w:color w:val="000000" w:themeColor="text1"/>
          <w:kern w:val="0"/>
          <w14:textFill>
            <w14:solidFill>
              <w14:schemeClr w14:val="tx1"/>
            </w14:solidFill>
          </w14:textFill>
        </w:rPr>
        <w:t>一般显色指数、照明功率密度值和照度值宜在相同的房间或场所进行测试。</w:t>
      </w:r>
    </w:p>
    <w:bookmarkEnd w:id="311"/>
    <w:p>
      <w:pPr>
        <w:pStyle w:val="60"/>
        <w:ind w:firstLine="0" w:firstLineChars="0"/>
      </w:pPr>
    </w:p>
    <w:sectPr>
      <w:pgSz w:w="11900" w:h="16840"/>
      <w:pgMar w:top="1460" w:right="1780" w:bottom="1460" w:left="1780" w:header="1032"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等线">
    <w:altName w:val="汉仪中宋简"/>
    <w:panose1 w:val="02010600030101010101"/>
    <w:charset w:val="86"/>
    <w:family w:val="auto"/>
    <w:pitch w:val="default"/>
    <w:sig w:usb0="00000000" w:usb1="00000000" w:usb2="00000016" w:usb3="00000000" w:csb0="0004000F" w:csb1="00000000"/>
  </w:font>
  <w:font w:name="等线 Light">
    <w:altName w:val="汉仪中宋简"/>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PMingLiU">
    <w:altName w:val="Droid Sans Fallback"/>
    <w:panose1 w:val="02010601000101010101"/>
    <w:charset w:val="88"/>
    <w:family w:val="roman"/>
    <w:pitch w:val="default"/>
    <w:sig w:usb0="00000000" w:usb1="00000000" w:usb2="00000016" w:usb3="00000000" w:csb0="00100001" w:csb1="00000000"/>
  </w:font>
  <w:font w:name="微软雅黑">
    <w:altName w:val="黑体"/>
    <w:panose1 w:val="020B0503020204020204"/>
    <w:charset w:val="86"/>
    <w:family w:val="swiss"/>
    <w:pitch w:val="default"/>
    <w:sig w:usb0="00000000" w:usb1="00000000" w:usb2="00000016" w:usb3="00000000" w:csb0="0004001F" w:csb1="00000000"/>
  </w:font>
  <w:font w:name="Cambria Math">
    <w:altName w:val="DejaVu Math TeX Gyre"/>
    <w:panose1 w:val="02040503050406030204"/>
    <w:charset w:val="00"/>
    <w:family w:val="roman"/>
    <w:pitch w:val="default"/>
    <w:sig w:usb0="00000000" w:usb1="00000000" w:usb2="02000000" w:usb3="00000000" w:csb0="0000019F" w:csb1="00000000"/>
  </w:font>
  <w:font w:name="MS Gothic">
    <w:altName w:val="方正书宋_GBK"/>
    <w:panose1 w:val="020B0609070205080204"/>
    <w:charset w:val="80"/>
    <w:family w:val="modern"/>
    <w:pitch w:val="default"/>
    <w:sig w:usb0="00000000" w:usb1="00000000" w:usb2="08000012" w:usb3="00000000" w:csb0="0002009F"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等线">
    <w:altName w:val="仿宋"/>
    <w:panose1 w:val="00000000000000000000"/>
    <w:charset w:val="00"/>
    <w:family w:val="auto"/>
    <w:pitch w:val="default"/>
    <w:sig w:usb0="00000000" w:usb1="00000000" w:usb2="00000000" w:usb3="00000000" w:csb0="00000000" w:csb1="00000000"/>
  </w:font>
  <w:font w:name="Noto Sans CJK JP Bold">
    <w:panose1 w:val="020B0800000000000000"/>
    <w:charset w:val="86"/>
    <w:family w:val="auto"/>
    <w:pitch w:val="default"/>
    <w:sig w:usb0="30000003" w:usb1="2BDF3C10" w:usb2="00000016" w:usb3="00000000" w:csb0="602E0107" w:csb1="0000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dgXCHxYCAAAbBAAADgAAAAAAAAABACAAAAA1AQAAZHJzL2Uyb0RvYy54bWxQSwUGAAAAAAYA&#10;BgBZAQAAvQU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5J2qKxYCAAAbBAAADgAAAAAAAAABACAAAAA1AQAAZHJzL2Uyb0RvYy54bWxQSwUGAAAAAAYA&#10;BgBZAQAAvQU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720"/>
      <w:jc w:val="both"/>
      <w:rPr>
        <w:sz w:val="2"/>
        <w:szCs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VKxEqxYCAAAbBAAADgAAAAAAAAABACAAAAA1AQAAZHJzL2Uyb0RvYy54bWxQSwUGAAAAAAYA&#10;BgBZAQAAvQU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tabs>
        <w:tab w:val="center" w:pos="4677"/>
        <w:tab w:val="right" w:pos="9247"/>
      </w:tabs>
      <w:jc w:val="lef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ydaZ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hydaZFQIAABsEAAAOAAAAAAAAAAEAIAAAADUBAABkcnMvZTJvRG9jLnhtbFBLBQYAAAAABgAG&#10;AFkBAAC8BQAAAAA=&#10;">
              <v:fill on="f" focussize="0,0"/>
              <v:stroke on="f" weight="0.5pt"/>
              <v:imagedata o:title=""/>
              <o:lock v:ext="edit" aspectratio="f"/>
              <v:textbox inset="0mm,0mm,0mm,0mm" style="mso-fit-shape-to-text:t;">
                <w:txbxContent>
                  <w:p/>
                </w:txbxContent>
              </v:textbox>
            </v:shape>
          </w:pict>
        </mc:Fallback>
      </mc:AlternateConten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DB42/T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DB42/T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DB42/T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5820BAE"/>
    <w:multiLevelType w:val="multilevel"/>
    <w:tmpl w:val="05820BAE"/>
    <w:lvl w:ilvl="0" w:tentative="0">
      <w:start w:val="1"/>
      <w:numFmt w:val="decimal"/>
      <w:suff w:val="nothing"/>
      <w:lvlText w:val="7.2.%1"/>
      <w:lvlJc w:val="left"/>
      <w:pPr>
        <w:ind w:left="1016"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4">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0A8D7BF8"/>
    <w:multiLevelType w:val="multilevel"/>
    <w:tmpl w:val="0A8D7BF8"/>
    <w:lvl w:ilvl="0" w:tentative="0">
      <w:start w:val="1"/>
      <w:numFmt w:val="decimal"/>
      <w:suff w:val="nothing"/>
      <w:lvlText w:val="7.3.%1"/>
      <w:lvlJc w:val="left"/>
      <w:pPr>
        <w:ind w:left="1016"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7">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9">
    <w:nsid w:val="0D53619F"/>
    <w:multiLevelType w:val="multilevel"/>
    <w:tmpl w:val="0D53619F"/>
    <w:lvl w:ilvl="0" w:tentative="0">
      <w:start w:val="1"/>
      <w:numFmt w:val="lowerLetter"/>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0">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2">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3">
    <w:nsid w:val="29944A08"/>
    <w:multiLevelType w:val="multilevel"/>
    <w:tmpl w:val="29944A08"/>
    <w:lvl w:ilvl="0" w:tentative="0">
      <w:start w:val="1"/>
      <w:numFmt w:val="decimal"/>
      <w:suff w:val="nothing"/>
      <w:lvlText w:val="4.%1"/>
      <w:lvlJc w:val="left"/>
      <w:pPr>
        <w:ind w:left="420" w:hanging="420"/>
      </w:pPr>
      <w:rPr>
        <w:rFonts w:hint="eastAsia"/>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5">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6">
    <w:nsid w:val="34030862"/>
    <w:multiLevelType w:val="multilevel"/>
    <w:tmpl w:val="34030862"/>
    <w:lvl w:ilvl="0" w:tentative="0">
      <w:start w:val="1"/>
      <w:numFmt w:val="decimal"/>
      <w:suff w:val="nothing"/>
      <w:lvlText w:val="8.3.%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3BB54B50"/>
    <w:multiLevelType w:val="multilevel"/>
    <w:tmpl w:val="3BB54B50"/>
    <w:lvl w:ilvl="0" w:tentative="0">
      <w:start w:val="8"/>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18">
    <w:nsid w:val="40E00AE6"/>
    <w:multiLevelType w:val="multilevel"/>
    <w:tmpl w:val="40E00AE6"/>
    <w:lvl w:ilvl="0" w:tentative="0">
      <w:start w:val="1"/>
      <w:numFmt w:val="upperLetter"/>
      <w:suff w:val="nothing"/>
      <w:lvlText w:val="附录%1"/>
      <w:lvlJc w:val="left"/>
      <w:pPr>
        <w:ind w:left="3545" w:firstLine="0"/>
      </w:pPr>
      <w:rPr>
        <w:rFonts w:hint="eastAsia" w:ascii="宋体" w:hAnsi="宋体" w:eastAsia="宋体"/>
        <w:spacing w:val="100"/>
      </w:rPr>
    </w:lvl>
    <w:lvl w:ilvl="1" w:tentative="0">
      <w:start w:val="1"/>
      <w:numFmt w:val="decimal"/>
      <w:suff w:val="nothing"/>
      <w:lvlText w:val="%1.%2　"/>
      <w:lvlJc w:val="left"/>
      <w:pPr>
        <w:ind w:left="0" w:firstLine="0"/>
      </w:pPr>
      <w:rPr>
        <w:rFonts w:hint="eastAsia" w:ascii="黑体" w:hAnsi="黑体" w:eastAsia="黑体"/>
        <w:b w:val="0"/>
        <w:i w:val="0"/>
        <w:sz w:val="21"/>
        <w:szCs w:val="21"/>
      </w:rPr>
    </w:lvl>
    <w:lvl w:ilvl="2" w:tentative="0">
      <w:start w:val="1"/>
      <w:numFmt w:val="decimal"/>
      <w:lvlText w:val="E.0.%3"/>
      <w:lvlJc w:val="left"/>
      <w:pPr>
        <w:ind w:left="420" w:hanging="420"/>
      </w:pPr>
      <w:rPr>
        <w:rFonts w:hint="eastAsia" w:ascii="宋体" w:hAnsi="宋体" w:eastAsia="宋体"/>
      </w:rPr>
    </w:lvl>
    <w:lvl w:ilvl="3" w:tentative="0">
      <w:start w:val="1"/>
      <w:numFmt w:val="decimal"/>
      <w:suff w:val="nothing"/>
      <w:lvlText w:val="%1.%2.%3.%4　"/>
      <w:lvlJc w:val="left"/>
      <w:pPr>
        <w:ind w:left="0" w:firstLine="0"/>
      </w:pPr>
      <w:rPr>
        <w:rFonts w:hint="eastAsia" w:ascii="黑体" w:hAnsi="黑体" w:eastAsia="黑体"/>
        <w:b w:val="0"/>
        <w:i w:val="0"/>
        <w:sz w:val="21"/>
        <w:szCs w:val="21"/>
      </w:rPr>
    </w:lvl>
    <w:lvl w:ilvl="4" w:tentative="0">
      <w:start w:val="1"/>
      <w:numFmt w:val="decimal"/>
      <w:suff w:val="nothing"/>
      <w:lvlText w:val="%1.%2.%3.%4.%5　"/>
      <w:lvlJc w:val="left"/>
      <w:pPr>
        <w:ind w:left="0" w:firstLine="0"/>
      </w:pPr>
      <w:rPr>
        <w:rFonts w:hint="eastAsia" w:ascii="黑体" w:hAnsi="黑体" w:eastAsia="黑体"/>
        <w:b w:val="0"/>
        <w:i w:val="0"/>
        <w:sz w:val="21"/>
        <w:szCs w:val="21"/>
      </w:rPr>
    </w:lvl>
    <w:lvl w:ilvl="5" w:tentative="0">
      <w:start w:val="1"/>
      <w:numFmt w:val="decimal"/>
      <w:suff w:val="nothing"/>
      <w:lvlText w:val="%1.%2.%3.%4.%5.%6　"/>
      <w:lvlJc w:val="left"/>
      <w:pPr>
        <w:ind w:left="0" w:firstLine="0"/>
      </w:pPr>
      <w:rPr>
        <w:rFonts w:hint="eastAsia" w:ascii="黑体" w:hAnsi="黑体" w:eastAsia="黑体"/>
        <w:b w:val="0"/>
        <w:i w:val="0"/>
        <w:sz w:val="21"/>
        <w:szCs w:val="21"/>
      </w:rPr>
    </w:lvl>
    <w:lvl w:ilvl="6" w:tentative="0">
      <w:start w:val="1"/>
      <w:numFmt w:val="decimal"/>
      <w:suff w:val="nothing"/>
      <w:lvlText w:val="%1.%2.%3.%4.%5.%6.%7　"/>
      <w:lvlJc w:val="left"/>
      <w:pPr>
        <w:ind w:left="0" w:firstLine="0"/>
      </w:pPr>
      <w:rPr>
        <w:rFonts w:hint="eastAsia" w:ascii="宋体" w:hAnsi="宋体" w:eastAsia="宋体"/>
      </w:rPr>
    </w:lvl>
    <w:lvl w:ilvl="7" w:tentative="0">
      <w:start w:val="1"/>
      <w:numFmt w:val="decimal"/>
      <w:lvlText w:val="%1.%2.%3.%4.%5.%6.%7.%8"/>
      <w:lvlJc w:val="left"/>
      <w:pPr>
        <w:tabs>
          <w:tab w:val="left" w:pos="4394"/>
        </w:tabs>
        <w:ind w:left="4394" w:hanging="1418"/>
      </w:pPr>
      <w:rPr>
        <w:rFonts w:hint="eastAsia" w:ascii="宋体" w:hAnsi="宋体" w:eastAsia="宋体"/>
      </w:rPr>
    </w:lvl>
    <w:lvl w:ilvl="8" w:tentative="0">
      <w:start w:val="1"/>
      <w:numFmt w:val="decimal"/>
      <w:lvlText w:val="%1.%2.%3.%4.%5.%6.%7.%8.%9"/>
      <w:lvlJc w:val="left"/>
      <w:pPr>
        <w:tabs>
          <w:tab w:val="left" w:pos="5102"/>
        </w:tabs>
        <w:ind w:left="5102" w:hanging="1700"/>
      </w:pPr>
      <w:rPr>
        <w:rFonts w:hint="eastAsia" w:ascii="宋体" w:hAnsi="宋体" w:eastAsia="宋体"/>
      </w:rPr>
    </w:lvl>
  </w:abstractNum>
  <w:abstractNum w:abstractNumId="19">
    <w:nsid w:val="447A4A19"/>
    <w:multiLevelType w:val="multilevel"/>
    <w:tmpl w:val="447A4A19"/>
    <w:lvl w:ilvl="0" w:tentative="0">
      <w:start w:val="6"/>
      <w:numFmt w:val="decimal"/>
      <w:lvlText w:val="%1."/>
      <w:lvlJc w:val="left"/>
      <w:pPr>
        <w:ind w:left="660" w:hanging="660"/>
      </w:pPr>
      <w:rPr>
        <w:rFonts w:hint="default"/>
      </w:rPr>
    </w:lvl>
    <w:lvl w:ilvl="1" w:tentative="0">
      <w:start w:val="1"/>
      <w:numFmt w:val="decimal"/>
      <w:lvlText w:val="%1.%2."/>
      <w:lvlJc w:val="left"/>
      <w:pPr>
        <w:ind w:left="720" w:hanging="720"/>
      </w:pPr>
      <w:rPr>
        <w:rFonts w:hint="default"/>
      </w:rPr>
    </w:lvl>
    <w:lvl w:ilvl="2" w:tentative="0">
      <w:start w:val="5"/>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20">
    <w:nsid w:val="44C50F90"/>
    <w:multiLevelType w:val="multilevel"/>
    <w:tmpl w:val="44C50F90"/>
    <w:lvl w:ilvl="0" w:tentative="0">
      <w:start w:val="1"/>
      <w:numFmt w:val="lowerLetter"/>
      <w:pStyle w:val="178"/>
      <w:suff w:val="nothing"/>
      <w:lvlText w:val="%1)"/>
      <w:lvlJc w:val="left"/>
      <w:pPr>
        <w:ind w:left="851" w:hanging="426"/>
      </w:pPr>
      <w:rPr>
        <w:rFonts w:hint="eastAsia" w:ascii="宋体" w:hAnsi="Times New Roman" w:eastAsia="宋体"/>
        <w:b w:val="0"/>
        <w:bCs w:val="0"/>
        <w:color w:val="000000" w:themeColor="text1"/>
        <w:sz w:val="21"/>
        <w14:textFill>
          <w14:solidFill>
            <w14:schemeClr w14:val="tx1"/>
          </w14:solidFill>
        </w14:textFill>
      </w:rPr>
    </w:lvl>
    <w:lvl w:ilvl="1" w:tentative="0">
      <w:start w:val="1"/>
      <w:numFmt w:val="decimal"/>
      <w:pStyle w:val="113"/>
      <w:lvlText w:val="%2."/>
      <w:lvlJc w:val="left"/>
      <w:pPr>
        <w:ind w:left="1271" w:hanging="420"/>
      </w:pPr>
      <w:rPr>
        <w:rFonts w:hint="eastAsia"/>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1">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4ACE0467"/>
    <w:multiLevelType w:val="multilevel"/>
    <w:tmpl w:val="4ACE0467"/>
    <w:lvl w:ilvl="0" w:tentative="0">
      <w:start w:val="1"/>
      <w:numFmt w:val="decimal"/>
      <w:suff w:val="nothing"/>
      <w:lvlText w:val="8.6.%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4">
    <w:nsid w:val="4E560757"/>
    <w:multiLevelType w:val="multilevel"/>
    <w:tmpl w:val="4E560757"/>
    <w:lvl w:ilvl="0" w:tentative="0">
      <w:start w:val="1"/>
      <w:numFmt w:val="decimal"/>
      <w:suff w:val="nothing"/>
      <w:lvlText w:val="C.0.%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6">
    <w:nsid w:val="506903BA"/>
    <w:multiLevelType w:val="multilevel"/>
    <w:tmpl w:val="506903BA"/>
    <w:lvl w:ilvl="0" w:tentative="0">
      <w:start w:val="1"/>
      <w:numFmt w:val="decimal"/>
      <w:lvlText w:val="A.0.%1."/>
      <w:lvlJc w:val="left"/>
      <w:pPr>
        <w:ind w:left="420" w:hanging="420"/>
      </w:pPr>
      <w:rPr>
        <w:rFonts w:hint="eastAsia"/>
      </w:r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27">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8">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9">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color w:val="000000" w:themeColor="text1"/>
        <w:sz w:val="21"/>
        <w:lang w:val="en-US"/>
        <w14:textFill>
          <w14:solidFill>
            <w14:schemeClr w14:val="tx1"/>
          </w14:solidFill>
        </w14:textFill>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5CF32FFB"/>
    <w:multiLevelType w:val="multilevel"/>
    <w:tmpl w:val="5CF32FFB"/>
    <w:lvl w:ilvl="0" w:tentative="0">
      <w:start w:val="1"/>
      <w:numFmt w:val="decimal"/>
      <w:suff w:val="nothing"/>
      <w:lvlText w:val="8.7.%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3">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4">
    <w:nsid w:val="64E44F0A"/>
    <w:multiLevelType w:val="multilevel"/>
    <w:tmpl w:val="64E44F0A"/>
    <w:lvl w:ilvl="0" w:tentative="0">
      <w:start w:val="1"/>
      <w:numFmt w:val="decimal"/>
      <w:suff w:val="nothing"/>
      <w:lvlText w:val="8.5.%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6">
    <w:nsid w:val="657D3FBC"/>
    <w:multiLevelType w:val="multilevel"/>
    <w:tmpl w:val="657D3FBC"/>
    <w:lvl w:ilvl="0" w:tentative="0">
      <w:start w:val="1"/>
      <w:numFmt w:val="upperLetter"/>
      <w:pStyle w:val="80"/>
      <w:suff w:val="nothing"/>
      <w:lvlText w:val="附录%1"/>
      <w:lvlJc w:val="left"/>
      <w:pPr>
        <w:ind w:left="3545"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suff w:val="nothing"/>
      <w:lvlText w:val="D.0.%3."/>
      <w:lvlJc w:val="left"/>
      <w:pPr>
        <w:ind w:left="420" w:hanging="420"/>
      </w:pPr>
      <w:rPr>
        <w:rFonts w:hint="eastAsia" w:ascii="宋体" w:hAnsi="宋体" w:eastAsia="宋体"/>
        <w:b w:val="0"/>
        <w:bCs w:val="0"/>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7">
    <w:nsid w:val="658B522E"/>
    <w:multiLevelType w:val="multilevel"/>
    <w:tmpl w:val="658B522E"/>
    <w:lvl w:ilvl="0" w:tentative="0">
      <w:start w:val="1"/>
      <w:numFmt w:val="decimal"/>
      <w:suff w:val="nothing"/>
      <w:lvlText w:val="B.0.%1."/>
      <w:lvlJc w:val="left"/>
      <w:pPr>
        <w:ind w:left="420" w:hanging="420"/>
      </w:pPr>
      <w:rPr>
        <w:rFonts w:hint="eastAsia"/>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9">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6CE84DC9"/>
    <w:multiLevelType w:val="multilevel"/>
    <w:tmpl w:val="6CE84DC9"/>
    <w:lvl w:ilvl="0" w:tentative="0">
      <w:start w:val="1"/>
      <w:numFmt w:val="decimal"/>
      <w:suff w:val="nothing"/>
      <w:lvlText w:val="8.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1135"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lvlText w:val="6.3.%4."/>
      <w:lvlJc w:val="left"/>
      <w:pPr>
        <w:ind w:left="420" w:hanging="420"/>
      </w:pPr>
      <w:rPr>
        <w:rFonts w:hint="eastAsia"/>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3">
    <w:nsid w:val="6D146875"/>
    <w:multiLevelType w:val="multilevel"/>
    <w:tmpl w:val="6D146875"/>
    <w:lvl w:ilvl="0" w:tentative="0">
      <w:start w:val="1"/>
      <w:numFmt w:val="decimal"/>
      <w:suff w:val="nothing"/>
      <w:lvlText w:val="8.8.%1"/>
      <w:lvlJc w:val="left"/>
      <w:pPr>
        <w:ind w:left="1016"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5">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6">
    <w:nsid w:val="70165592"/>
    <w:multiLevelType w:val="multilevel"/>
    <w:tmpl w:val="70165592"/>
    <w:lvl w:ilvl="0" w:tentative="0">
      <w:start w:val="1"/>
      <w:numFmt w:val="decimal"/>
      <w:suff w:val="nothing"/>
      <w:lvlText w:val="%1）"/>
      <w:lvlJc w:val="left"/>
      <w:pPr>
        <w:ind w:left="1291" w:hanging="440"/>
      </w:pPr>
      <w:rPr>
        <w:rFonts w:hint="eastAsia"/>
      </w:rPr>
    </w:lvl>
    <w:lvl w:ilvl="1" w:tentative="0">
      <w:start w:val="1"/>
      <w:numFmt w:val="lowerLetter"/>
      <w:lvlText w:val="%2)"/>
      <w:lvlJc w:val="left"/>
      <w:pPr>
        <w:ind w:left="1731" w:hanging="440"/>
      </w:pPr>
    </w:lvl>
    <w:lvl w:ilvl="2" w:tentative="0">
      <w:start w:val="1"/>
      <w:numFmt w:val="lowerRoman"/>
      <w:lvlText w:val="%3."/>
      <w:lvlJc w:val="right"/>
      <w:pPr>
        <w:ind w:left="2171" w:hanging="440"/>
      </w:pPr>
    </w:lvl>
    <w:lvl w:ilvl="3" w:tentative="0">
      <w:start w:val="1"/>
      <w:numFmt w:val="decimal"/>
      <w:lvlText w:val="%4."/>
      <w:lvlJc w:val="left"/>
      <w:pPr>
        <w:ind w:left="2611" w:hanging="440"/>
      </w:pPr>
    </w:lvl>
    <w:lvl w:ilvl="4" w:tentative="0">
      <w:start w:val="1"/>
      <w:numFmt w:val="lowerLetter"/>
      <w:lvlText w:val="%5)"/>
      <w:lvlJc w:val="left"/>
      <w:pPr>
        <w:ind w:left="3051" w:hanging="440"/>
      </w:pPr>
    </w:lvl>
    <w:lvl w:ilvl="5" w:tentative="0">
      <w:start w:val="1"/>
      <w:numFmt w:val="lowerRoman"/>
      <w:lvlText w:val="%6."/>
      <w:lvlJc w:val="right"/>
      <w:pPr>
        <w:ind w:left="3491" w:hanging="440"/>
      </w:pPr>
    </w:lvl>
    <w:lvl w:ilvl="6" w:tentative="0">
      <w:start w:val="1"/>
      <w:numFmt w:val="decimal"/>
      <w:lvlText w:val="%7."/>
      <w:lvlJc w:val="left"/>
      <w:pPr>
        <w:ind w:left="3931" w:hanging="440"/>
      </w:pPr>
    </w:lvl>
    <w:lvl w:ilvl="7" w:tentative="0">
      <w:start w:val="1"/>
      <w:numFmt w:val="lowerLetter"/>
      <w:lvlText w:val="%8)"/>
      <w:lvlJc w:val="left"/>
      <w:pPr>
        <w:ind w:left="4371" w:hanging="440"/>
      </w:pPr>
    </w:lvl>
    <w:lvl w:ilvl="8" w:tentative="0">
      <w:start w:val="1"/>
      <w:numFmt w:val="lowerRoman"/>
      <w:lvlText w:val="%9."/>
      <w:lvlJc w:val="right"/>
      <w:pPr>
        <w:ind w:left="4811" w:hanging="440"/>
      </w:pPr>
    </w:lvl>
  </w:abstractNum>
  <w:abstractNum w:abstractNumId="47">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8">
    <w:nsid w:val="790E5C88"/>
    <w:multiLevelType w:val="multilevel"/>
    <w:tmpl w:val="790E5C88"/>
    <w:lvl w:ilvl="0" w:tentative="0">
      <w:start w:val="1"/>
      <w:numFmt w:val="decimal"/>
      <w:suff w:val="nothing"/>
      <w:lvlText w:val="8.4.%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79CC67AB"/>
    <w:multiLevelType w:val="multilevel"/>
    <w:tmpl w:val="79CC67AB"/>
    <w:lvl w:ilvl="0" w:tentative="0">
      <w:start w:val="1"/>
      <w:numFmt w:val="lowerLetter"/>
      <w:suff w:val="nothing"/>
      <w:lvlText w:val="%1)"/>
      <w:lvlJc w:val="left"/>
      <w:pPr>
        <w:ind w:left="851" w:hanging="426"/>
      </w:pPr>
      <w:rPr>
        <w:rFonts w:hint="eastAsia" w:ascii="宋体" w:hAnsi="Times New Roman" w:eastAsia="宋体"/>
        <w:b w:val="0"/>
        <w:bCs w:val="0"/>
        <w:color w:val="000000"/>
        <w:sz w:val="21"/>
        <w:szCs w:val="21"/>
      </w:rPr>
    </w:lvl>
    <w:lvl w:ilvl="1" w:tentative="0">
      <w:start w:val="1"/>
      <w:numFmt w:val="decimal"/>
      <w:lvlText w:val="%2."/>
      <w:lvlJc w:val="left"/>
      <w:pPr>
        <w:ind w:left="1271" w:hanging="420"/>
      </w:pPr>
      <w:rPr>
        <w:rFonts w:hint="eastAsia" w:ascii="宋体" w:hAnsi="宋体" w:eastAsia="宋体"/>
      </w:rPr>
    </w:lvl>
    <w:lvl w:ilvl="2" w:tentative="0">
      <w:start w:val="1"/>
      <w:numFmt w:val="decimal"/>
      <w:lvlText w:val="(%3)"/>
      <w:lvlJc w:val="left"/>
      <w:pPr>
        <w:ind w:left="1701" w:hanging="425"/>
      </w:pPr>
      <w:rPr>
        <w:rFonts w:hint="eastAsia" w:ascii="宋体" w:hAnsi="Times New Roman" w:eastAsia="宋体"/>
        <w:sz w:val="21"/>
        <w:szCs w:val="21"/>
      </w:rPr>
    </w:lvl>
    <w:lvl w:ilvl="3" w:tentative="0">
      <w:start w:val="1"/>
      <w:numFmt w:val="decimal"/>
      <w:lvlText w:val="%4."/>
      <w:lvlJc w:val="left"/>
      <w:pPr>
        <w:tabs>
          <w:tab w:val="left" w:pos="2100"/>
        </w:tabs>
        <w:ind w:left="2099" w:hanging="419"/>
      </w:pPr>
      <w:rPr>
        <w:rFonts w:hint="eastAsia" w:ascii="宋体" w:hAnsi="宋体" w:eastAsia="宋体"/>
      </w:rPr>
    </w:lvl>
    <w:lvl w:ilvl="4" w:tentative="0">
      <w:start w:val="1"/>
      <w:numFmt w:val="lowerLetter"/>
      <w:lvlText w:val="%5)"/>
      <w:lvlJc w:val="left"/>
      <w:pPr>
        <w:tabs>
          <w:tab w:val="left" w:pos="2520"/>
        </w:tabs>
        <w:ind w:left="2519" w:hanging="419"/>
      </w:pPr>
      <w:rPr>
        <w:rFonts w:hint="eastAsia" w:ascii="宋体" w:hAnsi="宋体" w:eastAsia="宋体"/>
      </w:rPr>
    </w:lvl>
    <w:lvl w:ilvl="5" w:tentative="0">
      <w:start w:val="1"/>
      <w:numFmt w:val="lowerRoman"/>
      <w:lvlText w:val="%6."/>
      <w:lvlJc w:val="right"/>
      <w:pPr>
        <w:tabs>
          <w:tab w:val="left" w:pos="2940"/>
        </w:tabs>
        <w:ind w:left="2939" w:hanging="419"/>
      </w:pPr>
      <w:rPr>
        <w:rFonts w:hint="eastAsia" w:ascii="宋体" w:hAnsi="宋体" w:eastAsia="宋体"/>
      </w:rPr>
    </w:lvl>
    <w:lvl w:ilvl="6" w:tentative="0">
      <w:start w:val="1"/>
      <w:numFmt w:val="decimal"/>
      <w:lvlText w:val="%7."/>
      <w:lvlJc w:val="left"/>
      <w:pPr>
        <w:tabs>
          <w:tab w:val="left" w:pos="3360"/>
        </w:tabs>
        <w:ind w:left="3359" w:hanging="419"/>
      </w:pPr>
      <w:rPr>
        <w:rFonts w:hint="eastAsia" w:ascii="宋体" w:hAnsi="宋体" w:eastAsia="宋体"/>
      </w:rPr>
    </w:lvl>
    <w:lvl w:ilvl="7" w:tentative="0">
      <w:start w:val="1"/>
      <w:numFmt w:val="lowerLetter"/>
      <w:lvlText w:val="%8)"/>
      <w:lvlJc w:val="left"/>
      <w:pPr>
        <w:tabs>
          <w:tab w:val="left" w:pos="3780"/>
        </w:tabs>
        <w:ind w:left="3779" w:hanging="419"/>
      </w:pPr>
      <w:rPr>
        <w:rFonts w:hint="eastAsia" w:ascii="宋体" w:hAnsi="宋体" w:eastAsia="宋体"/>
      </w:rPr>
    </w:lvl>
    <w:lvl w:ilvl="8" w:tentative="0">
      <w:start w:val="1"/>
      <w:numFmt w:val="lowerRoman"/>
      <w:lvlText w:val="%9."/>
      <w:lvlJc w:val="right"/>
      <w:pPr>
        <w:tabs>
          <w:tab w:val="left" w:pos="4200"/>
        </w:tabs>
        <w:ind w:left="4199" w:hanging="419"/>
      </w:pPr>
      <w:rPr>
        <w:rFonts w:hint="eastAsia" w:ascii="宋体" w:hAnsi="宋体" w:eastAsia="宋体"/>
      </w:rPr>
    </w:lvl>
  </w:abstractNum>
  <w:abstractNum w:abstractNumId="50">
    <w:nsid w:val="7C3264B3"/>
    <w:multiLevelType w:val="multilevel"/>
    <w:tmpl w:val="7C3264B3"/>
    <w:lvl w:ilvl="0" w:tentative="0">
      <w:start w:val="1"/>
      <w:numFmt w:val="lowerLetter"/>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51">
    <w:nsid w:val="7E914DE5"/>
    <w:multiLevelType w:val="multilevel"/>
    <w:tmpl w:val="7E914DE5"/>
    <w:lvl w:ilvl="0" w:tentative="0">
      <w:start w:val="1"/>
      <w:numFmt w:val="decimal"/>
      <w:suff w:val="nothing"/>
      <w:lvlText w:val="8.1.%1"/>
      <w:lvlJc w:val="left"/>
      <w:pPr>
        <w:ind w:left="284" w:hanging="28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7"/>
  </w:num>
  <w:num w:numId="3">
    <w:abstractNumId w:val="36"/>
  </w:num>
  <w:num w:numId="4">
    <w:abstractNumId w:val="29"/>
  </w:num>
  <w:num w:numId="5">
    <w:abstractNumId w:val="21"/>
  </w:num>
  <w:num w:numId="6">
    <w:abstractNumId w:val="11"/>
  </w:num>
  <w:num w:numId="7">
    <w:abstractNumId w:val="4"/>
  </w:num>
  <w:num w:numId="8">
    <w:abstractNumId w:val="12"/>
  </w:num>
  <w:num w:numId="9">
    <w:abstractNumId w:val="27"/>
  </w:num>
  <w:num w:numId="10">
    <w:abstractNumId w:val="39"/>
  </w:num>
  <w:num w:numId="11">
    <w:abstractNumId w:val="42"/>
  </w:num>
  <w:num w:numId="12">
    <w:abstractNumId w:val="15"/>
  </w:num>
  <w:num w:numId="13">
    <w:abstractNumId w:val="20"/>
  </w:num>
  <w:num w:numId="14">
    <w:abstractNumId w:val="10"/>
  </w:num>
  <w:num w:numId="15">
    <w:abstractNumId w:val="30"/>
  </w:num>
  <w:num w:numId="16">
    <w:abstractNumId w:val="33"/>
  </w:num>
  <w:num w:numId="17">
    <w:abstractNumId w:val="28"/>
  </w:num>
  <w:num w:numId="18">
    <w:abstractNumId w:val="45"/>
  </w:num>
  <w:num w:numId="19">
    <w:abstractNumId w:val="25"/>
  </w:num>
  <w:num w:numId="20">
    <w:abstractNumId w:val="1"/>
  </w:num>
  <w:num w:numId="21">
    <w:abstractNumId w:val="14"/>
  </w:num>
  <w:num w:numId="22">
    <w:abstractNumId w:val="47"/>
  </w:num>
  <w:num w:numId="23">
    <w:abstractNumId w:val="32"/>
  </w:num>
  <w:num w:numId="24">
    <w:abstractNumId w:val="8"/>
  </w:num>
  <w:num w:numId="25">
    <w:abstractNumId w:val="40"/>
  </w:num>
  <w:num w:numId="26">
    <w:abstractNumId w:val="44"/>
  </w:num>
  <w:num w:numId="27">
    <w:abstractNumId w:val="3"/>
  </w:num>
  <w:num w:numId="28">
    <w:abstractNumId w:val="6"/>
  </w:num>
  <w:num w:numId="29">
    <w:abstractNumId w:val="23"/>
  </w:num>
  <w:num w:numId="30">
    <w:abstractNumId w:val="38"/>
  </w:num>
  <w:num w:numId="31">
    <w:abstractNumId w:val="35"/>
  </w:num>
  <w:num w:numId="32">
    <w:abstractNumId w:val="4"/>
    <w:lvlOverride w:ilvl="0">
      <w:lvl w:ilvl="0" w:tentative="1">
        <w:start w:val="1"/>
        <w:numFmt w:val="none"/>
        <w:suff w:val="nothing"/>
        <w:lvlText w:val="%1"/>
        <w:lvlJc w:val="left"/>
        <w:pPr>
          <w:ind w:left="425" w:hanging="425"/>
        </w:pPr>
        <w:rPr>
          <w:rFonts w:hint="eastAsia"/>
        </w:rPr>
      </w:lvl>
    </w:lvlOverride>
    <w:lvlOverride w:ilvl="1">
      <w:lvl w:ilvl="1" w:tentative="1">
        <w:start w:val="1"/>
        <w:numFmt w:val="decimal"/>
        <w:suff w:val="nothing"/>
        <w:lvlText w:val="%10.%2 "/>
        <w:lvlJc w:val="left"/>
        <w:pPr>
          <w:ind w:left="0" w:firstLine="0"/>
        </w:pPr>
        <w:rPr>
          <w:rFonts w:hint="eastAsia" w:ascii="黑体" w:eastAsia="黑体" w:hAnsiTheme="minorHAnsi"/>
          <w:b w:val="0"/>
          <w:i w:val="0"/>
          <w:sz w:val="21"/>
        </w:rPr>
      </w:lvl>
    </w:lvlOverride>
    <w:lvlOverride w:ilvl="2">
      <w:lvl w:ilvl="2" w:tentative="1">
        <w:start w:val="1"/>
        <w:numFmt w:val="decimal"/>
        <w:suff w:val="nothing"/>
        <w:lvlText w:val="%10.%2.%3 "/>
        <w:lvlJc w:val="left"/>
        <w:pPr>
          <w:ind w:left="0" w:firstLine="0"/>
        </w:pPr>
        <w:rPr>
          <w:rFonts w:hint="eastAsia" w:ascii="黑体" w:eastAsia="黑体" w:hAnsiTheme="minorHAnsi"/>
          <w:b w:val="0"/>
          <w:i w:val="0"/>
          <w:sz w:val="21"/>
        </w:rPr>
      </w:lvl>
    </w:lvlOverride>
    <w:lvlOverride w:ilvl="3">
      <w:lvl w:ilvl="3" w:tentative="1">
        <w:start w:val="1"/>
        <w:numFmt w:val="decimal"/>
        <w:suff w:val="nothing"/>
        <w:lvlText w:val="%10.%2.%3.%4 "/>
        <w:lvlJc w:val="left"/>
        <w:pPr>
          <w:ind w:left="0" w:firstLine="0"/>
        </w:pPr>
        <w:rPr>
          <w:rFonts w:hint="eastAsia" w:ascii="黑体" w:eastAsia="黑体" w:hAnsiTheme="minorHAnsi"/>
          <w:b w:val="0"/>
          <w:i w:val="0"/>
          <w:sz w:val="21"/>
        </w:rPr>
      </w:lvl>
    </w:lvlOverride>
    <w:lvlOverride w:ilvl="4">
      <w:lvl w:ilvl="4" w:tentative="1">
        <w:start w:val="1"/>
        <w:numFmt w:val="decimal"/>
        <w:suff w:val="nothing"/>
        <w:lvlText w:val="%10.%2.%3.%4.%5 "/>
        <w:lvlJc w:val="left"/>
        <w:pPr>
          <w:ind w:left="0" w:firstLine="0"/>
        </w:pPr>
        <w:rPr>
          <w:rFonts w:hint="eastAsia" w:ascii="黑体" w:eastAsia="黑体" w:hAnsiTheme="minorHAnsi"/>
          <w:b w:val="0"/>
          <w:i w:val="0"/>
          <w:sz w:val="21"/>
        </w:rPr>
      </w:lvl>
    </w:lvlOverride>
    <w:lvlOverride w:ilvl="5">
      <w:lvl w:ilvl="5" w:tentative="1">
        <w:start w:val="1"/>
        <w:numFmt w:val="decimal"/>
        <w:suff w:val="nothing"/>
        <w:lvlText w:val="%10.%2.%3.%4.%5.%6 "/>
        <w:lvlJc w:val="left"/>
        <w:pPr>
          <w:ind w:left="0" w:firstLine="0"/>
        </w:pPr>
        <w:rPr>
          <w:rFonts w:hint="eastAsia" w:ascii="黑体" w:eastAsia="黑体" w:hAnsiTheme="minorHAnsi"/>
          <w:b w:val="0"/>
          <w:i w:val="0"/>
          <w:sz w:val="21"/>
        </w:rPr>
      </w:lvl>
    </w:lvlOverride>
    <w:lvlOverride w:ilvl="6">
      <w:lvl w:ilvl="6" w:tentative="1">
        <w:start w:val="1"/>
        <w:numFmt w:val="decimal"/>
        <w:lvlText w:val="%1.%2.%3.%4.%5.%6.%7"/>
        <w:lvlJc w:val="left"/>
        <w:pPr>
          <w:ind w:left="3827" w:hanging="1276"/>
        </w:pPr>
        <w:rPr>
          <w:rFonts w:hint="eastAsia"/>
        </w:rPr>
      </w:lvl>
    </w:lvlOverride>
    <w:lvlOverride w:ilvl="7">
      <w:lvl w:ilvl="7" w:tentative="1">
        <w:start w:val="1"/>
        <w:numFmt w:val="decimal"/>
        <w:lvlText w:val="%1.%2.%3.%4.%5.%6.%7.%8"/>
        <w:lvlJc w:val="left"/>
        <w:pPr>
          <w:ind w:left="4394" w:hanging="1418"/>
        </w:pPr>
        <w:rPr>
          <w:rFonts w:hint="eastAsia"/>
        </w:rPr>
      </w:lvl>
    </w:lvlOverride>
    <w:lvlOverride w:ilvl="8">
      <w:lvl w:ilvl="8" w:tentative="1">
        <w:start w:val="1"/>
        <w:numFmt w:val="decimal"/>
        <w:lvlText w:val="%1.%2.%3.%4.%5.%6.%7.%8.%9"/>
        <w:lvlJc w:val="left"/>
        <w:pPr>
          <w:ind w:left="5102" w:hanging="1700"/>
        </w:pPr>
        <w:rPr>
          <w:rFonts w:hint="eastAsia"/>
        </w:rPr>
      </w:lvl>
    </w:lvlOverride>
  </w:num>
  <w:num w:numId="33">
    <w:abstractNumId w:val="13"/>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
  </w:num>
  <w:num w:numId="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
  </w:num>
  <w:num w:numId="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1"/>
  </w:num>
  <w:num w:numId="61">
    <w:abstractNumId w:val="41"/>
  </w:num>
  <w:num w:numId="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num>
  <w:num w:numId="64">
    <w:abstractNumId w:val="48"/>
  </w:num>
  <w:num w:numId="65">
    <w:abstractNumId w:val="34"/>
  </w:num>
  <w:num w:numId="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2"/>
  </w:num>
  <w:num w:numId="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1"/>
  </w:num>
  <w:num w:numId="70">
    <w:abstractNumId w:val="43"/>
  </w:num>
  <w:num w:numId="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6"/>
  </w:num>
  <w:num w:numId="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7"/>
  </w:num>
  <w:num w:numId="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num>
  <w:num w:numId="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9"/>
  </w:num>
  <w:num w:numId="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attachedTemplate r:id="rId1"/>
  <w:documentProtection w:edit="forms" w:enforcement="0"/>
  <w:defaultTabStop w:val="420"/>
  <w:evenAndOddHeaders w:val="true"/>
  <w:drawingGridHorizontalSpacing w:val="105"/>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0F3241"/>
    <w:rsid w:val="0000040A"/>
    <w:rsid w:val="00000A94"/>
    <w:rsid w:val="0000146B"/>
    <w:rsid w:val="0000172A"/>
    <w:rsid w:val="00001972"/>
    <w:rsid w:val="00001BE3"/>
    <w:rsid w:val="00001D9A"/>
    <w:rsid w:val="0000299F"/>
    <w:rsid w:val="00003C3C"/>
    <w:rsid w:val="00003E83"/>
    <w:rsid w:val="00004316"/>
    <w:rsid w:val="00005787"/>
    <w:rsid w:val="00007118"/>
    <w:rsid w:val="000078F3"/>
    <w:rsid w:val="00007B3A"/>
    <w:rsid w:val="000107E0"/>
    <w:rsid w:val="00011FDE"/>
    <w:rsid w:val="00012FFD"/>
    <w:rsid w:val="00014162"/>
    <w:rsid w:val="00014340"/>
    <w:rsid w:val="00015C69"/>
    <w:rsid w:val="00016052"/>
    <w:rsid w:val="00016A3A"/>
    <w:rsid w:val="00016A9C"/>
    <w:rsid w:val="00022184"/>
    <w:rsid w:val="00022762"/>
    <w:rsid w:val="000238E0"/>
    <w:rsid w:val="000249DB"/>
    <w:rsid w:val="00024A80"/>
    <w:rsid w:val="000257F0"/>
    <w:rsid w:val="0002595E"/>
    <w:rsid w:val="00026FFE"/>
    <w:rsid w:val="000303C3"/>
    <w:rsid w:val="00030F8D"/>
    <w:rsid w:val="0003104B"/>
    <w:rsid w:val="000318A6"/>
    <w:rsid w:val="00031FC5"/>
    <w:rsid w:val="00033130"/>
    <w:rsid w:val="000331D3"/>
    <w:rsid w:val="000334CA"/>
    <w:rsid w:val="000346A5"/>
    <w:rsid w:val="0003501A"/>
    <w:rsid w:val="000359C3"/>
    <w:rsid w:val="00035A7D"/>
    <w:rsid w:val="000365ED"/>
    <w:rsid w:val="00036B08"/>
    <w:rsid w:val="00037B4E"/>
    <w:rsid w:val="0004185D"/>
    <w:rsid w:val="0004249A"/>
    <w:rsid w:val="00042E31"/>
    <w:rsid w:val="00043282"/>
    <w:rsid w:val="00043868"/>
    <w:rsid w:val="000440AF"/>
    <w:rsid w:val="00044286"/>
    <w:rsid w:val="00044558"/>
    <w:rsid w:val="00044622"/>
    <w:rsid w:val="00044ECD"/>
    <w:rsid w:val="00047F28"/>
    <w:rsid w:val="000503AA"/>
    <w:rsid w:val="000506A1"/>
    <w:rsid w:val="00051056"/>
    <w:rsid w:val="000515DD"/>
    <w:rsid w:val="0005265A"/>
    <w:rsid w:val="000528B0"/>
    <w:rsid w:val="00052993"/>
    <w:rsid w:val="00052A6B"/>
    <w:rsid w:val="000539DD"/>
    <w:rsid w:val="00053BD3"/>
    <w:rsid w:val="00053D40"/>
    <w:rsid w:val="000544DB"/>
    <w:rsid w:val="000556ED"/>
    <w:rsid w:val="00055D48"/>
    <w:rsid w:val="00055E3E"/>
    <w:rsid w:val="00055FE2"/>
    <w:rsid w:val="0005616F"/>
    <w:rsid w:val="00057FD3"/>
    <w:rsid w:val="0006091A"/>
    <w:rsid w:val="00060C2E"/>
    <w:rsid w:val="00061033"/>
    <w:rsid w:val="000619E9"/>
    <w:rsid w:val="000622D4"/>
    <w:rsid w:val="00062DE5"/>
    <w:rsid w:val="00063440"/>
    <w:rsid w:val="0006357D"/>
    <w:rsid w:val="000648FB"/>
    <w:rsid w:val="00064D84"/>
    <w:rsid w:val="00067F1E"/>
    <w:rsid w:val="00071CC0"/>
    <w:rsid w:val="00071FCE"/>
    <w:rsid w:val="000739BB"/>
    <w:rsid w:val="00073C8C"/>
    <w:rsid w:val="00074E40"/>
    <w:rsid w:val="000754CA"/>
    <w:rsid w:val="0007568B"/>
    <w:rsid w:val="000769B8"/>
    <w:rsid w:val="00077402"/>
    <w:rsid w:val="000775D4"/>
    <w:rsid w:val="00077B64"/>
    <w:rsid w:val="00077C7E"/>
    <w:rsid w:val="00080A1C"/>
    <w:rsid w:val="00080BF6"/>
    <w:rsid w:val="00081C1B"/>
    <w:rsid w:val="00082134"/>
    <w:rsid w:val="000822BF"/>
    <w:rsid w:val="00082317"/>
    <w:rsid w:val="00083D2C"/>
    <w:rsid w:val="00084D25"/>
    <w:rsid w:val="00085698"/>
    <w:rsid w:val="00085B94"/>
    <w:rsid w:val="00086AA1"/>
    <w:rsid w:val="00086F11"/>
    <w:rsid w:val="00087A77"/>
    <w:rsid w:val="0009041F"/>
    <w:rsid w:val="00090CA6"/>
    <w:rsid w:val="00092076"/>
    <w:rsid w:val="00092280"/>
    <w:rsid w:val="00092B8A"/>
    <w:rsid w:val="00092FB0"/>
    <w:rsid w:val="000934C5"/>
    <w:rsid w:val="00093D25"/>
    <w:rsid w:val="00093DAB"/>
    <w:rsid w:val="00094344"/>
    <w:rsid w:val="000949BA"/>
    <w:rsid w:val="00094D73"/>
    <w:rsid w:val="0009618D"/>
    <w:rsid w:val="000965D4"/>
    <w:rsid w:val="00096D63"/>
    <w:rsid w:val="0009754A"/>
    <w:rsid w:val="00097693"/>
    <w:rsid w:val="0009784C"/>
    <w:rsid w:val="00097E02"/>
    <w:rsid w:val="000A01A9"/>
    <w:rsid w:val="000A0B60"/>
    <w:rsid w:val="000A0EB8"/>
    <w:rsid w:val="000A19FC"/>
    <w:rsid w:val="000A2115"/>
    <w:rsid w:val="000A296B"/>
    <w:rsid w:val="000A41E2"/>
    <w:rsid w:val="000A6F0F"/>
    <w:rsid w:val="000A7311"/>
    <w:rsid w:val="000B060F"/>
    <w:rsid w:val="000B0810"/>
    <w:rsid w:val="000B1592"/>
    <w:rsid w:val="000B1BCA"/>
    <w:rsid w:val="000B1D4D"/>
    <w:rsid w:val="000B1FF2"/>
    <w:rsid w:val="000B2011"/>
    <w:rsid w:val="000B2264"/>
    <w:rsid w:val="000B292D"/>
    <w:rsid w:val="000B32FE"/>
    <w:rsid w:val="000B3CDA"/>
    <w:rsid w:val="000B41D8"/>
    <w:rsid w:val="000B4CE6"/>
    <w:rsid w:val="000B6136"/>
    <w:rsid w:val="000B6A0B"/>
    <w:rsid w:val="000B756B"/>
    <w:rsid w:val="000C0F6C"/>
    <w:rsid w:val="000C11DB"/>
    <w:rsid w:val="000C1492"/>
    <w:rsid w:val="000C2FBD"/>
    <w:rsid w:val="000C4B41"/>
    <w:rsid w:val="000C5172"/>
    <w:rsid w:val="000C57D6"/>
    <w:rsid w:val="000C6362"/>
    <w:rsid w:val="000C6862"/>
    <w:rsid w:val="000C7666"/>
    <w:rsid w:val="000C7F09"/>
    <w:rsid w:val="000D0A9C"/>
    <w:rsid w:val="000D1795"/>
    <w:rsid w:val="000D1C42"/>
    <w:rsid w:val="000D2CC2"/>
    <w:rsid w:val="000D329A"/>
    <w:rsid w:val="000D3652"/>
    <w:rsid w:val="000D3D53"/>
    <w:rsid w:val="000D3DF3"/>
    <w:rsid w:val="000D4B9C"/>
    <w:rsid w:val="000D4EB6"/>
    <w:rsid w:val="000D52C0"/>
    <w:rsid w:val="000D5DA5"/>
    <w:rsid w:val="000D7497"/>
    <w:rsid w:val="000D753B"/>
    <w:rsid w:val="000E0465"/>
    <w:rsid w:val="000E1490"/>
    <w:rsid w:val="000E1D89"/>
    <w:rsid w:val="000E23A8"/>
    <w:rsid w:val="000E2B96"/>
    <w:rsid w:val="000E3077"/>
    <w:rsid w:val="000E35AD"/>
    <w:rsid w:val="000E3679"/>
    <w:rsid w:val="000E40D1"/>
    <w:rsid w:val="000E4665"/>
    <w:rsid w:val="000E4C9E"/>
    <w:rsid w:val="000E580D"/>
    <w:rsid w:val="000E6FD7"/>
    <w:rsid w:val="000F042E"/>
    <w:rsid w:val="000F06E1"/>
    <w:rsid w:val="000F0E3C"/>
    <w:rsid w:val="000F0EA3"/>
    <w:rsid w:val="000F19D5"/>
    <w:rsid w:val="000F19DE"/>
    <w:rsid w:val="000F2B8E"/>
    <w:rsid w:val="000F3241"/>
    <w:rsid w:val="000F4434"/>
    <w:rsid w:val="000F4A04"/>
    <w:rsid w:val="000F4AEA"/>
    <w:rsid w:val="000F59AA"/>
    <w:rsid w:val="000F6269"/>
    <w:rsid w:val="000F633F"/>
    <w:rsid w:val="000F67E9"/>
    <w:rsid w:val="000F6A81"/>
    <w:rsid w:val="000F6DD4"/>
    <w:rsid w:val="000F7B54"/>
    <w:rsid w:val="001000EB"/>
    <w:rsid w:val="00102663"/>
    <w:rsid w:val="00103876"/>
    <w:rsid w:val="00103A1E"/>
    <w:rsid w:val="00103B3D"/>
    <w:rsid w:val="00104926"/>
    <w:rsid w:val="00105260"/>
    <w:rsid w:val="001069C6"/>
    <w:rsid w:val="00107789"/>
    <w:rsid w:val="001078CD"/>
    <w:rsid w:val="00110828"/>
    <w:rsid w:val="00112A29"/>
    <w:rsid w:val="00113B1E"/>
    <w:rsid w:val="001164B6"/>
    <w:rsid w:val="0011711C"/>
    <w:rsid w:val="0012059C"/>
    <w:rsid w:val="00122ED7"/>
    <w:rsid w:val="00124D93"/>
    <w:rsid w:val="00124E4F"/>
    <w:rsid w:val="001260B7"/>
    <w:rsid w:val="001265CB"/>
    <w:rsid w:val="001321C6"/>
    <w:rsid w:val="001325C4"/>
    <w:rsid w:val="00132D38"/>
    <w:rsid w:val="00133010"/>
    <w:rsid w:val="001337E1"/>
    <w:rsid w:val="001338EE"/>
    <w:rsid w:val="00133AAE"/>
    <w:rsid w:val="00133D0F"/>
    <w:rsid w:val="0013516F"/>
    <w:rsid w:val="00135323"/>
    <w:rsid w:val="001356C4"/>
    <w:rsid w:val="0013590E"/>
    <w:rsid w:val="00141114"/>
    <w:rsid w:val="00142969"/>
    <w:rsid w:val="00143D2A"/>
    <w:rsid w:val="001446C2"/>
    <w:rsid w:val="00144AB5"/>
    <w:rsid w:val="001457E7"/>
    <w:rsid w:val="00145D9D"/>
    <w:rsid w:val="00146388"/>
    <w:rsid w:val="0014643B"/>
    <w:rsid w:val="00147CDB"/>
    <w:rsid w:val="00150B12"/>
    <w:rsid w:val="00150CE9"/>
    <w:rsid w:val="00151613"/>
    <w:rsid w:val="0015182D"/>
    <w:rsid w:val="001519B1"/>
    <w:rsid w:val="00152366"/>
    <w:rsid w:val="001529B8"/>
    <w:rsid w:val="001529E5"/>
    <w:rsid w:val="00153C7E"/>
    <w:rsid w:val="00154908"/>
    <w:rsid w:val="00156AD1"/>
    <w:rsid w:val="00156B25"/>
    <w:rsid w:val="00156E1A"/>
    <w:rsid w:val="00157894"/>
    <w:rsid w:val="00157B55"/>
    <w:rsid w:val="00160843"/>
    <w:rsid w:val="00162EA6"/>
    <w:rsid w:val="00163764"/>
    <w:rsid w:val="0016377B"/>
    <w:rsid w:val="00163FB7"/>
    <w:rsid w:val="001642FA"/>
    <w:rsid w:val="001649EB"/>
    <w:rsid w:val="00164BAF"/>
    <w:rsid w:val="00164FA8"/>
    <w:rsid w:val="00165065"/>
    <w:rsid w:val="00165434"/>
    <w:rsid w:val="0016580B"/>
    <w:rsid w:val="00165F49"/>
    <w:rsid w:val="00166B88"/>
    <w:rsid w:val="001675D0"/>
    <w:rsid w:val="0016770A"/>
    <w:rsid w:val="00167A53"/>
    <w:rsid w:val="00170804"/>
    <w:rsid w:val="001708E9"/>
    <w:rsid w:val="0017340B"/>
    <w:rsid w:val="00173E01"/>
    <w:rsid w:val="00173FB1"/>
    <w:rsid w:val="00176DFD"/>
    <w:rsid w:val="00180157"/>
    <w:rsid w:val="00180D56"/>
    <w:rsid w:val="00181E5B"/>
    <w:rsid w:val="0018269D"/>
    <w:rsid w:val="001852C9"/>
    <w:rsid w:val="0018567A"/>
    <w:rsid w:val="00185C97"/>
    <w:rsid w:val="001860B3"/>
    <w:rsid w:val="00190087"/>
    <w:rsid w:val="00190CB8"/>
    <w:rsid w:val="00190D9E"/>
    <w:rsid w:val="001912FC"/>
    <w:rsid w:val="001913C4"/>
    <w:rsid w:val="00192925"/>
    <w:rsid w:val="0019348F"/>
    <w:rsid w:val="00193A07"/>
    <w:rsid w:val="0019489E"/>
    <w:rsid w:val="00194C95"/>
    <w:rsid w:val="00195241"/>
    <w:rsid w:val="00195656"/>
    <w:rsid w:val="00195C34"/>
    <w:rsid w:val="00196640"/>
    <w:rsid w:val="00196EF5"/>
    <w:rsid w:val="001971F9"/>
    <w:rsid w:val="001A0005"/>
    <w:rsid w:val="001A0248"/>
    <w:rsid w:val="001A0ACF"/>
    <w:rsid w:val="001A1A53"/>
    <w:rsid w:val="001A1A6E"/>
    <w:rsid w:val="001A2181"/>
    <w:rsid w:val="001A234A"/>
    <w:rsid w:val="001A2880"/>
    <w:rsid w:val="001A35B5"/>
    <w:rsid w:val="001A3C64"/>
    <w:rsid w:val="001A4CF3"/>
    <w:rsid w:val="001A6469"/>
    <w:rsid w:val="001A71D4"/>
    <w:rsid w:val="001A7EB3"/>
    <w:rsid w:val="001A7F87"/>
    <w:rsid w:val="001B06E8"/>
    <w:rsid w:val="001B0B29"/>
    <w:rsid w:val="001B1C9F"/>
    <w:rsid w:val="001B21EA"/>
    <w:rsid w:val="001B3A0F"/>
    <w:rsid w:val="001B3C6C"/>
    <w:rsid w:val="001B6D18"/>
    <w:rsid w:val="001B71D0"/>
    <w:rsid w:val="001B71EE"/>
    <w:rsid w:val="001B7CEA"/>
    <w:rsid w:val="001C04A8"/>
    <w:rsid w:val="001C2C03"/>
    <w:rsid w:val="001C2F3F"/>
    <w:rsid w:val="001C42F7"/>
    <w:rsid w:val="001C4457"/>
    <w:rsid w:val="001C49E5"/>
    <w:rsid w:val="001C56A9"/>
    <w:rsid w:val="001C6136"/>
    <w:rsid w:val="001C67A2"/>
    <w:rsid w:val="001C680C"/>
    <w:rsid w:val="001C7FEA"/>
    <w:rsid w:val="001D0499"/>
    <w:rsid w:val="001D0BBE"/>
    <w:rsid w:val="001D0ED4"/>
    <w:rsid w:val="001D212F"/>
    <w:rsid w:val="001D29D7"/>
    <w:rsid w:val="001D2DE7"/>
    <w:rsid w:val="001D38E7"/>
    <w:rsid w:val="001D3AF5"/>
    <w:rsid w:val="001D411C"/>
    <w:rsid w:val="001D5539"/>
    <w:rsid w:val="001D5944"/>
    <w:rsid w:val="001D6BFB"/>
    <w:rsid w:val="001D7C11"/>
    <w:rsid w:val="001E0021"/>
    <w:rsid w:val="001E0E68"/>
    <w:rsid w:val="001E1710"/>
    <w:rsid w:val="001E1B6A"/>
    <w:rsid w:val="001E2484"/>
    <w:rsid w:val="001E3CC4"/>
    <w:rsid w:val="001E4882"/>
    <w:rsid w:val="001E660D"/>
    <w:rsid w:val="001E6FE8"/>
    <w:rsid w:val="001E73AB"/>
    <w:rsid w:val="001F092D"/>
    <w:rsid w:val="001F143A"/>
    <w:rsid w:val="001F1605"/>
    <w:rsid w:val="001F1B28"/>
    <w:rsid w:val="001F2508"/>
    <w:rsid w:val="001F3D3B"/>
    <w:rsid w:val="001F4137"/>
    <w:rsid w:val="001F4656"/>
    <w:rsid w:val="001F4816"/>
    <w:rsid w:val="001F4EE9"/>
    <w:rsid w:val="001F591F"/>
    <w:rsid w:val="001F69B4"/>
    <w:rsid w:val="001F72C4"/>
    <w:rsid w:val="001F752E"/>
    <w:rsid w:val="001F756F"/>
    <w:rsid w:val="001F77C7"/>
    <w:rsid w:val="00200183"/>
    <w:rsid w:val="00200333"/>
    <w:rsid w:val="00200445"/>
    <w:rsid w:val="0020107D"/>
    <w:rsid w:val="00202AA4"/>
    <w:rsid w:val="002031F7"/>
    <w:rsid w:val="002040E6"/>
    <w:rsid w:val="00204747"/>
    <w:rsid w:val="00205116"/>
    <w:rsid w:val="0020527B"/>
    <w:rsid w:val="00205D27"/>
    <w:rsid w:val="00205F2C"/>
    <w:rsid w:val="00206D8F"/>
    <w:rsid w:val="00207530"/>
    <w:rsid w:val="00207AA5"/>
    <w:rsid w:val="0021030D"/>
    <w:rsid w:val="00210B15"/>
    <w:rsid w:val="00211407"/>
    <w:rsid w:val="00211BB6"/>
    <w:rsid w:val="002128AB"/>
    <w:rsid w:val="00214071"/>
    <w:rsid w:val="002142EA"/>
    <w:rsid w:val="00216D52"/>
    <w:rsid w:val="0022016F"/>
    <w:rsid w:val="002204BB"/>
    <w:rsid w:val="00220C7E"/>
    <w:rsid w:val="00221B79"/>
    <w:rsid w:val="00221C6B"/>
    <w:rsid w:val="00223F80"/>
    <w:rsid w:val="002253A1"/>
    <w:rsid w:val="002259CC"/>
    <w:rsid w:val="00225C09"/>
    <w:rsid w:val="00225CF8"/>
    <w:rsid w:val="00227366"/>
    <w:rsid w:val="0022794E"/>
    <w:rsid w:val="002302E5"/>
    <w:rsid w:val="00232549"/>
    <w:rsid w:val="002332AA"/>
    <w:rsid w:val="00233D64"/>
    <w:rsid w:val="002347FF"/>
    <w:rsid w:val="0023482A"/>
    <w:rsid w:val="002359CB"/>
    <w:rsid w:val="0023775D"/>
    <w:rsid w:val="00240443"/>
    <w:rsid w:val="00241403"/>
    <w:rsid w:val="0024274B"/>
    <w:rsid w:val="00243540"/>
    <w:rsid w:val="00243BB1"/>
    <w:rsid w:val="0024497B"/>
    <w:rsid w:val="00244AF9"/>
    <w:rsid w:val="0024515B"/>
    <w:rsid w:val="00245DFE"/>
    <w:rsid w:val="00245E64"/>
    <w:rsid w:val="00246021"/>
    <w:rsid w:val="0024666E"/>
    <w:rsid w:val="00246FE0"/>
    <w:rsid w:val="00247038"/>
    <w:rsid w:val="00247F52"/>
    <w:rsid w:val="00250B25"/>
    <w:rsid w:val="00250BBE"/>
    <w:rsid w:val="002515C2"/>
    <w:rsid w:val="0025194F"/>
    <w:rsid w:val="00253AC2"/>
    <w:rsid w:val="00253DD4"/>
    <w:rsid w:val="0025655D"/>
    <w:rsid w:val="0025744A"/>
    <w:rsid w:val="00260CB3"/>
    <w:rsid w:val="0026148A"/>
    <w:rsid w:val="00262696"/>
    <w:rsid w:val="0026315A"/>
    <w:rsid w:val="00263D25"/>
    <w:rsid w:val="002643C3"/>
    <w:rsid w:val="00264924"/>
    <w:rsid w:val="00264A0C"/>
    <w:rsid w:val="00266B17"/>
    <w:rsid w:val="00266EEB"/>
    <w:rsid w:val="00267EF4"/>
    <w:rsid w:val="00270CB8"/>
    <w:rsid w:val="002720F4"/>
    <w:rsid w:val="00272B08"/>
    <w:rsid w:val="00272F84"/>
    <w:rsid w:val="00275232"/>
    <w:rsid w:val="002757F9"/>
    <w:rsid w:val="00275C8A"/>
    <w:rsid w:val="00277F9D"/>
    <w:rsid w:val="0028190B"/>
    <w:rsid w:val="00281B51"/>
    <w:rsid w:val="00281BB8"/>
    <w:rsid w:val="00281E9E"/>
    <w:rsid w:val="00281F48"/>
    <w:rsid w:val="00282405"/>
    <w:rsid w:val="0028380D"/>
    <w:rsid w:val="00283970"/>
    <w:rsid w:val="00283A23"/>
    <w:rsid w:val="0028489C"/>
    <w:rsid w:val="00285170"/>
    <w:rsid w:val="00285361"/>
    <w:rsid w:val="00285953"/>
    <w:rsid w:val="0028595B"/>
    <w:rsid w:val="0028618A"/>
    <w:rsid w:val="00287679"/>
    <w:rsid w:val="00290F60"/>
    <w:rsid w:val="00291CE2"/>
    <w:rsid w:val="0029221D"/>
    <w:rsid w:val="00292D60"/>
    <w:rsid w:val="00293B30"/>
    <w:rsid w:val="00294D34"/>
    <w:rsid w:val="00294E3B"/>
    <w:rsid w:val="0029529B"/>
    <w:rsid w:val="002960D4"/>
    <w:rsid w:val="002960EB"/>
    <w:rsid w:val="00296193"/>
    <w:rsid w:val="0029645D"/>
    <w:rsid w:val="00296C66"/>
    <w:rsid w:val="00296EBE"/>
    <w:rsid w:val="0029735C"/>
    <w:rsid w:val="002974E3"/>
    <w:rsid w:val="002A084B"/>
    <w:rsid w:val="002A1260"/>
    <w:rsid w:val="002A1589"/>
    <w:rsid w:val="002A1608"/>
    <w:rsid w:val="002A23EA"/>
    <w:rsid w:val="002A25DC"/>
    <w:rsid w:val="002A2D8A"/>
    <w:rsid w:val="002A3AAB"/>
    <w:rsid w:val="002A408C"/>
    <w:rsid w:val="002A4788"/>
    <w:rsid w:val="002A4CEA"/>
    <w:rsid w:val="002A572E"/>
    <w:rsid w:val="002A5977"/>
    <w:rsid w:val="002A5A13"/>
    <w:rsid w:val="002A6202"/>
    <w:rsid w:val="002A6D7B"/>
    <w:rsid w:val="002A757F"/>
    <w:rsid w:val="002A7DDF"/>
    <w:rsid w:val="002A7F44"/>
    <w:rsid w:val="002B02F7"/>
    <w:rsid w:val="002B0C40"/>
    <w:rsid w:val="002B1906"/>
    <w:rsid w:val="002B1966"/>
    <w:rsid w:val="002B2230"/>
    <w:rsid w:val="002B26DE"/>
    <w:rsid w:val="002B3DDF"/>
    <w:rsid w:val="002B4093"/>
    <w:rsid w:val="002B4508"/>
    <w:rsid w:val="002B4821"/>
    <w:rsid w:val="002B506E"/>
    <w:rsid w:val="002B5779"/>
    <w:rsid w:val="002B7332"/>
    <w:rsid w:val="002B7F51"/>
    <w:rsid w:val="002C0069"/>
    <w:rsid w:val="002C0262"/>
    <w:rsid w:val="002C0897"/>
    <w:rsid w:val="002C09E7"/>
    <w:rsid w:val="002C0D1C"/>
    <w:rsid w:val="002C0F49"/>
    <w:rsid w:val="002C15FE"/>
    <w:rsid w:val="002C19BE"/>
    <w:rsid w:val="002C1E06"/>
    <w:rsid w:val="002C1E1C"/>
    <w:rsid w:val="002C2221"/>
    <w:rsid w:val="002C22E9"/>
    <w:rsid w:val="002C2D35"/>
    <w:rsid w:val="002C3F07"/>
    <w:rsid w:val="002C4171"/>
    <w:rsid w:val="002C5278"/>
    <w:rsid w:val="002C6852"/>
    <w:rsid w:val="002C71E8"/>
    <w:rsid w:val="002C7EBB"/>
    <w:rsid w:val="002D06C1"/>
    <w:rsid w:val="002D0EEB"/>
    <w:rsid w:val="002D42B5"/>
    <w:rsid w:val="002D43DB"/>
    <w:rsid w:val="002D47F8"/>
    <w:rsid w:val="002D4F1A"/>
    <w:rsid w:val="002D5015"/>
    <w:rsid w:val="002D5616"/>
    <w:rsid w:val="002D61A0"/>
    <w:rsid w:val="002D6EC6"/>
    <w:rsid w:val="002D6F4F"/>
    <w:rsid w:val="002D79AC"/>
    <w:rsid w:val="002E039D"/>
    <w:rsid w:val="002E0C43"/>
    <w:rsid w:val="002E18F1"/>
    <w:rsid w:val="002E1F10"/>
    <w:rsid w:val="002E303A"/>
    <w:rsid w:val="002E30E0"/>
    <w:rsid w:val="002E393B"/>
    <w:rsid w:val="002E3CE4"/>
    <w:rsid w:val="002E493B"/>
    <w:rsid w:val="002E4D5A"/>
    <w:rsid w:val="002E52DC"/>
    <w:rsid w:val="002E6326"/>
    <w:rsid w:val="002E70AF"/>
    <w:rsid w:val="002E7BD4"/>
    <w:rsid w:val="002F30E0"/>
    <w:rsid w:val="002F3397"/>
    <w:rsid w:val="002F35E4"/>
    <w:rsid w:val="002F3730"/>
    <w:rsid w:val="002F38E1"/>
    <w:rsid w:val="002F5BAB"/>
    <w:rsid w:val="002F7AF6"/>
    <w:rsid w:val="002F7E52"/>
    <w:rsid w:val="00300995"/>
    <w:rsid w:val="00300E63"/>
    <w:rsid w:val="00302F5F"/>
    <w:rsid w:val="0030335F"/>
    <w:rsid w:val="0030441D"/>
    <w:rsid w:val="00304F1F"/>
    <w:rsid w:val="0030605A"/>
    <w:rsid w:val="00306063"/>
    <w:rsid w:val="00307913"/>
    <w:rsid w:val="0031100E"/>
    <w:rsid w:val="00312355"/>
    <w:rsid w:val="00313900"/>
    <w:rsid w:val="00313B85"/>
    <w:rsid w:val="003144F4"/>
    <w:rsid w:val="00314CAB"/>
    <w:rsid w:val="00315053"/>
    <w:rsid w:val="003158E4"/>
    <w:rsid w:val="003169A4"/>
    <w:rsid w:val="003176EA"/>
    <w:rsid w:val="00317988"/>
    <w:rsid w:val="003179E1"/>
    <w:rsid w:val="00317A7A"/>
    <w:rsid w:val="00320154"/>
    <w:rsid w:val="003209C3"/>
    <w:rsid w:val="00320E26"/>
    <w:rsid w:val="003215F8"/>
    <w:rsid w:val="003221B4"/>
    <w:rsid w:val="0032258D"/>
    <w:rsid w:val="00322E62"/>
    <w:rsid w:val="00323EEB"/>
    <w:rsid w:val="0032413E"/>
    <w:rsid w:val="003245C2"/>
    <w:rsid w:val="00324976"/>
    <w:rsid w:val="00324D13"/>
    <w:rsid w:val="00324D2A"/>
    <w:rsid w:val="00324EDD"/>
    <w:rsid w:val="00326FB6"/>
    <w:rsid w:val="0032789D"/>
    <w:rsid w:val="00330C29"/>
    <w:rsid w:val="003320EB"/>
    <w:rsid w:val="003330FF"/>
    <w:rsid w:val="003331E4"/>
    <w:rsid w:val="00333865"/>
    <w:rsid w:val="00333C8A"/>
    <w:rsid w:val="00334116"/>
    <w:rsid w:val="00336C64"/>
    <w:rsid w:val="00337162"/>
    <w:rsid w:val="0033750C"/>
    <w:rsid w:val="00337DFD"/>
    <w:rsid w:val="0034165B"/>
    <w:rsid w:val="0034194F"/>
    <w:rsid w:val="0034319D"/>
    <w:rsid w:val="00344605"/>
    <w:rsid w:val="0034464B"/>
    <w:rsid w:val="00344C45"/>
    <w:rsid w:val="00344C48"/>
    <w:rsid w:val="00345D78"/>
    <w:rsid w:val="003463EC"/>
    <w:rsid w:val="003474AA"/>
    <w:rsid w:val="00350D1D"/>
    <w:rsid w:val="00351776"/>
    <w:rsid w:val="00352C83"/>
    <w:rsid w:val="00353796"/>
    <w:rsid w:val="003556E8"/>
    <w:rsid w:val="00357E5F"/>
    <w:rsid w:val="003615D2"/>
    <w:rsid w:val="0036429C"/>
    <w:rsid w:val="0036472E"/>
    <w:rsid w:val="003648BA"/>
    <w:rsid w:val="00364A53"/>
    <w:rsid w:val="00365245"/>
    <w:rsid w:val="003654CB"/>
    <w:rsid w:val="00365AA9"/>
    <w:rsid w:val="00365F86"/>
    <w:rsid w:val="00365F87"/>
    <w:rsid w:val="00366E89"/>
    <w:rsid w:val="00367320"/>
    <w:rsid w:val="00367972"/>
    <w:rsid w:val="00367D3E"/>
    <w:rsid w:val="003703FE"/>
    <w:rsid w:val="003705F4"/>
    <w:rsid w:val="00370D58"/>
    <w:rsid w:val="00370E8A"/>
    <w:rsid w:val="00371316"/>
    <w:rsid w:val="0037146A"/>
    <w:rsid w:val="0037294C"/>
    <w:rsid w:val="00372A9C"/>
    <w:rsid w:val="00375CA7"/>
    <w:rsid w:val="00376713"/>
    <w:rsid w:val="003777F2"/>
    <w:rsid w:val="00380625"/>
    <w:rsid w:val="00381815"/>
    <w:rsid w:val="003819AF"/>
    <w:rsid w:val="003820E9"/>
    <w:rsid w:val="00382DE7"/>
    <w:rsid w:val="00384FFC"/>
    <w:rsid w:val="00385F84"/>
    <w:rsid w:val="003872FC"/>
    <w:rsid w:val="00387ADC"/>
    <w:rsid w:val="00387BC4"/>
    <w:rsid w:val="00390020"/>
    <w:rsid w:val="00390077"/>
    <w:rsid w:val="0039035B"/>
    <w:rsid w:val="003903D6"/>
    <w:rsid w:val="00390506"/>
    <w:rsid w:val="00390A7B"/>
    <w:rsid w:val="00390C59"/>
    <w:rsid w:val="00390D51"/>
    <w:rsid w:val="00390EE6"/>
    <w:rsid w:val="0039118F"/>
    <w:rsid w:val="00392AD7"/>
    <w:rsid w:val="003938D9"/>
    <w:rsid w:val="00394376"/>
    <w:rsid w:val="003943FF"/>
    <w:rsid w:val="00395700"/>
    <w:rsid w:val="003961B0"/>
    <w:rsid w:val="003961BB"/>
    <w:rsid w:val="0039709D"/>
    <w:rsid w:val="003974EB"/>
    <w:rsid w:val="00397CC5"/>
    <w:rsid w:val="00397EDD"/>
    <w:rsid w:val="003A1582"/>
    <w:rsid w:val="003A399C"/>
    <w:rsid w:val="003A4077"/>
    <w:rsid w:val="003A6314"/>
    <w:rsid w:val="003A6810"/>
    <w:rsid w:val="003A6AD2"/>
    <w:rsid w:val="003A6D97"/>
    <w:rsid w:val="003A7920"/>
    <w:rsid w:val="003B0409"/>
    <w:rsid w:val="003B09AD"/>
    <w:rsid w:val="003B0FB8"/>
    <w:rsid w:val="003B1B3B"/>
    <w:rsid w:val="003B1F18"/>
    <w:rsid w:val="003B1F4A"/>
    <w:rsid w:val="003B23DD"/>
    <w:rsid w:val="003B2A2F"/>
    <w:rsid w:val="003B3E83"/>
    <w:rsid w:val="003B45A5"/>
    <w:rsid w:val="003B57B8"/>
    <w:rsid w:val="003B5BF0"/>
    <w:rsid w:val="003B60BF"/>
    <w:rsid w:val="003B68AA"/>
    <w:rsid w:val="003B6BE3"/>
    <w:rsid w:val="003B6FFF"/>
    <w:rsid w:val="003B76E6"/>
    <w:rsid w:val="003B7A1C"/>
    <w:rsid w:val="003C010C"/>
    <w:rsid w:val="003C0A6C"/>
    <w:rsid w:val="003C14F8"/>
    <w:rsid w:val="003C1CB2"/>
    <w:rsid w:val="003C240B"/>
    <w:rsid w:val="003C43A1"/>
    <w:rsid w:val="003C5A43"/>
    <w:rsid w:val="003C5D5C"/>
    <w:rsid w:val="003C6BF6"/>
    <w:rsid w:val="003C6DD5"/>
    <w:rsid w:val="003D0519"/>
    <w:rsid w:val="003D0DA6"/>
    <w:rsid w:val="003D0FF6"/>
    <w:rsid w:val="003D1415"/>
    <w:rsid w:val="003D262C"/>
    <w:rsid w:val="003D2956"/>
    <w:rsid w:val="003D5345"/>
    <w:rsid w:val="003D5F80"/>
    <w:rsid w:val="003D6D61"/>
    <w:rsid w:val="003E058A"/>
    <w:rsid w:val="003E091D"/>
    <w:rsid w:val="003E098D"/>
    <w:rsid w:val="003E1472"/>
    <w:rsid w:val="003E1C02"/>
    <w:rsid w:val="003E1C53"/>
    <w:rsid w:val="003E23A6"/>
    <w:rsid w:val="003E2A69"/>
    <w:rsid w:val="003E2D49"/>
    <w:rsid w:val="003E2FD4"/>
    <w:rsid w:val="003E32B5"/>
    <w:rsid w:val="003E3357"/>
    <w:rsid w:val="003E3AC9"/>
    <w:rsid w:val="003E49F6"/>
    <w:rsid w:val="003E51BD"/>
    <w:rsid w:val="003E64A7"/>
    <w:rsid w:val="003E660F"/>
    <w:rsid w:val="003E7EC4"/>
    <w:rsid w:val="003F0841"/>
    <w:rsid w:val="003F1A49"/>
    <w:rsid w:val="003F23D3"/>
    <w:rsid w:val="003F3D6A"/>
    <w:rsid w:val="003F3F08"/>
    <w:rsid w:val="003F49F1"/>
    <w:rsid w:val="003F617A"/>
    <w:rsid w:val="003F6272"/>
    <w:rsid w:val="003F6AF9"/>
    <w:rsid w:val="00400E72"/>
    <w:rsid w:val="00401400"/>
    <w:rsid w:val="00401E1A"/>
    <w:rsid w:val="00401F10"/>
    <w:rsid w:val="00402137"/>
    <w:rsid w:val="00402E45"/>
    <w:rsid w:val="00404869"/>
    <w:rsid w:val="004050C3"/>
    <w:rsid w:val="00405884"/>
    <w:rsid w:val="004066DD"/>
    <w:rsid w:val="00406F96"/>
    <w:rsid w:val="0040724A"/>
    <w:rsid w:val="00407D39"/>
    <w:rsid w:val="00412129"/>
    <w:rsid w:val="0041218C"/>
    <w:rsid w:val="00414020"/>
    <w:rsid w:val="0041477A"/>
    <w:rsid w:val="00415E6E"/>
    <w:rsid w:val="004163D5"/>
    <w:rsid w:val="00416738"/>
    <w:rsid w:val="004167A3"/>
    <w:rsid w:val="004176FB"/>
    <w:rsid w:val="00420002"/>
    <w:rsid w:val="00420F8C"/>
    <w:rsid w:val="00421821"/>
    <w:rsid w:val="00421BBB"/>
    <w:rsid w:val="00422321"/>
    <w:rsid w:val="00422FD5"/>
    <w:rsid w:val="0042330A"/>
    <w:rsid w:val="0042563D"/>
    <w:rsid w:val="00426F4D"/>
    <w:rsid w:val="00427242"/>
    <w:rsid w:val="00430B51"/>
    <w:rsid w:val="00432DAA"/>
    <w:rsid w:val="004332D8"/>
    <w:rsid w:val="004339E7"/>
    <w:rsid w:val="00434305"/>
    <w:rsid w:val="00434DF6"/>
    <w:rsid w:val="00435DF7"/>
    <w:rsid w:val="00435E65"/>
    <w:rsid w:val="00437A15"/>
    <w:rsid w:val="00440436"/>
    <w:rsid w:val="0044083F"/>
    <w:rsid w:val="00441AE7"/>
    <w:rsid w:val="004421D3"/>
    <w:rsid w:val="00442DEA"/>
    <w:rsid w:val="00445574"/>
    <w:rsid w:val="004455AA"/>
    <w:rsid w:val="004467FB"/>
    <w:rsid w:val="00450E20"/>
    <w:rsid w:val="00452D6B"/>
    <w:rsid w:val="004536F5"/>
    <w:rsid w:val="004543E0"/>
    <w:rsid w:val="00454484"/>
    <w:rsid w:val="00454754"/>
    <w:rsid w:val="0045517B"/>
    <w:rsid w:val="00457153"/>
    <w:rsid w:val="004573E0"/>
    <w:rsid w:val="0046154B"/>
    <w:rsid w:val="00463B77"/>
    <w:rsid w:val="00463C7B"/>
    <w:rsid w:val="004644A6"/>
    <w:rsid w:val="0046514B"/>
    <w:rsid w:val="0046520F"/>
    <w:rsid w:val="0046527D"/>
    <w:rsid w:val="0046597D"/>
    <w:rsid w:val="004659BD"/>
    <w:rsid w:val="00465EBF"/>
    <w:rsid w:val="00466465"/>
    <w:rsid w:val="00466C3D"/>
    <w:rsid w:val="00466FEF"/>
    <w:rsid w:val="0046702C"/>
    <w:rsid w:val="00470775"/>
    <w:rsid w:val="00472F17"/>
    <w:rsid w:val="00473578"/>
    <w:rsid w:val="004745A0"/>
    <w:rsid w:val="004746B1"/>
    <w:rsid w:val="00474DA4"/>
    <w:rsid w:val="0047535E"/>
    <w:rsid w:val="0047583F"/>
    <w:rsid w:val="00475A0E"/>
    <w:rsid w:val="00475DE8"/>
    <w:rsid w:val="004768B8"/>
    <w:rsid w:val="00476914"/>
    <w:rsid w:val="00477046"/>
    <w:rsid w:val="00477252"/>
    <w:rsid w:val="00481C44"/>
    <w:rsid w:val="00482944"/>
    <w:rsid w:val="00483B23"/>
    <w:rsid w:val="00484936"/>
    <w:rsid w:val="00484BAC"/>
    <w:rsid w:val="004854E9"/>
    <w:rsid w:val="00485AEB"/>
    <w:rsid w:val="00485C89"/>
    <w:rsid w:val="00485FF1"/>
    <w:rsid w:val="004860D9"/>
    <w:rsid w:val="004868AD"/>
    <w:rsid w:val="00486A8E"/>
    <w:rsid w:val="00486BE3"/>
    <w:rsid w:val="00487AC1"/>
    <w:rsid w:val="00487FCC"/>
    <w:rsid w:val="004905E4"/>
    <w:rsid w:val="00490A89"/>
    <w:rsid w:val="00490AB4"/>
    <w:rsid w:val="00491A94"/>
    <w:rsid w:val="00492F02"/>
    <w:rsid w:val="00493143"/>
    <w:rsid w:val="004939AE"/>
    <w:rsid w:val="00495175"/>
    <w:rsid w:val="00496441"/>
    <w:rsid w:val="00497928"/>
    <w:rsid w:val="004A12DF"/>
    <w:rsid w:val="004A17E6"/>
    <w:rsid w:val="004A1BA8"/>
    <w:rsid w:val="004A23F4"/>
    <w:rsid w:val="004A2714"/>
    <w:rsid w:val="004A4706"/>
    <w:rsid w:val="004A4B57"/>
    <w:rsid w:val="004A4F8E"/>
    <w:rsid w:val="004A520E"/>
    <w:rsid w:val="004A5404"/>
    <w:rsid w:val="004A63FA"/>
    <w:rsid w:val="004A6E60"/>
    <w:rsid w:val="004A75FA"/>
    <w:rsid w:val="004B0272"/>
    <w:rsid w:val="004B0303"/>
    <w:rsid w:val="004B0A55"/>
    <w:rsid w:val="004B0DB9"/>
    <w:rsid w:val="004B0EF0"/>
    <w:rsid w:val="004B2701"/>
    <w:rsid w:val="004B2E1B"/>
    <w:rsid w:val="004B33C0"/>
    <w:rsid w:val="004B3AA8"/>
    <w:rsid w:val="004B3E93"/>
    <w:rsid w:val="004B48E1"/>
    <w:rsid w:val="004B4C09"/>
    <w:rsid w:val="004B5182"/>
    <w:rsid w:val="004B56F9"/>
    <w:rsid w:val="004B5E99"/>
    <w:rsid w:val="004B634E"/>
    <w:rsid w:val="004B747D"/>
    <w:rsid w:val="004C132C"/>
    <w:rsid w:val="004C19DB"/>
    <w:rsid w:val="004C1FBC"/>
    <w:rsid w:val="004C2811"/>
    <w:rsid w:val="004C3F1D"/>
    <w:rsid w:val="004C458D"/>
    <w:rsid w:val="004C58A0"/>
    <w:rsid w:val="004C747F"/>
    <w:rsid w:val="004C7556"/>
    <w:rsid w:val="004C7E47"/>
    <w:rsid w:val="004C7E8B"/>
    <w:rsid w:val="004C7E93"/>
    <w:rsid w:val="004C7E9D"/>
    <w:rsid w:val="004C7F67"/>
    <w:rsid w:val="004D076D"/>
    <w:rsid w:val="004D0EF1"/>
    <w:rsid w:val="004D2253"/>
    <w:rsid w:val="004D2610"/>
    <w:rsid w:val="004D2A8B"/>
    <w:rsid w:val="004D34D6"/>
    <w:rsid w:val="004D4406"/>
    <w:rsid w:val="004D6DE5"/>
    <w:rsid w:val="004D7BBB"/>
    <w:rsid w:val="004D7C42"/>
    <w:rsid w:val="004D7D81"/>
    <w:rsid w:val="004E0465"/>
    <w:rsid w:val="004E127B"/>
    <w:rsid w:val="004E1B5F"/>
    <w:rsid w:val="004E1C0A"/>
    <w:rsid w:val="004E2B06"/>
    <w:rsid w:val="004E30C5"/>
    <w:rsid w:val="004E3164"/>
    <w:rsid w:val="004E39DC"/>
    <w:rsid w:val="004E4428"/>
    <w:rsid w:val="004E4AA5"/>
    <w:rsid w:val="004E4AEE"/>
    <w:rsid w:val="004E59E3"/>
    <w:rsid w:val="004E6508"/>
    <w:rsid w:val="004E67C0"/>
    <w:rsid w:val="004E7262"/>
    <w:rsid w:val="004E7C1B"/>
    <w:rsid w:val="004F0C3B"/>
    <w:rsid w:val="004F1206"/>
    <w:rsid w:val="004F1ADC"/>
    <w:rsid w:val="004F1B56"/>
    <w:rsid w:val="004F2182"/>
    <w:rsid w:val="004F391A"/>
    <w:rsid w:val="004F3CFB"/>
    <w:rsid w:val="004F493A"/>
    <w:rsid w:val="004F6456"/>
    <w:rsid w:val="004F696E"/>
    <w:rsid w:val="004F6C71"/>
    <w:rsid w:val="0050009F"/>
    <w:rsid w:val="005007B3"/>
    <w:rsid w:val="00501086"/>
    <w:rsid w:val="00501139"/>
    <w:rsid w:val="0050225D"/>
    <w:rsid w:val="0050363E"/>
    <w:rsid w:val="005039BC"/>
    <w:rsid w:val="005043BB"/>
    <w:rsid w:val="00504A3D"/>
    <w:rsid w:val="00505767"/>
    <w:rsid w:val="00505A53"/>
    <w:rsid w:val="005069ED"/>
    <w:rsid w:val="0050734A"/>
    <w:rsid w:val="005073F0"/>
    <w:rsid w:val="0050753F"/>
    <w:rsid w:val="00510A7B"/>
    <w:rsid w:val="00510D2B"/>
    <w:rsid w:val="0051165A"/>
    <w:rsid w:val="00511BF4"/>
    <w:rsid w:val="00512062"/>
    <w:rsid w:val="00512214"/>
    <w:rsid w:val="00512585"/>
    <w:rsid w:val="00512D9E"/>
    <w:rsid w:val="00512F6E"/>
    <w:rsid w:val="00513038"/>
    <w:rsid w:val="00514015"/>
    <w:rsid w:val="00514174"/>
    <w:rsid w:val="00514229"/>
    <w:rsid w:val="0051475C"/>
    <w:rsid w:val="00514AF9"/>
    <w:rsid w:val="00515714"/>
    <w:rsid w:val="00516088"/>
    <w:rsid w:val="00516B0B"/>
    <w:rsid w:val="00516F45"/>
    <w:rsid w:val="00517B95"/>
    <w:rsid w:val="0052025D"/>
    <w:rsid w:val="005220EC"/>
    <w:rsid w:val="00523F95"/>
    <w:rsid w:val="00524D65"/>
    <w:rsid w:val="00525422"/>
    <w:rsid w:val="00525B16"/>
    <w:rsid w:val="00526225"/>
    <w:rsid w:val="005262ED"/>
    <w:rsid w:val="005325EE"/>
    <w:rsid w:val="00532E17"/>
    <w:rsid w:val="00533D04"/>
    <w:rsid w:val="00534804"/>
    <w:rsid w:val="00534BDF"/>
    <w:rsid w:val="005354EA"/>
    <w:rsid w:val="0053585F"/>
    <w:rsid w:val="00535C42"/>
    <w:rsid w:val="00535EC4"/>
    <w:rsid w:val="00535ED9"/>
    <w:rsid w:val="00536675"/>
    <w:rsid w:val="0053692B"/>
    <w:rsid w:val="00536D6A"/>
    <w:rsid w:val="00537C8D"/>
    <w:rsid w:val="005416B9"/>
    <w:rsid w:val="00541853"/>
    <w:rsid w:val="00541F78"/>
    <w:rsid w:val="00542E8C"/>
    <w:rsid w:val="00543341"/>
    <w:rsid w:val="00543BDA"/>
    <w:rsid w:val="005441CC"/>
    <w:rsid w:val="00546555"/>
    <w:rsid w:val="005475CB"/>
    <w:rsid w:val="005479DA"/>
    <w:rsid w:val="00547BCC"/>
    <w:rsid w:val="0055013B"/>
    <w:rsid w:val="00551F6F"/>
    <w:rsid w:val="00555044"/>
    <w:rsid w:val="0056101D"/>
    <w:rsid w:val="00561475"/>
    <w:rsid w:val="00561A9C"/>
    <w:rsid w:val="00562554"/>
    <w:rsid w:val="005639BC"/>
    <w:rsid w:val="005640EE"/>
    <w:rsid w:val="0056487B"/>
    <w:rsid w:val="00564FB9"/>
    <w:rsid w:val="005654BF"/>
    <w:rsid w:val="0056574A"/>
    <w:rsid w:val="005657C9"/>
    <w:rsid w:val="005658CB"/>
    <w:rsid w:val="005667BF"/>
    <w:rsid w:val="0057028D"/>
    <w:rsid w:val="00571F70"/>
    <w:rsid w:val="005728A9"/>
    <w:rsid w:val="00573D9E"/>
    <w:rsid w:val="005743C5"/>
    <w:rsid w:val="00575945"/>
    <w:rsid w:val="00575E11"/>
    <w:rsid w:val="00577049"/>
    <w:rsid w:val="005801E3"/>
    <w:rsid w:val="00581802"/>
    <w:rsid w:val="00583605"/>
    <w:rsid w:val="005836A8"/>
    <w:rsid w:val="0058409C"/>
    <w:rsid w:val="00584262"/>
    <w:rsid w:val="00584CF1"/>
    <w:rsid w:val="00584F09"/>
    <w:rsid w:val="005850A7"/>
    <w:rsid w:val="005858DC"/>
    <w:rsid w:val="00585B7C"/>
    <w:rsid w:val="00586338"/>
    <w:rsid w:val="00586630"/>
    <w:rsid w:val="00587ADD"/>
    <w:rsid w:val="00590E50"/>
    <w:rsid w:val="005915B7"/>
    <w:rsid w:val="0059166A"/>
    <w:rsid w:val="00591E27"/>
    <w:rsid w:val="0059291F"/>
    <w:rsid w:val="005932DD"/>
    <w:rsid w:val="00594763"/>
    <w:rsid w:val="00596160"/>
    <w:rsid w:val="005964AF"/>
    <w:rsid w:val="00596562"/>
    <w:rsid w:val="005966E2"/>
    <w:rsid w:val="005968D7"/>
    <w:rsid w:val="00596AEF"/>
    <w:rsid w:val="00596F96"/>
    <w:rsid w:val="00597007"/>
    <w:rsid w:val="005A0966"/>
    <w:rsid w:val="005A11B7"/>
    <w:rsid w:val="005A193D"/>
    <w:rsid w:val="005A22D6"/>
    <w:rsid w:val="005A23DC"/>
    <w:rsid w:val="005A260B"/>
    <w:rsid w:val="005A2FA4"/>
    <w:rsid w:val="005A37D2"/>
    <w:rsid w:val="005A3A75"/>
    <w:rsid w:val="005A4A1B"/>
    <w:rsid w:val="005A6170"/>
    <w:rsid w:val="005A7830"/>
    <w:rsid w:val="005A7DFB"/>
    <w:rsid w:val="005A7E3A"/>
    <w:rsid w:val="005A7FCE"/>
    <w:rsid w:val="005B0F3F"/>
    <w:rsid w:val="005B2471"/>
    <w:rsid w:val="005B2D5F"/>
    <w:rsid w:val="005B311A"/>
    <w:rsid w:val="005B3706"/>
    <w:rsid w:val="005B3E6F"/>
    <w:rsid w:val="005B4003"/>
    <w:rsid w:val="005B4903"/>
    <w:rsid w:val="005B51CE"/>
    <w:rsid w:val="005B5885"/>
    <w:rsid w:val="005B5B82"/>
    <w:rsid w:val="005B5CD7"/>
    <w:rsid w:val="005B6CA9"/>
    <w:rsid w:val="005B6CF6"/>
    <w:rsid w:val="005B7422"/>
    <w:rsid w:val="005C29B8"/>
    <w:rsid w:val="005C2DD7"/>
    <w:rsid w:val="005C3A3E"/>
    <w:rsid w:val="005C4470"/>
    <w:rsid w:val="005C559F"/>
    <w:rsid w:val="005C579D"/>
    <w:rsid w:val="005C5A55"/>
    <w:rsid w:val="005C5CA4"/>
    <w:rsid w:val="005C5F21"/>
    <w:rsid w:val="005C6923"/>
    <w:rsid w:val="005C6AA8"/>
    <w:rsid w:val="005C7156"/>
    <w:rsid w:val="005C749E"/>
    <w:rsid w:val="005D0B64"/>
    <w:rsid w:val="005D0C75"/>
    <w:rsid w:val="005D0CAA"/>
    <w:rsid w:val="005D266E"/>
    <w:rsid w:val="005D2B90"/>
    <w:rsid w:val="005D4171"/>
    <w:rsid w:val="005D45E8"/>
    <w:rsid w:val="005D4B39"/>
    <w:rsid w:val="005D5600"/>
    <w:rsid w:val="005D6A95"/>
    <w:rsid w:val="005D6B2C"/>
    <w:rsid w:val="005D6D9C"/>
    <w:rsid w:val="005D77FF"/>
    <w:rsid w:val="005E1D16"/>
    <w:rsid w:val="005E2335"/>
    <w:rsid w:val="005E34CA"/>
    <w:rsid w:val="005E3C18"/>
    <w:rsid w:val="005E44B6"/>
    <w:rsid w:val="005E4C76"/>
    <w:rsid w:val="005E5103"/>
    <w:rsid w:val="005E55A5"/>
    <w:rsid w:val="005E6812"/>
    <w:rsid w:val="005E7881"/>
    <w:rsid w:val="005E78E0"/>
    <w:rsid w:val="005E7CE7"/>
    <w:rsid w:val="005F0D9C"/>
    <w:rsid w:val="005F1CC8"/>
    <w:rsid w:val="005F1CE5"/>
    <w:rsid w:val="005F2549"/>
    <w:rsid w:val="005F27CE"/>
    <w:rsid w:val="005F284E"/>
    <w:rsid w:val="005F4712"/>
    <w:rsid w:val="005F63BC"/>
    <w:rsid w:val="005F659F"/>
    <w:rsid w:val="005F7436"/>
    <w:rsid w:val="00600773"/>
    <w:rsid w:val="00601489"/>
    <w:rsid w:val="006015CE"/>
    <w:rsid w:val="00604784"/>
    <w:rsid w:val="00605A2D"/>
    <w:rsid w:val="00606419"/>
    <w:rsid w:val="00606919"/>
    <w:rsid w:val="00607362"/>
    <w:rsid w:val="00607D29"/>
    <w:rsid w:val="00610F0F"/>
    <w:rsid w:val="00612952"/>
    <w:rsid w:val="00614AE4"/>
    <w:rsid w:val="00614CC1"/>
    <w:rsid w:val="00615A9D"/>
    <w:rsid w:val="00616453"/>
    <w:rsid w:val="00616508"/>
    <w:rsid w:val="006171C6"/>
    <w:rsid w:val="00617387"/>
    <w:rsid w:val="00617CA7"/>
    <w:rsid w:val="00617EF6"/>
    <w:rsid w:val="00617F10"/>
    <w:rsid w:val="006205D6"/>
    <w:rsid w:val="00621DC6"/>
    <w:rsid w:val="006235CC"/>
    <w:rsid w:val="00623F20"/>
    <w:rsid w:val="006252D8"/>
    <w:rsid w:val="006259BC"/>
    <w:rsid w:val="00625BA2"/>
    <w:rsid w:val="0062636B"/>
    <w:rsid w:val="0062733D"/>
    <w:rsid w:val="00627C2B"/>
    <w:rsid w:val="0063100C"/>
    <w:rsid w:val="00632182"/>
    <w:rsid w:val="00632AE0"/>
    <w:rsid w:val="00633C17"/>
    <w:rsid w:val="00634D9E"/>
    <w:rsid w:val="00636498"/>
    <w:rsid w:val="00636E3E"/>
    <w:rsid w:val="006375B4"/>
    <w:rsid w:val="006379F7"/>
    <w:rsid w:val="00637E4D"/>
    <w:rsid w:val="006400E6"/>
    <w:rsid w:val="00640620"/>
    <w:rsid w:val="00641A1F"/>
    <w:rsid w:val="00642FC1"/>
    <w:rsid w:val="00643045"/>
    <w:rsid w:val="006432A2"/>
    <w:rsid w:val="006435EB"/>
    <w:rsid w:val="0064421E"/>
    <w:rsid w:val="00644C51"/>
    <w:rsid w:val="00645904"/>
    <w:rsid w:val="006461E6"/>
    <w:rsid w:val="00646721"/>
    <w:rsid w:val="0064677E"/>
    <w:rsid w:val="006473C0"/>
    <w:rsid w:val="00650CD6"/>
    <w:rsid w:val="00651189"/>
    <w:rsid w:val="00651ACB"/>
    <w:rsid w:val="00651C47"/>
    <w:rsid w:val="00652AB2"/>
    <w:rsid w:val="00652F10"/>
    <w:rsid w:val="00653FED"/>
    <w:rsid w:val="00654DA4"/>
    <w:rsid w:val="00654EC0"/>
    <w:rsid w:val="0065525B"/>
    <w:rsid w:val="00655D4F"/>
    <w:rsid w:val="0065671E"/>
    <w:rsid w:val="00656D29"/>
    <w:rsid w:val="00657939"/>
    <w:rsid w:val="00660241"/>
    <w:rsid w:val="00660EA2"/>
    <w:rsid w:val="00661887"/>
    <w:rsid w:val="006619DA"/>
    <w:rsid w:val="006622FF"/>
    <w:rsid w:val="0066368A"/>
    <w:rsid w:val="006640E5"/>
    <w:rsid w:val="006646F1"/>
    <w:rsid w:val="00664929"/>
    <w:rsid w:val="00664F3E"/>
    <w:rsid w:val="00664F62"/>
    <w:rsid w:val="006655E1"/>
    <w:rsid w:val="00666CFD"/>
    <w:rsid w:val="0066704A"/>
    <w:rsid w:val="00672060"/>
    <w:rsid w:val="00672124"/>
    <w:rsid w:val="006724D3"/>
    <w:rsid w:val="006727A1"/>
    <w:rsid w:val="00672BFD"/>
    <w:rsid w:val="0067437A"/>
    <w:rsid w:val="006746D1"/>
    <w:rsid w:val="006749B5"/>
    <w:rsid w:val="006756A8"/>
    <w:rsid w:val="00676804"/>
    <w:rsid w:val="00676BF6"/>
    <w:rsid w:val="00676CEB"/>
    <w:rsid w:val="006770F4"/>
    <w:rsid w:val="00677A84"/>
    <w:rsid w:val="0068026D"/>
    <w:rsid w:val="0068092B"/>
    <w:rsid w:val="00680A27"/>
    <w:rsid w:val="006815E2"/>
    <w:rsid w:val="006816A4"/>
    <w:rsid w:val="006819B8"/>
    <w:rsid w:val="00681D87"/>
    <w:rsid w:val="0068218D"/>
    <w:rsid w:val="0068251D"/>
    <w:rsid w:val="006840A6"/>
    <w:rsid w:val="006842B6"/>
    <w:rsid w:val="006850CD"/>
    <w:rsid w:val="00685631"/>
    <w:rsid w:val="00685AAB"/>
    <w:rsid w:val="006864DB"/>
    <w:rsid w:val="00687422"/>
    <w:rsid w:val="0069002F"/>
    <w:rsid w:val="0069024A"/>
    <w:rsid w:val="006909E3"/>
    <w:rsid w:val="00694B6E"/>
    <w:rsid w:val="006951A7"/>
    <w:rsid w:val="00695D22"/>
    <w:rsid w:val="00695D4C"/>
    <w:rsid w:val="006966CB"/>
    <w:rsid w:val="00697D0A"/>
    <w:rsid w:val="006A07AA"/>
    <w:rsid w:val="006A1B38"/>
    <w:rsid w:val="006A25E5"/>
    <w:rsid w:val="006A2B46"/>
    <w:rsid w:val="006A336D"/>
    <w:rsid w:val="006A37B9"/>
    <w:rsid w:val="006A3C01"/>
    <w:rsid w:val="006A44F4"/>
    <w:rsid w:val="006A456A"/>
    <w:rsid w:val="006A4E6F"/>
    <w:rsid w:val="006A5387"/>
    <w:rsid w:val="006A60C3"/>
    <w:rsid w:val="006A6309"/>
    <w:rsid w:val="006A7139"/>
    <w:rsid w:val="006B2672"/>
    <w:rsid w:val="006B2CBB"/>
    <w:rsid w:val="006B309D"/>
    <w:rsid w:val="006B522E"/>
    <w:rsid w:val="006B54BF"/>
    <w:rsid w:val="006B5F44"/>
    <w:rsid w:val="006B5F90"/>
    <w:rsid w:val="006B62E4"/>
    <w:rsid w:val="006B7673"/>
    <w:rsid w:val="006C03CB"/>
    <w:rsid w:val="006C05C9"/>
    <w:rsid w:val="006C13DE"/>
    <w:rsid w:val="006C1BBA"/>
    <w:rsid w:val="006C1F4D"/>
    <w:rsid w:val="006C2079"/>
    <w:rsid w:val="006C3C83"/>
    <w:rsid w:val="006C3CAC"/>
    <w:rsid w:val="006C4D43"/>
    <w:rsid w:val="006C4EAC"/>
    <w:rsid w:val="006C5A62"/>
    <w:rsid w:val="006C5D68"/>
    <w:rsid w:val="006C6976"/>
    <w:rsid w:val="006C6DD0"/>
    <w:rsid w:val="006D04EA"/>
    <w:rsid w:val="006D16C4"/>
    <w:rsid w:val="006D1886"/>
    <w:rsid w:val="006D2D1A"/>
    <w:rsid w:val="006D39E0"/>
    <w:rsid w:val="006D3E96"/>
    <w:rsid w:val="006D4515"/>
    <w:rsid w:val="006D4BB1"/>
    <w:rsid w:val="006D5A06"/>
    <w:rsid w:val="006D6593"/>
    <w:rsid w:val="006D763D"/>
    <w:rsid w:val="006D79CA"/>
    <w:rsid w:val="006E1797"/>
    <w:rsid w:val="006E23EA"/>
    <w:rsid w:val="006E2E1F"/>
    <w:rsid w:val="006E4598"/>
    <w:rsid w:val="006E48B8"/>
    <w:rsid w:val="006E4A92"/>
    <w:rsid w:val="006E593A"/>
    <w:rsid w:val="006E593C"/>
    <w:rsid w:val="006E5BAC"/>
    <w:rsid w:val="006E78A8"/>
    <w:rsid w:val="006F03A8"/>
    <w:rsid w:val="006F0B42"/>
    <w:rsid w:val="006F1B52"/>
    <w:rsid w:val="006F2ACA"/>
    <w:rsid w:val="006F2ADC"/>
    <w:rsid w:val="006F2BFE"/>
    <w:rsid w:val="006F31E9"/>
    <w:rsid w:val="006F408C"/>
    <w:rsid w:val="006F43E4"/>
    <w:rsid w:val="006F4BF6"/>
    <w:rsid w:val="006F5B6A"/>
    <w:rsid w:val="006F6284"/>
    <w:rsid w:val="007002C5"/>
    <w:rsid w:val="0070073D"/>
    <w:rsid w:val="00702AC6"/>
    <w:rsid w:val="00702D45"/>
    <w:rsid w:val="00704387"/>
    <w:rsid w:val="00704823"/>
    <w:rsid w:val="00704B1C"/>
    <w:rsid w:val="007050BD"/>
    <w:rsid w:val="00706515"/>
    <w:rsid w:val="00707669"/>
    <w:rsid w:val="0071102B"/>
    <w:rsid w:val="00711B28"/>
    <w:rsid w:val="00711CBA"/>
    <w:rsid w:val="00711FB5"/>
    <w:rsid w:val="00712A01"/>
    <w:rsid w:val="00714DBA"/>
    <w:rsid w:val="00714F58"/>
    <w:rsid w:val="00715E2B"/>
    <w:rsid w:val="00717257"/>
    <w:rsid w:val="00720253"/>
    <w:rsid w:val="007207A2"/>
    <w:rsid w:val="0072161D"/>
    <w:rsid w:val="00722FBF"/>
    <w:rsid w:val="00722FC2"/>
    <w:rsid w:val="00723395"/>
    <w:rsid w:val="007246F0"/>
    <w:rsid w:val="00724879"/>
    <w:rsid w:val="00724E1B"/>
    <w:rsid w:val="007253B9"/>
    <w:rsid w:val="00725719"/>
    <w:rsid w:val="00725949"/>
    <w:rsid w:val="00725FE8"/>
    <w:rsid w:val="0072694F"/>
    <w:rsid w:val="00726EDD"/>
    <w:rsid w:val="00727FA2"/>
    <w:rsid w:val="00731AA6"/>
    <w:rsid w:val="007322CB"/>
    <w:rsid w:val="007322D9"/>
    <w:rsid w:val="00732BC0"/>
    <w:rsid w:val="00733FA2"/>
    <w:rsid w:val="00734846"/>
    <w:rsid w:val="007357BE"/>
    <w:rsid w:val="00735FF1"/>
    <w:rsid w:val="00736147"/>
    <w:rsid w:val="0073720F"/>
    <w:rsid w:val="00737796"/>
    <w:rsid w:val="0073787C"/>
    <w:rsid w:val="00737E43"/>
    <w:rsid w:val="0074165C"/>
    <w:rsid w:val="00742C35"/>
    <w:rsid w:val="007432CA"/>
    <w:rsid w:val="007439EB"/>
    <w:rsid w:val="00743CB4"/>
    <w:rsid w:val="00743F0A"/>
    <w:rsid w:val="007444E8"/>
    <w:rsid w:val="00744AC2"/>
    <w:rsid w:val="00744CA7"/>
    <w:rsid w:val="00744DE7"/>
    <w:rsid w:val="0074548E"/>
    <w:rsid w:val="00745773"/>
    <w:rsid w:val="00745834"/>
    <w:rsid w:val="00746800"/>
    <w:rsid w:val="00746A80"/>
    <w:rsid w:val="007501A8"/>
    <w:rsid w:val="00750D61"/>
    <w:rsid w:val="00750EE1"/>
    <w:rsid w:val="00751116"/>
    <w:rsid w:val="007511DC"/>
    <w:rsid w:val="00751CD3"/>
    <w:rsid w:val="007529CD"/>
    <w:rsid w:val="00752B4D"/>
    <w:rsid w:val="00754122"/>
    <w:rsid w:val="00755325"/>
    <w:rsid w:val="00755402"/>
    <w:rsid w:val="00756B26"/>
    <w:rsid w:val="00756EDF"/>
    <w:rsid w:val="007600E3"/>
    <w:rsid w:val="0076051B"/>
    <w:rsid w:val="00760DF5"/>
    <w:rsid w:val="007611C6"/>
    <w:rsid w:val="007630B7"/>
    <w:rsid w:val="00763D0E"/>
    <w:rsid w:val="007650C1"/>
    <w:rsid w:val="00765C43"/>
    <w:rsid w:val="00765EFB"/>
    <w:rsid w:val="0076616F"/>
    <w:rsid w:val="0076629E"/>
    <w:rsid w:val="007671CA"/>
    <w:rsid w:val="007671DF"/>
    <w:rsid w:val="007676E5"/>
    <w:rsid w:val="00767879"/>
    <w:rsid w:val="00767C61"/>
    <w:rsid w:val="0077008A"/>
    <w:rsid w:val="0077142F"/>
    <w:rsid w:val="007714DF"/>
    <w:rsid w:val="00773C1F"/>
    <w:rsid w:val="00774127"/>
    <w:rsid w:val="00774DA4"/>
    <w:rsid w:val="0077545F"/>
    <w:rsid w:val="00776599"/>
    <w:rsid w:val="0077756B"/>
    <w:rsid w:val="00777AB8"/>
    <w:rsid w:val="0078114B"/>
    <w:rsid w:val="00781DD2"/>
    <w:rsid w:val="00783ECF"/>
    <w:rsid w:val="0078413A"/>
    <w:rsid w:val="00784162"/>
    <w:rsid w:val="00785979"/>
    <w:rsid w:val="007869D2"/>
    <w:rsid w:val="007938BF"/>
    <w:rsid w:val="00793CC3"/>
    <w:rsid w:val="00793D62"/>
    <w:rsid w:val="007943C2"/>
    <w:rsid w:val="00794852"/>
    <w:rsid w:val="007959E8"/>
    <w:rsid w:val="00795B7B"/>
    <w:rsid w:val="00795D4C"/>
    <w:rsid w:val="00795E9C"/>
    <w:rsid w:val="00796331"/>
    <w:rsid w:val="00796979"/>
    <w:rsid w:val="007A033E"/>
    <w:rsid w:val="007A0521"/>
    <w:rsid w:val="007A0EB6"/>
    <w:rsid w:val="007A2E12"/>
    <w:rsid w:val="007A3475"/>
    <w:rsid w:val="007A3C91"/>
    <w:rsid w:val="007A41C8"/>
    <w:rsid w:val="007A45FB"/>
    <w:rsid w:val="007A547D"/>
    <w:rsid w:val="007A54CE"/>
    <w:rsid w:val="007A6A34"/>
    <w:rsid w:val="007A6FD9"/>
    <w:rsid w:val="007A7FFA"/>
    <w:rsid w:val="007B04EB"/>
    <w:rsid w:val="007B0D4F"/>
    <w:rsid w:val="007B0E4F"/>
    <w:rsid w:val="007B23A1"/>
    <w:rsid w:val="007B31F7"/>
    <w:rsid w:val="007B413F"/>
    <w:rsid w:val="007B53DA"/>
    <w:rsid w:val="007B5A3D"/>
    <w:rsid w:val="007B5B95"/>
    <w:rsid w:val="007B68EA"/>
    <w:rsid w:val="007B6A85"/>
    <w:rsid w:val="007B7453"/>
    <w:rsid w:val="007B74E3"/>
    <w:rsid w:val="007C1E8B"/>
    <w:rsid w:val="007C2154"/>
    <w:rsid w:val="007C2D89"/>
    <w:rsid w:val="007C2DDA"/>
    <w:rsid w:val="007C396E"/>
    <w:rsid w:val="007C4267"/>
    <w:rsid w:val="007C42B5"/>
    <w:rsid w:val="007C4593"/>
    <w:rsid w:val="007C4C07"/>
    <w:rsid w:val="007C527B"/>
    <w:rsid w:val="007C5309"/>
    <w:rsid w:val="007C5CBE"/>
    <w:rsid w:val="007C6069"/>
    <w:rsid w:val="007C6739"/>
    <w:rsid w:val="007D06C4"/>
    <w:rsid w:val="007D07CC"/>
    <w:rsid w:val="007D1352"/>
    <w:rsid w:val="007D1556"/>
    <w:rsid w:val="007D1C2A"/>
    <w:rsid w:val="007D2508"/>
    <w:rsid w:val="007D346A"/>
    <w:rsid w:val="007D3AA2"/>
    <w:rsid w:val="007D4FE3"/>
    <w:rsid w:val="007D553C"/>
    <w:rsid w:val="007D6518"/>
    <w:rsid w:val="007D722C"/>
    <w:rsid w:val="007D76BD"/>
    <w:rsid w:val="007E0BF1"/>
    <w:rsid w:val="007E0ED5"/>
    <w:rsid w:val="007E33D8"/>
    <w:rsid w:val="007E4F8B"/>
    <w:rsid w:val="007E5117"/>
    <w:rsid w:val="007E5656"/>
    <w:rsid w:val="007F0ED8"/>
    <w:rsid w:val="007F0F63"/>
    <w:rsid w:val="007F1F9A"/>
    <w:rsid w:val="007F3675"/>
    <w:rsid w:val="007F3AB1"/>
    <w:rsid w:val="007F559B"/>
    <w:rsid w:val="007F6364"/>
    <w:rsid w:val="007F75CE"/>
    <w:rsid w:val="0080000F"/>
    <w:rsid w:val="0080083D"/>
    <w:rsid w:val="008013A4"/>
    <w:rsid w:val="008027CE"/>
    <w:rsid w:val="00802F42"/>
    <w:rsid w:val="00804383"/>
    <w:rsid w:val="00804A82"/>
    <w:rsid w:val="00804BB7"/>
    <w:rsid w:val="00804D41"/>
    <w:rsid w:val="00805FA6"/>
    <w:rsid w:val="00806A38"/>
    <w:rsid w:val="00807D92"/>
    <w:rsid w:val="00810166"/>
    <w:rsid w:val="00810257"/>
    <w:rsid w:val="008104F5"/>
    <w:rsid w:val="00811072"/>
    <w:rsid w:val="00811369"/>
    <w:rsid w:val="0081185A"/>
    <w:rsid w:val="00812152"/>
    <w:rsid w:val="00812C76"/>
    <w:rsid w:val="008132BD"/>
    <w:rsid w:val="00815419"/>
    <w:rsid w:val="008163C8"/>
    <w:rsid w:val="008164A1"/>
    <w:rsid w:val="00817325"/>
    <w:rsid w:val="008209E6"/>
    <w:rsid w:val="0082108F"/>
    <w:rsid w:val="00821805"/>
    <w:rsid w:val="00821E43"/>
    <w:rsid w:val="00822246"/>
    <w:rsid w:val="008222B9"/>
    <w:rsid w:val="00823303"/>
    <w:rsid w:val="008233B2"/>
    <w:rsid w:val="008236E8"/>
    <w:rsid w:val="00823A33"/>
    <w:rsid w:val="00823A9F"/>
    <w:rsid w:val="00823C85"/>
    <w:rsid w:val="00825138"/>
    <w:rsid w:val="00826830"/>
    <w:rsid w:val="008269A6"/>
    <w:rsid w:val="008269DD"/>
    <w:rsid w:val="00830621"/>
    <w:rsid w:val="00831547"/>
    <w:rsid w:val="00831882"/>
    <w:rsid w:val="0083348C"/>
    <w:rsid w:val="00833CFD"/>
    <w:rsid w:val="00834013"/>
    <w:rsid w:val="00834DDB"/>
    <w:rsid w:val="00835907"/>
    <w:rsid w:val="00836264"/>
    <w:rsid w:val="008373D3"/>
    <w:rsid w:val="00840617"/>
    <w:rsid w:val="00840F84"/>
    <w:rsid w:val="008416FA"/>
    <w:rsid w:val="00841E66"/>
    <w:rsid w:val="00841E95"/>
    <w:rsid w:val="00842977"/>
    <w:rsid w:val="00842A47"/>
    <w:rsid w:val="00842D23"/>
    <w:rsid w:val="00843AD9"/>
    <w:rsid w:val="00843C13"/>
    <w:rsid w:val="00843F06"/>
    <w:rsid w:val="008454F8"/>
    <w:rsid w:val="00845811"/>
    <w:rsid w:val="0084698C"/>
    <w:rsid w:val="00847768"/>
    <w:rsid w:val="00850201"/>
    <w:rsid w:val="00850CD3"/>
    <w:rsid w:val="0085173A"/>
    <w:rsid w:val="00853B6B"/>
    <w:rsid w:val="00854F1E"/>
    <w:rsid w:val="008554A8"/>
    <w:rsid w:val="00856316"/>
    <w:rsid w:val="00856EB2"/>
    <w:rsid w:val="008603CE"/>
    <w:rsid w:val="008603F5"/>
    <w:rsid w:val="00861847"/>
    <w:rsid w:val="008620FC"/>
    <w:rsid w:val="008627A5"/>
    <w:rsid w:val="00862DC2"/>
    <w:rsid w:val="008633A1"/>
    <w:rsid w:val="00863E05"/>
    <w:rsid w:val="008645AB"/>
    <w:rsid w:val="008657F5"/>
    <w:rsid w:val="00865ACA"/>
    <w:rsid w:val="00865C3A"/>
    <w:rsid w:val="00865D28"/>
    <w:rsid w:val="00865F85"/>
    <w:rsid w:val="00867C10"/>
    <w:rsid w:val="00870439"/>
    <w:rsid w:val="0087071F"/>
    <w:rsid w:val="008708CC"/>
    <w:rsid w:val="00870CB8"/>
    <w:rsid w:val="00870DA1"/>
    <w:rsid w:val="008724D1"/>
    <w:rsid w:val="00872612"/>
    <w:rsid w:val="00872C79"/>
    <w:rsid w:val="0087615F"/>
    <w:rsid w:val="00876546"/>
    <w:rsid w:val="0087662E"/>
    <w:rsid w:val="00880B89"/>
    <w:rsid w:val="00880DF6"/>
    <w:rsid w:val="008825E9"/>
    <w:rsid w:val="00883F93"/>
    <w:rsid w:val="008843CB"/>
    <w:rsid w:val="00884597"/>
    <w:rsid w:val="00884AFD"/>
    <w:rsid w:val="00884D21"/>
    <w:rsid w:val="00884DB3"/>
    <w:rsid w:val="00885A9D"/>
    <w:rsid w:val="00885B12"/>
    <w:rsid w:val="008864F6"/>
    <w:rsid w:val="00890230"/>
    <w:rsid w:val="0089049D"/>
    <w:rsid w:val="0089082A"/>
    <w:rsid w:val="00890873"/>
    <w:rsid w:val="00890965"/>
    <w:rsid w:val="00892600"/>
    <w:rsid w:val="008928C9"/>
    <w:rsid w:val="00892B2B"/>
    <w:rsid w:val="00892BD3"/>
    <w:rsid w:val="008930CB"/>
    <w:rsid w:val="008938DC"/>
    <w:rsid w:val="00893EE8"/>
    <w:rsid w:val="00893FD1"/>
    <w:rsid w:val="00894836"/>
    <w:rsid w:val="00895172"/>
    <w:rsid w:val="00895680"/>
    <w:rsid w:val="00896DFF"/>
    <w:rsid w:val="0089762C"/>
    <w:rsid w:val="0089794F"/>
    <w:rsid w:val="00897AE9"/>
    <w:rsid w:val="008A00B3"/>
    <w:rsid w:val="008A0AA2"/>
    <w:rsid w:val="008A1893"/>
    <w:rsid w:val="008A1FD2"/>
    <w:rsid w:val="008A307E"/>
    <w:rsid w:val="008A3215"/>
    <w:rsid w:val="008A3A85"/>
    <w:rsid w:val="008A415C"/>
    <w:rsid w:val="008A57E6"/>
    <w:rsid w:val="008A5A5F"/>
    <w:rsid w:val="008A6F81"/>
    <w:rsid w:val="008A769A"/>
    <w:rsid w:val="008A7B79"/>
    <w:rsid w:val="008B0C9C"/>
    <w:rsid w:val="008B166D"/>
    <w:rsid w:val="008B17F4"/>
    <w:rsid w:val="008B21E8"/>
    <w:rsid w:val="008B3615"/>
    <w:rsid w:val="008B36AD"/>
    <w:rsid w:val="008B42CE"/>
    <w:rsid w:val="008B489E"/>
    <w:rsid w:val="008B48D2"/>
    <w:rsid w:val="008B4AC4"/>
    <w:rsid w:val="008B50C8"/>
    <w:rsid w:val="008B5281"/>
    <w:rsid w:val="008B55A1"/>
    <w:rsid w:val="008B7E05"/>
    <w:rsid w:val="008C01A7"/>
    <w:rsid w:val="008C1797"/>
    <w:rsid w:val="008C219C"/>
    <w:rsid w:val="008C2ACE"/>
    <w:rsid w:val="008C3378"/>
    <w:rsid w:val="008C475E"/>
    <w:rsid w:val="008C53E4"/>
    <w:rsid w:val="008C5724"/>
    <w:rsid w:val="008C619A"/>
    <w:rsid w:val="008C6370"/>
    <w:rsid w:val="008C72F4"/>
    <w:rsid w:val="008D0CE8"/>
    <w:rsid w:val="008D10E9"/>
    <w:rsid w:val="008D2943"/>
    <w:rsid w:val="008D2D1D"/>
    <w:rsid w:val="008D36F4"/>
    <w:rsid w:val="008D4201"/>
    <w:rsid w:val="008D453D"/>
    <w:rsid w:val="008D5178"/>
    <w:rsid w:val="008D53AD"/>
    <w:rsid w:val="008D562B"/>
    <w:rsid w:val="008D5733"/>
    <w:rsid w:val="008D57E7"/>
    <w:rsid w:val="008D622B"/>
    <w:rsid w:val="008D666C"/>
    <w:rsid w:val="008D7B54"/>
    <w:rsid w:val="008E0104"/>
    <w:rsid w:val="008E0A95"/>
    <w:rsid w:val="008E0C9D"/>
    <w:rsid w:val="008E1436"/>
    <w:rsid w:val="008E1648"/>
    <w:rsid w:val="008E1B3E"/>
    <w:rsid w:val="008E2319"/>
    <w:rsid w:val="008E3BB2"/>
    <w:rsid w:val="008E4405"/>
    <w:rsid w:val="008E4948"/>
    <w:rsid w:val="008E4BB6"/>
    <w:rsid w:val="008E4CF8"/>
    <w:rsid w:val="008E5518"/>
    <w:rsid w:val="008E61F5"/>
    <w:rsid w:val="008E6A84"/>
    <w:rsid w:val="008E7446"/>
    <w:rsid w:val="008E75B1"/>
    <w:rsid w:val="008F0032"/>
    <w:rsid w:val="008F08BC"/>
    <w:rsid w:val="008F0B57"/>
    <w:rsid w:val="008F0CDC"/>
    <w:rsid w:val="008F14E8"/>
    <w:rsid w:val="008F17A3"/>
    <w:rsid w:val="008F1ED3"/>
    <w:rsid w:val="008F23A5"/>
    <w:rsid w:val="008F3DAD"/>
    <w:rsid w:val="008F4019"/>
    <w:rsid w:val="008F4AE5"/>
    <w:rsid w:val="008F4C29"/>
    <w:rsid w:val="008F50DA"/>
    <w:rsid w:val="008F70BD"/>
    <w:rsid w:val="008F76B5"/>
    <w:rsid w:val="008F788F"/>
    <w:rsid w:val="008F7EA2"/>
    <w:rsid w:val="00900431"/>
    <w:rsid w:val="0090075D"/>
    <w:rsid w:val="009013FA"/>
    <w:rsid w:val="009017AC"/>
    <w:rsid w:val="00902613"/>
    <w:rsid w:val="00902722"/>
    <w:rsid w:val="009027BC"/>
    <w:rsid w:val="00903754"/>
    <w:rsid w:val="009061D1"/>
    <w:rsid w:val="009062E6"/>
    <w:rsid w:val="0091102E"/>
    <w:rsid w:val="00911BE5"/>
    <w:rsid w:val="00911E3C"/>
    <w:rsid w:val="00913CA9"/>
    <w:rsid w:val="009145AE"/>
    <w:rsid w:val="009146CE"/>
    <w:rsid w:val="00914CA7"/>
    <w:rsid w:val="00915C3E"/>
    <w:rsid w:val="00916046"/>
    <w:rsid w:val="009161A8"/>
    <w:rsid w:val="009163D7"/>
    <w:rsid w:val="00916CF6"/>
    <w:rsid w:val="00917CD5"/>
    <w:rsid w:val="00920006"/>
    <w:rsid w:val="0092233D"/>
    <w:rsid w:val="00922D63"/>
    <w:rsid w:val="0092438C"/>
    <w:rsid w:val="009245F5"/>
    <w:rsid w:val="009249EC"/>
    <w:rsid w:val="00925AFC"/>
    <w:rsid w:val="009273B3"/>
    <w:rsid w:val="009273B9"/>
    <w:rsid w:val="00927ADB"/>
    <w:rsid w:val="00927C2C"/>
    <w:rsid w:val="009305B5"/>
    <w:rsid w:val="00930E9B"/>
    <w:rsid w:val="009313EE"/>
    <w:rsid w:val="00931FDE"/>
    <w:rsid w:val="00932442"/>
    <w:rsid w:val="00932D8E"/>
    <w:rsid w:val="0093390D"/>
    <w:rsid w:val="00934915"/>
    <w:rsid w:val="00935234"/>
    <w:rsid w:val="00935E30"/>
    <w:rsid w:val="00936E38"/>
    <w:rsid w:val="00940B39"/>
    <w:rsid w:val="00942186"/>
    <w:rsid w:val="009429D5"/>
    <w:rsid w:val="00942BF1"/>
    <w:rsid w:val="00942C14"/>
    <w:rsid w:val="009430F0"/>
    <w:rsid w:val="0094466A"/>
    <w:rsid w:val="0094466D"/>
    <w:rsid w:val="00945180"/>
    <w:rsid w:val="00945220"/>
    <w:rsid w:val="00945428"/>
    <w:rsid w:val="0094607B"/>
    <w:rsid w:val="00946D1B"/>
    <w:rsid w:val="0094751C"/>
    <w:rsid w:val="009476D6"/>
    <w:rsid w:val="00951E4D"/>
    <w:rsid w:val="0095315A"/>
    <w:rsid w:val="00953604"/>
    <w:rsid w:val="009536F6"/>
    <w:rsid w:val="0095496B"/>
    <w:rsid w:val="009555D4"/>
    <w:rsid w:val="009577A9"/>
    <w:rsid w:val="009608D1"/>
    <w:rsid w:val="009610DC"/>
    <w:rsid w:val="00961490"/>
    <w:rsid w:val="009626FD"/>
    <w:rsid w:val="0096381A"/>
    <w:rsid w:val="00963D36"/>
    <w:rsid w:val="009641E0"/>
    <w:rsid w:val="00964ACB"/>
    <w:rsid w:val="00965A08"/>
    <w:rsid w:val="00965E04"/>
    <w:rsid w:val="009660E6"/>
    <w:rsid w:val="00966A63"/>
    <w:rsid w:val="009674AD"/>
    <w:rsid w:val="00967584"/>
    <w:rsid w:val="0096761B"/>
    <w:rsid w:val="00970540"/>
    <w:rsid w:val="00970CDC"/>
    <w:rsid w:val="00972817"/>
    <w:rsid w:val="00977010"/>
    <w:rsid w:val="009772E5"/>
    <w:rsid w:val="00977D02"/>
    <w:rsid w:val="009809BB"/>
    <w:rsid w:val="00980E22"/>
    <w:rsid w:val="00980F1E"/>
    <w:rsid w:val="00980FF0"/>
    <w:rsid w:val="0098364B"/>
    <w:rsid w:val="00985D24"/>
    <w:rsid w:val="00986F28"/>
    <w:rsid w:val="00987381"/>
    <w:rsid w:val="009906C8"/>
    <w:rsid w:val="00990E20"/>
    <w:rsid w:val="009911AF"/>
    <w:rsid w:val="00991875"/>
    <w:rsid w:val="00991A99"/>
    <w:rsid w:val="00991F92"/>
    <w:rsid w:val="00992473"/>
    <w:rsid w:val="00992985"/>
    <w:rsid w:val="00993889"/>
    <w:rsid w:val="0099551B"/>
    <w:rsid w:val="00995D00"/>
    <w:rsid w:val="00995D22"/>
    <w:rsid w:val="00997167"/>
    <w:rsid w:val="00997BF1"/>
    <w:rsid w:val="00997E1B"/>
    <w:rsid w:val="009A089C"/>
    <w:rsid w:val="009A0993"/>
    <w:rsid w:val="009A118E"/>
    <w:rsid w:val="009A1E44"/>
    <w:rsid w:val="009A21CD"/>
    <w:rsid w:val="009A278C"/>
    <w:rsid w:val="009A2BC2"/>
    <w:rsid w:val="009A392A"/>
    <w:rsid w:val="009A395F"/>
    <w:rsid w:val="009A42C1"/>
    <w:rsid w:val="009A5429"/>
    <w:rsid w:val="009A566C"/>
    <w:rsid w:val="009A72AD"/>
    <w:rsid w:val="009B03BC"/>
    <w:rsid w:val="009B09E0"/>
    <w:rsid w:val="009B0BC5"/>
    <w:rsid w:val="009B112C"/>
    <w:rsid w:val="009B1247"/>
    <w:rsid w:val="009B3464"/>
    <w:rsid w:val="009B4239"/>
    <w:rsid w:val="009B6029"/>
    <w:rsid w:val="009B6971"/>
    <w:rsid w:val="009B6A16"/>
    <w:rsid w:val="009B71BB"/>
    <w:rsid w:val="009B7289"/>
    <w:rsid w:val="009B742A"/>
    <w:rsid w:val="009C06E9"/>
    <w:rsid w:val="009C0729"/>
    <w:rsid w:val="009C1977"/>
    <w:rsid w:val="009C2278"/>
    <w:rsid w:val="009C27F1"/>
    <w:rsid w:val="009C3152"/>
    <w:rsid w:val="009C40A9"/>
    <w:rsid w:val="009C4CFA"/>
    <w:rsid w:val="009C5070"/>
    <w:rsid w:val="009C77B2"/>
    <w:rsid w:val="009D04E7"/>
    <w:rsid w:val="009D112C"/>
    <w:rsid w:val="009D217A"/>
    <w:rsid w:val="009D252C"/>
    <w:rsid w:val="009D2A46"/>
    <w:rsid w:val="009D3015"/>
    <w:rsid w:val="009D47FA"/>
    <w:rsid w:val="009D4C5B"/>
    <w:rsid w:val="009D4CA4"/>
    <w:rsid w:val="009D50D2"/>
    <w:rsid w:val="009D6AD7"/>
    <w:rsid w:val="009D6BCA"/>
    <w:rsid w:val="009E0F62"/>
    <w:rsid w:val="009E25F8"/>
    <w:rsid w:val="009E35AE"/>
    <w:rsid w:val="009E39EC"/>
    <w:rsid w:val="009E4A58"/>
    <w:rsid w:val="009E55AC"/>
    <w:rsid w:val="009E5A2D"/>
    <w:rsid w:val="009E5AB2"/>
    <w:rsid w:val="009E5D61"/>
    <w:rsid w:val="009E6219"/>
    <w:rsid w:val="009F03B3"/>
    <w:rsid w:val="009F1884"/>
    <w:rsid w:val="009F1A00"/>
    <w:rsid w:val="009F2175"/>
    <w:rsid w:val="009F4C45"/>
    <w:rsid w:val="009F4D77"/>
    <w:rsid w:val="009F4E06"/>
    <w:rsid w:val="009F648C"/>
    <w:rsid w:val="009F7759"/>
    <w:rsid w:val="00A0096C"/>
    <w:rsid w:val="00A00A1C"/>
    <w:rsid w:val="00A00E21"/>
    <w:rsid w:val="00A01757"/>
    <w:rsid w:val="00A018B9"/>
    <w:rsid w:val="00A01965"/>
    <w:rsid w:val="00A01E9E"/>
    <w:rsid w:val="00A028C0"/>
    <w:rsid w:val="00A02BAE"/>
    <w:rsid w:val="00A02CCF"/>
    <w:rsid w:val="00A03705"/>
    <w:rsid w:val="00A04CE9"/>
    <w:rsid w:val="00A06A6B"/>
    <w:rsid w:val="00A06C54"/>
    <w:rsid w:val="00A07E47"/>
    <w:rsid w:val="00A104EF"/>
    <w:rsid w:val="00A1259D"/>
    <w:rsid w:val="00A129D0"/>
    <w:rsid w:val="00A12C33"/>
    <w:rsid w:val="00A1313F"/>
    <w:rsid w:val="00A138BA"/>
    <w:rsid w:val="00A14B23"/>
    <w:rsid w:val="00A14C8E"/>
    <w:rsid w:val="00A153D9"/>
    <w:rsid w:val="00A15474"/>
    <w:rsid w:val="00A15F09"/>
    <w:rsid w:val="00A1649C"/>
    <w:rsid w:val="00A169B6"/>
    <w:rsid w:val="00A172E1"/>
    <w:rsid w:val="00A1750F"/>
    <w:rsid w:val="00A20E26"/>
    <w:rsid w:val="00A2271D"/>
    <w:rsid w:val="00A22896"/>
    <w:rsid w:val="00A237D5"/>
    <w:rsid w:val="00A26FC2"/>
    <w:rsid w:val="00A2776E"/>
    <w:rsid w:val="00A30873"/>
    <w:rsid w:val="00A30EFC"/>
    <w:rsid w:val="00A31984"/>
    <w:rsid w:val="00A32950"/>
    <w:rsid w:val="00A32D73"/>
    <w:rsid w:val="00A3367B"/>
    <w:rsid w:val="00A33716"/>
    <w:rsid w:val="00A33930"/>
    <w:rsid w:val="00A3597D"/>
    <w:rsid w:val="00A36DD1"/>
    <w:rsid w:val="00A4006C"/>
    <w:rsid w:val="00A40091"/>
    <w:rsid w:val="00A400D9"/>
    <w:rsid w:val="00A4030F"/>
    <w:rsid w:val="00A409E3"/>
    <w:rsid w:val="00A41C79"/>
    <w:rsid w:val="00A41CB5"/>
    <w:rsid w:val="00A42CDF"/>
    <w:rsid w:val="00A43329"/>
    <w:rsid w:val="00A4335D"/>
    <w:rsid w:val="00A4452E"/>
    <w:rsid w:val="00A4472C"/>
    <w:rsid w:val="00A4475A"/>
    <w:rsid w:val="00A44E69"/>
    <w:rsid w:val="00A4661E"/>
    <w:rsid w:val="00A46BEE"/>
    <w:rsid w:val="00A47419"/>
    <w:rsid w:val="00A47C6D"/>
    <w:rsid w:val="00A47E42"/>
    <w:rsid w:val="00A5126A"/>
    <w:rsid w:val="00A51FF6"/>
    <w:rsid w:val="00A52C28"/>
    <w:rsid w:val="00A538D5"/>
    <w:rsid w:val="00A54868"/>
    <w:rsid w:val="00A54AD4"/>
    <w:rsid w:val="00A55BD6"/>
    <w:rsid w:val="00A55D50"/>
    <w:rsid w:val="00A57142"/>
    <w:rsid w:val="00A57E2A"/>
    <w:rsid w:val="00A62138"/>
    <w:rsid w:val="00A640D9"/>
    <w:rsid w:val="00A648CD"/>
    <w:rsid w:val="00A6537A"/>
    <w:rsid w:val="00A65B59"/>
    <w:rsid w:val="00A67866"/>
    <w:rsid w:val="00A67DA3"/>
    <w:rsid w:val="00A70B07"/>
    <w:rsid w:val="00A723F8"/>
    <w:rsid w:val="00A759D8"/>
    <w:rsid w:val="00A77CCB"/>
    <w:rsid w:val="00A803DB"/>
    <w:rsid w:val="00A81598"/>
    <w:rsid w:val="00A83D8D"/>
    <w:rsid w:val="00A8446B"/>
    <w:rsid w:val="00A8473F"/>
    <w:rsid w:val="00A86285"/>
    <w:rsid w:val="00A862D6"/>
    <w:rsid w:val="00A86A91"/>
    <w:rsid w:val="00A8715E"/>
    <w:rsid w:val="00A878D4"/>
    <w:rsid w:val="00A90605"/>
    <w:rsid w:val="00A92404"/>
    <w:rsid w:val="00A9295B"/>
    <w:rsid w:val="00A93B09"/>
    <w:rsid w:val="00A94247"/>
    <w:rsid w:val="00A9429F"/>
    <w:rsid w:val="00A94489"/>
    <w:rsid w:val="00A952D7"/>
    <w:rsid w:val="00A9551A"/>
    <w:rsid w:val="00A95B49"/>
    <w:rsid w:val="00A95F09"/>
    <w:rsid w:val="00A96310"/>
    <w:rsid w:val="00A963F7"/>
    <w:rsid w:val="00A96AD8"/>
    <w:rsid w:val="00AA052C"/>
    <w:rsid w:val="00AA0725"/>
    <w:rsid w:val="00AA0E82"/>
    <w:rsid w:val="00AA137E"/>
    <w:rsid w:val="00AA17AF"/>
    <w:rsid w:val="00AA1820"/>
    <w:rsid w:val="00AA1E45"/>
    <w:rsid w:val="00AA2B3D"/>
    <w:rsid w:val="00AA3132"/>
    <w:rsid w:val="00AA4041"/>
    <w:rsid w:val="00AA4286"/>
    <w:rsid w:val="00AA456B"/>
    <w:rsid w:val="00AA57F5"/>
    <w:rsid w:val="00AA5C11"/>
    <w:rsid w:val="00AA672E"/>
    <w:rsid w:val="00AA6EC9"/>
    <w:rsid w:val="00AA77F1"/>
    <w:rsid w:val="00AA7D9B"/>
    <w:rsid w:val="00AB1462"/>
    <w:rsid w:val="00AB28A4"/>
    <w:rsid w:val="00AB41D5"/>
    <w:rsid w:val="00AB4DD0"/>
    <w:rsid w:val="00AB6309"/>
    <w:rsid w:val="00AB6C5F"/>
    <w:rsid w:val="00AB6F6A"/>
    <w:rsid w:val="00AB7129"/>
    <w:rsid w:val="00AC27A6"/>
    <w:rsid w:val="00AC30F7"/>
    <w:rsid w:val="00AC3A5A"/>
    <w:rsid w:val="00AC4D8F"/>
    <w:rsid w:val="00AC4D95"/>
    <w:rsid w:val="00AC55BC"/>
    <w:rsid w:val="00AC5797"/>
    <w:rsid w:val="00AC5DF4"/>
    <w:rsid w:val="00AC65BD"/>
    <w:rsid w:val="00AC6674"/>
    <w:rsid w:val="00AD0AEF"/>
    <w:rsid w:val="00AD11B7"/>
    <w:rsid w:val="00AD1A94"/>
    <w:rsid w:val="00AD1C05"/>
    <w:rsid w:val="00AD3D97"/>
    <w:rsid w:val="00AD4126"/>
    <w:rsid w:val="00AD421C"/>
    <w:rsid w:val="00AD44FA"/>
    <w:rsid w:val="00AD54BF"/>
    <w:rsid w:val="00AD5B18"/>
    <w:rsid w:val="00AD7C1F"/>
    <w:rsid w:val="00AE070A"/>
    <w:rsid w:val="00AE0C29"/>
    <w:rsid w:val="00AE101C"/>
    <w:rsid w:val="00AE37E5"/>
    <w:rsid w:val="00AE38DF"/>
    <w:rsid w:val="00AE5EB4"/>
    <w:rsid w:val="00AE67CD"/>
    <w:rsid w:val="00AF044D"/>
    <w:rsid w:val="00AF0C18"/>
    <w:rsid w:val="00AF24D9"/>
    <w:rsid w:val="00AF3543"/>
    <w:rsid w:val="00AF38D7"/>
    <w:rsid w:val="00AF3D88"/>
    <w:rsid w:val="00AF42F6"/>
    <w:rsid w:val="00AF47C5"/>
    <w:rsid w:val="00AF5398"/>
    <w:rsid w:val="00AF53FE"/>
    <w:rsid w:val="00AF6097"/>
    <w:rsid w:val="00AF78C9"/>
    <w:rsid w:val="00B0079E"/>
    <w:rsid w:val="00B01228"/>
    <w:rsid w:val="00B02608"/>
    <w:rsid w:val="00B0327F"/>
    <w:rsid w:val="00B046F7"/>
    <w:rsid w:val="00B049AF"/>
    <w:rsid w:val="00B0605D"/>
    <w:rsid w:val="00B06664"/>
    <w:rsid w:val="00B07242"/>
    <w:rsid w:val="00B10534"/>
    <w:rsid w:val="00B10688"/>
    <w:rsid w:val="00B1136A"/>
    <w:rsid w:val="00B113DB"/>
    <w:rsid w:val="00B11D8A"/>
    <w:rsid w:val="00B123DC"/>
    <w:rsid w:val="00B12981"/>
    <w:rsid w:val="00B147DD"/>
    <w:rsid w:val="00B156FD"/>
    <w:rsid w:val="00B15C63"/>
    <w:rsid w:val="00B16D09"/>
    <w:rsid w:val="00B20F6B"/>
    <w:rsid w:val="00B21F61"/>
    <w:rsid w:val="00B22A2C"/>
    <w:rsid w:val="00B22C4B"/>
    <w:rsid w:val="00B23BCC"/>
    <w:rsid w:val="00B25C5C"/>
    <w:rsid w:val="00B261F1"/>
    <w:rsid w:val="00B262FA"/>
    <w:rsid w:val="00B265BC"/>
    <w:rsid w:val="00B26F03"/>
    <w:rsid w:val="00B27106"/>
    <w:rsid w:val="00B313A6"/>
    <w:rsid w:val="00B31A71"/>
    <w:rsid w:val="00B31F3D"/>
    <w:rsid w:val="00B31FB1"/>
    <w:rsid w:val="00B32374"/>
    <w:rsid w:val="00B324AC"/>
    <w:rsid w:val="00B32CA2"/>
    <w:rsid w:val="00B33952"/>
    <w:rsid w:val="00B33C5E"/>
    <w:rsid w:val="00B342F4"/>
    <w:rsid w:val="00B34369"/>
    <w:rsid w:val="00B34DC2"/>
    <w:rsid w:val="00B34F90"/>
    <w:rsid w:val="00B354F7"/>
    <w:rsid w:val="00B378E5"/>
    <w:rsid w:val="00B40057"/>
    <w:rsid w:val="00B416BA"/>
    <w:rsid w:val="00B42243"/>
    <w:rsid w:val="00B4238A"/>
    <w:rsid w:val="00B426F5"/>
    <w:rsid w:val="00B42A9A"/>
    <w:rsid w:val="00B4346D"/>
    <w:rsid w:val="00B43D61"/>
    <w:rsid w:val="00B440F4"/>
    <w:rsid w:val="00B444D3"/>
    <w:rsid w:val="00B447A5"/>
    <w:rsid w:val="00B45159"/>
    <w:rsid w:val="00B454A5"/>
    <w:rsid w:val="00B46518"/>
    <w:rsid w:val="00B4654C"/>
    <w:rsid w:val="00B47293"/>
    <w:rsid w:val="00B50E50"/>
    <w:rsid w:val="00B515B8"/>
    <w:rsid w:val="00B51A54"/>
    <w:rsid w:val="00B520DB"/>
    <w:rsid w:val="00B52120"/>
    <w:rsid w:val="00B53228"/>
    <w:rsid w:val="00B53965"/>
    <w:rsid w:val="00B53A01"/>
    <w:rsid w:val="00B54ABC"/>
    <w:rsid w:val="00B54DDE"/>
    <w:rsid w:val="00B55035"/>
    <w:rsid w:val="00B5607F"/>
    <w:rsid w:val="00B5667D"/>
    <w:rsid w:val="00B56FBE"/>
    <w:rsid w:val="00B57657"/>
    <w:rsid w:val="00B60ACF"/>
    <w:rsid w:val="00B60F9D"/>
    <w:rsid w:val="00B61E83"/>
    <w:rsid w:val="00B61F27"/>
    <w:rsid w:val="00B624A0"/>
    <w:rsid w:val="00B62B58"/>
    <w:rsid w:val="00B6466B"/>
    <w:rsid w:val="00B65149"/>
    <w:rsid w:val="00B66233"/>
    <w:rsid w:val="00B66567"/>
    <w:rsid w:val="00B66A12"/>
    <w:rsid w:val="00B66F52"/>
    <w:rsid w:val="00B66FE5"/>
    <w:rsid w:val="00B67509"/>
    <w:rsid w:val="00B678F9"/>
    <w:rsid w:val="00B67C6E"/>
    <w:rsid w:val="00B67CFF"/>
    <w:rsid w:val="00B71DBE"/>
    <w:rsid w:val="00B72880"/>
    <w:rsid w:val="00B7306C"/>
    <w:rsid w:val="00B745E1"/>
    <w:rsid w:val="00B75305"/>
    <w:rsid w:val="00B758BF"/>
    <w:rsid w:val="00B7627D"/>
    <w:rsid w:val="00B77215"/>
    <w:rsid w:val="00B77EC8"/>
    <w:rsid w:val="00B80087"/>
    <w:rsid w:val="00B80E52"/>
    <w:rsid w:val="00B827A6"/>
    <w:rsid w:val="00B831CE"/>
    <w:rsid w:val="00B84390"/>
    <w:rsid w:val="00B843BD"/>
    <w:rsid w:val="00B85020"/>
    <w:rsid w:val="00B86677"/>
    <w:rsid w:val="00B86D72"/>
    <w:rsid w:val="00B87131"/>
    <w:rsid w:val="00B87342"/>
    <w:rsid w:val="00B875F8"/>
    <w:rsid w:val="00B87A57"/>
    <w:rsid w:val="00B908CE"/>
    <w:rsid w:val="00B91316"/>
    <w:rsid w:val="00B9173F"/>
    <w:rsid w:val="00B91CB3"/>
    <w:rsid w:val="00B9323A"/>
    <w:rsid w:val="00B939B1"/>
    <w:rsid w:val="00B96110"/>
    <w:rsid w:val="00B9635F"/>
    <w:rsid w:val="00B966A1"/>
    <w:rsid w:val="00B96D40"/>
    <w:rsid w:val="00B97169"/>
    <w:rsid w:val="00B97386"/>
    <w:rsid w:val="00B97584"/>
    <w:rsid w:val="00B97EC6"/>
    <w:rsid w:val="00BA0E4A"/>
    <w:rsid w:val="00BA1B2C"/>
    <w:rsid w:val="00BA263B"/>
    <w:rsid w:val="00BA2A07"/>
    <w:rsid w:val="00BA2F23"/>
    <w:rsid w:val="00BA3FF9"/>
    <w:rsid w:val="00BA42B2"/>
    <w:rsid w:val="00BA58D4"/>
    <w:rsid w:val="00BA5B9E"/>
    <w:rsid w:val="00BA5DDE"/>
    <w:rsid w:val="00BA6816"/>
    <w:rsid w:val="00BA7C9A"/>
    <w:rsid w:val="00BB0347"/>
    <w:rsid w:val="00BB35DB"/>
    <w:rsid w:val="00BB3D8A"/>
    <w:rsid w:val="00BB3F1B"/>
    <w:rsid w:val="00BB5BAA"/>
    <w:rsid w:val="00BB5F8F"/>
    <w:rsid w:val="00BB657A"/>
    <w:rsid w:val="00BB6769"/>
    <w:rsid w:val="00BB6C73"/>
    <w:rsid w:val="00BB754F"/>
    <w:rsid w:val="00BC1A4E"/>
    <w:rsid w:val="00BC2F0B"/>
    <w:rsid w:val="00BC3D90"/>
    <w:rsid w:val="00BC3E43"/>
    <w:rsid w:val="00BC5DC7"/>
    <w:rsid w:val="00BC5FF9"/>
    <w:rsid w:val="00BC6B27"/>
    <w:rsid w:val="00BC6B8B"/>
    <w:rsid w:val="00BC70D9"/>
    <w:rsid w:val="00BC73D8"/>
    <w:rsid w:val="00BD0659"/>
    <w:rsid w:val="00BD0892"/>
    <w:rsid w:val="00BD1189"/>
    <w:rsid w:val="00BD175F"/>
    <w:rsid w:val="00BD2636"/>
    <w:rsid w:val="00BD52D7"/>
    <w:rsid w:val="00BD5AD2"/>
    <w:rsid w:val="00BD7975"/>
    <w:rsid w:val="00BD7DB6"/>
    <w:rsid w:val="00BE06C0"/>
    <w:rsid w:val="00BE225A"/>
    <w:rsid w:val="00BE22F3"/>
    <w:rsid w:val="00BE316F"/>
    <w:rsid w:val="00BE4163"/>
    <w:rsid w:val="00BE4BCC"/>
    <w:rsid w:val="00BE5062"/>
    <w:rsid w:val="00BE5B52"/>
    <w:rsid w:val="00BE6A41"/>
    <w:rsid w:val="00BE7B8D"/>
    <w:rsid w:val="00BF01B3"/>
    <w:rsid w:val="00BF037F"/>
    <w:rsid w:val="00BF0993"/>
    <w:rsid w:val="00BF10A9"/>
    <w:rsid w:val="00BF1703"/>
    <w:rsid w:val="00BF231C"/>
    <w:rsid w:val="00BF2593"/>
    <w:rsid w:val="00BF310B"/>
    <w:rsid w:val="00BF3E6B"/>
    <w:rsid w:val="00BF44B4"/>
    <w:rsid w:val="00BF51E5"/>
    <w:rsid w:val="00BF6CAB"/>
    <w:rsid w:val="00BF74A6"/>
    <w:rsid w:val="00BF79FB"/>
    <w:rsid w:val="00C013AD"/>
    <w:rsid w:val="00C01BCF"/>
    <w:rsid w:val="00C01D9C"/>
    <w:rsid w:val="00C0211C"/>
    <w:rsid w:val="00C041A4"/>
    <w:rsid w:val="00C0460F"/>
    <w:rsid w:val="00C04904"/>
    <w:rsid w:val="00C04A83"/>
    <w:rsid w:val="00C056B3"/>
    <w:rsid w:val="00C058E9"/>
    <w:rsid w:val="00C06702"/>
    <w:rsid w:val="00C103E5"/>
    <w:rsid w:val="00C13319"/>
    <w:rsid w:val="00C13887"/>
    <w:rsid w:val="00C13EE9"/>
    <w:rsid w:val="00C14F64"/>
    <w:rsid w:val="00C1564D"/>
    <w:rsid w:val="00C16865"/>
    <w:rsid w:val="00C20D7E"/>
    <w:rsid w:val="00C21540"/>
    <w:rsid w:val="00C215D4"/>
    <w:rsid w:val="00C21906"/>
    <w:rsid w:val="00C21A6E"/>
    <w:rsid w:val="00C21BFA"/>
    <w:rsid w:val="00C21DC0"/>
    <w:rsid w:val="00C22148"/>
    <w:rsid w:val="00C2388A"/>
    <w:rsid w:val="00C243ED"/>
    <w:rsid w:val="00C24C8D"/>
    <w:rsid w:val="00C25E03"/>
    <w:rsid w:val="00C25FE2"/>
    <w:rsid w:val="00C265B4"/>
    <w:rsid w:val="00C26B53"/>
    <w:rsid w:val="00C26BAB"/>
    <w:rsid w:val="00C2730E"/>
    <w:rsid w:val="00C279B2"/>
    <w:rsid w:val="00C30B29"/>
    <w:rsid w:val="00C31F15"/>
    <w:rsid w:val="00C33E50"/>
    <w:rsid w:val="00C34C20"/>
    <w:rsid w:val="00C35A3E"/>
    <w:rsid w:val="00C36FC2"/>
    <w:rsid w:val="00C37C2D"/>
    <w:rsid w:val="00C41651"/>
    <w:rsid w:val="00C42130"/>
    <w:rsid w:val="00C423A4"/>
    <w:rsid w:val="00C424E2"/>
    <w:rsid w:val="00C429A9"/>
    <w:rsid w:val="00C4384F"/>
    <w:rsid w:val="00C449D6"/>
    <w:rsid w:val="00C44BF5"/>
    <w:rsid w:val="00C51F39"/>
    <w:rsid w:val="00C521D6"/>
    <w:rsid w:val="00C52454"/>
    <w:rsid w:val="00C52A16"/>
    <w:rsid w:val="00C52E17"/>
    <w:rsid w:val="00C53434"/>
    <w:rsid w:val="00C539F7"/>
    <w:rsid w:val="00C55232"/>
    <w:rsid w:val="00C553A4"/>
    <w:rsid w:val="00C55A06"/>
    <w:rsid w:val="00C55D03"/>
    <w:rsid w:val="00C566CE"/>
    <w:rsid w:val="00C575D8"/>
    <w:rsid w:val="00C57B3E"/>
    <w:rsid w:val="00C601BC"/>
    <w:rsid w:val="00C6194E"/>
    <w:rsid w:val="00C61B35"/>
    <w:rsid w:val="00C63226"/>
    <w:rsid w:val="00C6329F"/>
    <w:rsid w:val="00C63340"/>
    <w:rsid w:val="00C63E39"/>
    <w:rsid w:val="00C64287"/>
    <w:rsid w:val="00C643F9"/>
    <w:rsid w:val="00C6489D"/>
    <w:rsid w:val="00C64E95"/>
    <w:rsid w:val="00C659EB"/>
    <w:rsid w:val="00C71372"/>
    <w:rsid w:val="00C72410"/>
    <w:rsid w:val="00C726CF"/>
    <w:rsid w:val="00C7287F"/>
    <w:rsid w:val="00C730E0"/>
    <w:rsid w:val="00C73160"/>
    <w:rsid w:val="00C73866"/>
    <w:rsid w:val="00C73BA2"/>
    <w:rsid w:val="00C74076"/>
    <w:rsid w:val="00C741B7"/>
    <w:rsid w:val="00C74271"/>
    <w:rsid w:val="00C76CEB"/>
    <w:rsid w:val="00C80CB8"/>
    <w:rsid w:val="00C810DE"/>
    <w:rsid w:val="00C819F8"/>
    <w:rsid w:val="00C81D53"/>
    <w:rsid w:val="00C82192"/>
    <w:rsid w:val="00C822A7"/>
    <w:rsid w:val="00C8248C"/>
    <w:rsid w:val="00C8381F"/>
    <w:rsid w:val="00C83A7B"/>
    <w:rsid w:val="00C8446A"/>
    <w:rsid w:val="00C84CE0"/>
    <w:rsid w:val="00C84E33"/>
    <w:rsid w:val="00C8583F"/>
    <w:rsid w:val="00C86D6F"/>
    <w:rsid w:val="00C8719C"/>
    <w:rsid w:val="00C905FC"/>
    <w:rsid w:val="00C9283E"/>
    <w:rsid w:val="00C92D03"/>
    <w:rsid w:val="00C9319C"/>
    <w:rsid w:val="00C9335C"/>
    <w:rsid w:val="00C9435D"/>
    <w:rsid w:val="00C94DF2"/>
    <w:rsid w:val="00C96741"/>
    <w:rsid w:val="00C9746C"/>
    <w:rsid w:val="00CA2D1B"/>
    <w:rsid w:val="00CA2F15"/>
    <w:rsid w:val="00CA375D"/>
    <w:rsid w:val="00CA4D33"/>
    <w:rsid w:val="00CA5486"/>
    <w:rsid w:val="00CA5BAA"/>
    <w:rsid w:val="00CA662A"/>
    <w:rsid w:val="00CA7AFD"/>
    <w:rsid w:val="00CA7C3C"/>
    <w:rsid w:val="00CB0189"/>
    <w:rsid w:val="00CB0430"/>
    <w:rsid w:val="00CB05C4"/>
    <w:rsid w:val="00CB0BA2"/>
    <w:rsid w:val="00CB1208"/>
    <w:rsid w:val="00CB1A42"/>
    <w:rsid w:val="00CB1B0C"/>
    <w:rsid w:val="00CB2C0B"/>
    <w:rsid w:val="00CB4BA6"/>
    <w:rsid w:val="00CB517D"/>
    <w:rsid w:val="00CB780D"/>
    <w:rsid w:val="00CC015B"/>
    <w:rsid w:val="00CC038D"/>
    <w:rsid w:val="00CC08DB"/>
    <w:rsid w:val="00CC1689"/>
    <w:rsid w:val="00CC28D9"/>
    <w:rsid w:val="00CC39FF"/>
    <w:rsid w:val="00CC3C2F"/>
    <w:rsid w:val="00CC43F5"/>
    <w:rsid w:val="00CC4AC8"/>
    <w:rsid w:val="00CC4C38"/>
    <w:rsid w:val="00CC5233"/>
    <w:rsid w:val="00CC55F5"/>
    <w:rsid w:val="00CC5DE6"/>
    <w:rsid w:val="00CC6848"/>
    <w:rsid w:val="00CC6E4E"/>
    <w:rsid w:val="00CC6FE8"/>
    <w:rsid w:val="00CC7202"/>
    <w:rsid w:val="00CD0103"/>
    <w:rsid w:val="00CD0B85"/>
    <w:rsid w:val="00CD1174"/>
    <w:rsid w:val="00CD15F0"/>
    <w:rsid w:val="00CD1B47"/>
    <w:rsid w:val="00CD1C9A"/>
    <w:rsid w:val="00CD2808"/>
    <w:rsid w:val="00CD28BF"/>
    <w:rsid w:val="00CD3644"/>
    <w:rsid w:val="00CD385E"/>
    <w:rsid w:val="00CD38E8"/>
    <w:rsid w:val="00CD39ED"/>
    <w:rsid w:val="00CD4018"/>
    <w:rsid w:val="00CD4092"/>
    <w:rsid w:val="00CD416C"/>
    <w:rsid w:val="00CD4A20"/>
    <w:rsid w:val="00CD50A1"/>
    <w:rsid w:val="00CD519E"/>
    <w:rsid w:val="00CE0C4F"/>
    <w:rsid w:val="00CE21EA"/>
    <w:rsid w:val="00CE30EA"/>
    <w:rsid w:val="00CE37BD"/>
    <w:rsid w:val="00CE396F"/>
    <w:rsid w:val="00CE4208"/>
    <w:rsid w:val="00CE48DE"/>
    <w:rsid w:val="00CE603B"/>
    <w:rsid w:val="00CE6635"/>
    <w:rsid w:val="00CF048A"/>
    <w:rsid w:val="00CF0B02"/>
    <w:rsid w:val="00CF14D3"/>
    <w:rsid w:val="00CF155A"/>
    <w:rsid w:val="00CF1F7E"/>
    <w:rsid w:val="00CF283D"/>
    <w:rsid w:val="00CF2947"/>
    <w:rsid w:val="00CF29C6"/>
    <w:rsid w:val="00CF350C"/>
    <w:rsid w:val="00CF3751"/>
    <w:rsid w:val="00CF3D2D"/>
    <w:rsid w:val="00CF3E34"/>
    <w:rsid w:val="00CF3E6B"/>
    <w:rsid w:val="00CF664C"/>
    <w:rsid w:val="00CF686F"/>
    <w:rsid w:val="00CF6E60"/>
    <w:rsid w:val="00CF7BCA"/>
    <w:rsid w:val="00D007B2"/>
    <w:rsid w:val="00D008FD"/>
    <w:rsid w:val="00D012A8"/>
    <w:rsid w:val="00D02511"/>
    <w:rsid w:val="00D02811"/>
    <w:rsid w:val="00D0309D"/>
    <w:rsid w:val="00D0321C"/>
    <w:rsid w:val="00D035EC"/>
    <w:rsid w:val="00D058D7"/>
    <w:rsid w:val="00D06AB1"/>
    <w:rsid w:val="00D072ED"/>
    <w:rsid w:val="00D07A16"/>
    <w:rsid w:val="00D1011B"/>
    <w:rsid w:val="00D1067E"/>
    <w:rsid w:val="00D10F50"/>
    <w:rsid w:val="00D11272"/>
    <w:rsid w:val="00D11873"/>
    <w:rsid w:val="00D126F5"/>
    <w:rsid w:val="00D1489E"/>
    <w:rsid w:val="00D156EE"/>
    <w:rsid w:val="00D159D6"/>
    <w:rsid w:val="00D161B9"/>
    <w:rsid w:val="00D16A62"/>
    <w:rsid w:val="00D20613"/>
    <w:rsid w:val="00D20731"/>
    <w:rsid w:val="00D20737"/>
    <w:rsid w:val="00D21E81"/>
    <w:rsid w:val="00D22154"/>
    <w:rsid w:val="00D223DE"/>
    <w:rsid w:val="00D23763"/>
    <w:rsid w:val="00D25364"/>
    <w:rsid w:val="00D25656"/>
    <w:rsid w:val="00D25E37"/>
    <w:rsid w:val="00D2661A"/>
    <w:rsid w:val="00D27103"/>
    <w:rsid w:val="00D27582"/>
    <w:rsid w:val="00D27EC4"/>
    <w:rsid w:val="00D3086B"/>
    <w:rsid w:val="00D30A30"/>
    <w:rsid w:val="00D32719"/>
    <w:rsid w:val="00D330D9"/>
    <w:rsid w:val="00D3311A"/>
    <w:rsid w:val="00D33333"/>
    <w:rsid w:val="00D33457"/>
    <w:rsid w:val="00D33B0C"/>
    <w:rsid w:val="00D33D9B"/>
    <w:rsid w:val="00D34C25"/>
    <w:rsid w:val="00D352A2"/>
    <w:rsid w:val="00D35959"/>
    <w:rsid w:val="00D36F9C"/>
    <w:rsid w:val="00D37B50"/>
    <w:rsid w:val="00D4162B"/>
    <w:rsid w:val="00D419AF"/>
    <w:rsid w:val="00D425A1"/>
    <w:rsid w:val="00D42ED5"/>
    <w:rsid w:val="00D43296"/>
    <w:rsid w:val="00D4514F"/>
    <w:rsid w:val="00D451E2"/>
    <w:rsid w:val="00D457E6"/>
    <w:rsid w:val="00D45E89"/>
    <w:rsid w:val="00D45E8D"/>
    <w:rsid w:val="00D466AE"/>
    <w:rsid w:val="00D4734F"/>
    <w:rsid w:val="00D500E0"/>
    <w:rsid w:val="00D50A4D"/>
    <w:rsid w:val="00D51BF3"/>
    <w:rsid w:val="00D52B7E"/>
    <w:rsid w:val="00D554F0"/>
    <w:rsid w:val="00D5630F"/>
    <w:rsid w:val="00D56BA0"/>
    <w:rsid w:val="00D5719A"/>
    <w:rsid w:val="00D572A9"/>
    <w:rsid w:val="00D578D2"/>
    <w:rsid w:val="00D60180"/>
    <w:rsid w:val="00D6146B"/>
    <w:rsid w:val="00D61485"/>
    <w:rsid w:val="00D61AF5"/>
    <w:rsid w:val="00D62597"/>
    <w:rsid w:val="00D629AF"/>
    <w:rsid w:val="00D63A4B"/>
    <w:rsid w:val="00D64C4C"/>
    <w:rsid w:val="00D65437"/>
    <w:rsid w:val="00D65594"/>
    <w:rsid w:val="00D65629"/>
    <w:rsid w:val="00D6565A"/>
    <w:rsid w:val="00D666E0"/>
    <w:rsid w:val="00D66846"/>
    <w:rsid w:val="00D675FB"/>
    <w:rsid w:val="00D703EA"/>
    <w:rsid w:val="00D71F25"/>
    <w:rsid w:val="00D72423"/>
    <w:rsid w:val="00D72A9C"/>
    <w:rsid w:val="00D73FC7"/>
    <w:rsid w:val="00D74FC3"/>
    <w:rsid w:val="00D77031"/>
    <w:rsid w:val="00D7759C"/>
    <w:rsid w:val="00D80716"/>
    <w:rsid w:val="00D80FA3"/>
    <w:rsid w:val="00D811AC"/>
    <w:rsid w:val="00D812A5"/>
    <w:rsid w:val="00D83FA5"/>
    <w:rsid w:val="00D84941"/>
    <w:rsid w:val="00D84A57"/>
    <w:rsid w:val="00D84FA1"/>
    <w:rsid w:val="00D851F0"/>
    <w:rsid w:val="00D8546D"/>
    <w:rsid w:val="00D8586F"/>
    <w:rsid w:val="00D85AF1"/>
    <w:rsid w:val="00D8672D"/>
    <w:rsid w:val="00D86DB7"/>
    <w:rsid w:val="00D90A98"/>
    <w:rsid w:val="00D9106C"/>
    <w:rsid w:val="00D926D0"/>
    <w:rsid w:val="00D92D8A"/>
    <w:rsid w:val="00D93030"/>
    <w:rsid w:val="00D93D94"/>
    <w:rsid w:val="00D94926"/>
    <w:rsid w:val="00D950E1"/>
    <w:rsid w:val="00D952A6"/>
    <w:rsid w:val="00D9532E"/>
    <w:rsid w:val="00D9546A"/>
    <w:rsid w:val="00D96936"/>
    <w:rsid w:val="00D97F99"/>
    <w:rsid w:val="00DA07B5"/>
    <w:rsid w:val="00DA0B6D"/>
    <w:rsid w:val="00DA1E08"/>
    <w:rsid w:val="00DA24F8"/>
    <w:rsid w:val="00DA28E8"/>
    <w:rsid w:val="00DA2AE4"/>
    <w:rsid w:val="00DA2B9C"/>
    <w:rsid w:val="00DA38CA"/>
    <w:rsid w:val="00DA38D3"/>
    <w:rsid w:val="00DA3932"/>
    <w:rsid w:val="00DA3AFC"/>
    <w:rsid w:val="00DA448E"/>
    <w:rsid w:val="00DA6300"/>
    <w:rsid w:val="00DA6325"/>
    <w:rsid w:val="00DA64F8"/>
    <w:rsid w:val="00DA6C15"/>
    <w:rsid w:val="00DB0258"/>
    <w:rsid w:val="00DB0C27"/>
    <w:rsid w:val="00DB13BD"/>
    <w:rsid w:val="00DB1552"/>
    <w:rsid w:val="00DB185B"/>
    <w:rsid w:val="00DB38EE"/>
    <w:rsid w:val="00DB45D5"/>
    <w:rsid w:val="00DB498B"/>
    <w:rsid w:val="00DB52F9"/>
    <w:rsid w:val="00DB63AA"/>
    <w:rsid w:val="00DB66CA"/>
    <w:rsid w:val="00DB67FD"/>
    <w:rsid w:val="00DB6B45"/>
    <w:rsid w:val="00DB6BCA"/>
    <w:rsid w:val="00DB73F7"/>
    <w:rsid w:val="00DC0321"/>
    <w:rsid w:val="00DC23F6"/>
    <w:rsid w:val="00DC2B58"/>
    <w:rsid w:val="00DC3067"/>
    <w:rsid w:val="00DC31AC"/>
    <w:rsid w:val="00DC370B"/>
    <w:rsid w:val="00DC4251"/>
    <w:rsid w:val="00DC4A92"/>
    <w:rsid w:val="00DC4DFF"/>
    <w:rsid w:val="00DC5B90"/>
    <w:rsid w:val="00DC634A"/>
    <w:rsid w:val="00DD00FF"/>
    <w:rsid w:val="00DD0619"/>
    <w:rsid w:val="00DD07FB"/>
    <w:rsid w:val="00DD25C6"/>
    <w:rsid w:val="00DD303D"/>
    <w:rsid w:val="00DD33A5"/>
    <w:rsid w:val="00DD38D8"/>
    <w:rsid w:val="00DD4FE5"/>
    <w:rsid w:val="00DD54B0"/>
    <w:rsid w:val="00DD57EE"/>
    <w:rsid w:val="00DD5902"/>
    <w:rsid w:val="00DD5A13"/>
    <w:rsid w:val="00DD66A2"/>
    <w:rsid w:val="00DD6BCC"/>
    <w:rsid w:val="00DD7469"/>
    <w:rsid w:val="00DE0A4B"/>
    <w:rsid w:val="00DE0B9D"/>
    <w:rsid w:val="00DE104B"/>
    <w:rsid w:val="00DE1329"/>
    <w:rsid w:val="00DE1EB6"/>
    <w:rsid w:val="00DE2410"/>
    <w:rsid w:val="00DE2939"/>
    <w:rsid w:val="00DE4DC2"/>
    <w:rsid w:val="00DE5F3E"/>
    <w:rsid w:val="00DE6E81"/>
    <w:rsid w:val="00DE703F"/>
    <w:rsid w:val="00DE7595"/>
    <w:rsid w:val="00DF1961"/>
    <w:rsid w:val="00DF2892"/>
    <w:rsid w:val="00DF4171"/>
    <w:rsid w:val="00DF44DE"/>
    <w:rsid w:val="00DF5F11"/>
    <w:rsid w:val="00E0000E"/>
    <w:rsid w:val="00E00EB7"/>
    <w:rsid w:val="00E01138"/>
    <w:rsid w:val="00E02DFB"/>
    <w:rsid w:val="00E02F84"/>
    <w:rsid w:val="00E030F9"/>
    <w:rsid w:val="00E0311A"/>
    <w:rsid w:val="00E03138"/>
    <w:rsid w:val="00E03A7E"/>
    <w:rsid w:val="00E06404"/>
    <w:rsid w:val="00E06861"/>
    <w:rsid w:val="00E07A42"/>
    <w:rsid w:val="00E10144"/>
    <w:rsid w:val="00E10573"/>
    <w:rsid w:val="00E11196"/>
    <w:rsid w:val="00E11278"/>
    <w:rsid w:val="00E11A85"/>
    <w:rsid w:val="00E12495"/>
    <w:rsid w:val="00E12C51"/>
    <w:rsid w:val="00E1415A"/>
    <w:rsid w:val="00E15CCD"/>
    <w:rsid w:val="00E163D2"/>
    <w:rsid w:val="00E202EF"/>
    <w:rsid w:val="00E210B5"/>
    <w:rsid w:val="00E22744"/>
    <w:rsid w:val="00E23D99"/>
    <w:rsid w:val="00E24392"/>
    <w:rsid w:val="00E24482"/>
    <w:rsid w:val="00E2552F"/>
    <w:rsid w:val="00E25AFD"/>
    <w:rsid w:val="00E26033"/>
    <w:rsid w:val="00E27D3F"/>
    <w:rsid w:val="00E300CD"/>
    <w:rsid w:val="00E3137A"/>
    <w:rsid w:val="00E31EB4"/>
    <w:rsid w:val="00E32CCF"/>
    <w:rsid w:val="00E32DC8"/>
    <w:rsid w:val="00E33B57"/>
    <w:rsid w:val="00E34A98"/>
    <w:rsid w:val="00E35D1E"/>
    <w:rsid w:val="00E36187"/>
    <w:rsid w:val="00E364F9"/>
    <w:rsid w:val="00E365FA"/>
    <w:rsid w:val="00E36789"/>
    <w:rsid w:val="00E37F05"/>
    <w:rsid w:val="00E41005"/>
    <w:rsid w:val="00E4189F"/>
    <w:rsid w:val="00E43FD2"/>
    <w:rsid w:val="00E44A83"/>
    <w:rsid w:val="00E455B7"/>
    <w:rsid w:val="00E460C0"/>
    <w:rsid w:val="00E502C1"/>
    <w:rsid w:val="00E502DD"/>
    <w:rsid w:val="00E50D3A"/>
    <w:rsid w:val="00E512CF"/>
    <w:rsid w:val="00E51387"/>
    <w:rsid w:val="00E51E68"/>
    <w:rsid w:val="00E52EFD"/>
    <w:rsid w:val="00E5408A"/>
    <w:rsid w:val="00E54C2F"/>
    <w:rsid w:val="00E562D6"/>
    <w:rsid w:val="00E56800"/>
    <w:rsid w:val="00E56B8C"/>
    <w:rsid w:val="00E57326"/>
    <w:rsid w:val="00E60155"/>
    <w:rsid w:val="00E60C63"/>
    <w:rsid w:val="00E60DEE"/>
    <w:rsid w:val="00E62FF9"/>
    <w:rsid w:val="00E635D6"/>
    <w:rsid w:val="00E639BC"/>
    <w:rsid w:val="00E664CC"/>
    <w:rsid w:val="00E66C6B"/>
    <w:rsid w:val="00E679DB"/>
    <w:rsid w:val="00E70388"/>
    <w:rsid w:val="00E70F92"/>
    <w:rsid w:val="00E7105A"/>
    <w:rsid w:val="00E72A3B"/>
    <w:rsid w:val="00E74794"/>
    <w:rsid w:val="00E74C54"/>
    <w:rsid w:val="00E758B8"/>
    <w:rsid w:val="00E75A6C"/>
    <w:rsid w:val="00E75C91"/>
    <w:rsid w:val="00E7660C"/>
    <w:rsid w:val="00E76EF2"/>
    <w:rsid w:val="00E77546"/>
    <w:rsid w:val="00E77A03"/>
    <w:rsid w:val="00E81460"/>
    <w:rsid w:val="00E822E8"/>
    <w:rsid w:val="00E82554"/>
    <w:rsid w:val="00E82606"/>
    <w:rsid w:val="00E846C8"/>
    <w:rsid w:val="00E84957"/>
    <w:rsid w:val="00E84A55"/>
    <w:rsid w:val="00E8537D"/>
    <w:rsid w:val="00E85BFF"/>
    <w:rsid w:val="00E8682F"/>
    <w:rsid w:val="00E90391"/>
    <w:rsid w:val="00E90578"/>
    <w:rsid w:val="00E906C2"/>
    <w:rsid w:val="00E91224"/>
    <w:rsid w:val="00E918F5"/>
    <w:rsid w:val="00E9311F"/>
    <w:rsid w:val="00E931A9"/>
    <w:rsid w:val="00E934D1"/>
    <w:rsid w:val="00E94AF0"/>
    <w:rsid w:val="00E95D13"/>
    <w:rsid w:val="00E95DD3"/>
    <w:rsid w:val="00E969D5"/>
    <w:rsid w:val="00E97C91"/>
    <w:rsid w:val="00EA0AAD"/>
    <w:rsid w:val="00EA225A"/>
    <w:rsid w:val="00EA2360"/>
    <w:rsid w:val="00EA2C4E"/>
    <w:rsid w:val="00EA53F9"/>
    <w:rsid w:val="00EA58D1"/>
    <w:rsid w:val="00EA61BC"/>
    <w:rsid w:val="00EA681A"/>
    <w:rsid w:val="00EA735B"/>
    <w:rsid w:val="00EA778F"/>
    <w:rsid w:val="00EA7E52"/>
    <w:rsid w:val="00EB1060"/>
    <w:rsid w:val="00EB17DE"/>
    <w:rsid w:val="00EB1A92"/>
    <w:rsid w:val="00EB1E69"/>
    <w:rsid w:val="00EB2086"/>
    <w:rsid w:val="00EB49CC"/>
    <w:rsid w:val="00EB5EDF"/>
    <w:rsid w:val="00EB60FE"/>
    <w:rsid w:val="00EB65FF"/>
    <w:rsid w:val="00EB6974"/>
    <w:rsid w:val="00EB74DB"/>
    <w:rsid w:val="00EB77DE"/>
    <w:rsid w:val="00EC2895"/>
    <w:rsid w:val="00EC4F8C"/>
    <w:rsid w:val="00EC5359"/>
    <w:rsid w:val="00EC562A"/>
    <w:rsid w:val="00EC5BCB"/>
    <w:rsid w:val="00EC62DA"/>
    <w:rsid w:val="00ED067A"/>
    <w:rsid w:val="00ED070A"/>
    <w:rsid w:val="00ED0C66"/>
    <w:rsid w:val="00ED1D73"/>
    <w:rsid w:val="00ED1DBE"/>
    <w:rsid w:val="00ED1E8B"/>
    <w:rsid w:val="00ED2B50"/>
    <w:rsid w:val="00ED3A6B"/>
    <w:rsid w:val="00ED4C04"/>
    <w:rsid w:val="00ED6122"/>
    <w:rsid w:val="00ED64BB"/>
    <w:rsid w:val="00ED7848"/>
    <w:rsid w:val="00EE0350"/>
    <w:rsid w:val="00EE0719"/>
    <w:rsid w:val="00EE0E80"/>
    <w:rsid w:val="00EE1972"/>
    <w:rsid w:val="00EE261F"/>
    <w:rsid w:val="00EE446C"/>
    <w:rsid w:val="00EE4865"/>
    <w:rsid w:val="00EE48A6"/>
    <w:rsid w:val="00EE4977"/>
    <w:rsid w:val="00EE5499"/>
    <w:rsid w:val="00EE54A6"/>
    <w:rsid w:val="00EE57CA"/>
    <w:rsid w:val="00EE613F"/>
    <w:rsid w:val="00EE66A4"/>
    <w:rsid w:val="00EE6A2C"/>
    <w:rsid w:val="00EE6DC9"/>
    <w:rsid w:val="00EE7295"/>
    <w:rsid w:val="00EE7364"/>
    <w:rsid w:val="00EE7869"/>
    <w:rsid w:val="00EF054A"/>
    <w:rsid w:val="00EF1BCB"/>
    <w:rsid w:val="00EF1D20"/>
    <w:rsid w:val="00EF29CD"/>
    <w:rsid w:val="00EF3235"/>
    <w:rsid w:val="00EF74BB"/>
    <w:rsid w:val="00EF762C"/>
    <w:rsid w:val="00EF7CB1"/>
    <w:rsid w:val="00EF7E72"/>
    <w:rsid w:val="00EF7F2C"/>
    <w:rsid w:val="00F0168A"/>
    <w:rsid w:val="00F020C0"/>
    <w:rsid w:val="00F031C0"/>
    <w:rsid w:val="00F05371"/>
    <w:rsid w:val="00F05D5F"/>
    <w:rsid w:val="00F06D37"/>
    <w:rsid w:val="00F07B9D"/>
    <w:rsid w:val="00F10D40"/>
    <w:rsid w:val="00F1107B"/>
    <w:rsid w:val="00F11586"/>
    <w:rsid w:val="00F1183B"/>
    <w:rsid w:val="00F11C9F"/>
    <w:rsid w:val="00F12263"/>
    <w:rsid w:val="00F12B2C"/>
    <w:rsid w:val="00F13543"/>
    <w:rsid w:val="00F1409D"/>
    <w:rsid w:val="00F14214"/>
    <w:rsid w:val="00F1467C"/>
    <w:rsid w:val="00F157A9"/>
    <w:rsid w:val="00F159C3"/>
    <w:rsid w:val="00F172BA"/>
    <w:rsid w:val="00F17EE7"/>
    <w:rsid w:val="00F2090F"/>
    <w:rsid w:val="00F22264"/>
    <w:rsid w:val="00F2266B"/>
    <w:rsid w:val="00F23056"/>
    <w:rsid w:val="00F23939"/>
    <w:rsid w:val="00F25BB6"/>
    <w:rsid w:val="00F25FC1"/>
    <w:rsid w:val="00F262D4"/>
    <w:rsid w:val="00F264B9"/>
    <w:rsid w:val="00F26AE4"/>
    <w:rsid w:val="00F26B7E"/>
    <w:rsid w:val="00F27A3B"/>
    <w:rsid w:val="00F3320A"/>
    <w:rsid w:val="00F33328"/>
    <w:rsid w:val="00F333C5"/>
    <w:rsid w:val="00F33817"/>
    <w:rsid w:val="00F338C9"/>
    <w:rsid w:val="00F3402B"/>
    <w:rsid w:val="00F34612"/>
    <w:rsid w:val="00F346C5"/>
    <w:rsid w:val="00F3489F"/>
    <w:rsid w:val="00F351D7"/>
    <w:rsid w:val="00F361E0"/>
    <w:rsid w:val="00F36E21"/>
    <w:rsid w:val="00F37192"/>
    <w:rsid w:val="00F40508"/>
    <w:rsid w:val="00F40EE4"/>
    <w:rsid w:val="00F41632"/>
    <w:rsid w:val="00F41E99"/>
    <w:rsid w:val="00F420D5"/>
    <w:rsid w:val="00F45047"/>
    <w:rsid w:val="00F451EA"/>
    <w:rsid w:val="00F45447"/>
    <w:rsid w:val="00F4564A"/>
    <w:rsid w:val="00F456C6"/>
    <w:rsid w:val="00F4577B"/>
    <w:rsid w:val="00F46496"/>
    <w:rsid w:val="00F474D0"/>
    <w:rsid w:val="00F50179"/>
    <w:rsid w:val="00F515EE"/>
    <w:rsid w:val="00F5632D"/>
    <w:rsid w:val="00F56511"/>
    <w:rsid w:val="00F56604"/>
    <w:rsid w:val="00F57747"/>
    <w:rsid w:val="00F57A0E"/>
    <w:rsid w:val="00F57D9D"/>
    <w:rsid w:val="00F60B5E"/>
    <w:rsid w:val="00F6194E"/>
    <w:rsid w:val="00F622BD"/>
    <w:rsid w:val="00F623AC"/>
    <w:rsid w:val="00F6412A"/>
    <w:rsid w:val="00F646B7"/>
    <w:rsid w:val="00F65893"/>
    <w:rsid w:val="00F66A4A"/>
    <w:rsid w:val="00F67191"/>
    <w:rsid w:val="00F67B77"/>
    <w:rsid w:val="00F71239"/>
    <w:rsid w:val="00F71E22"/>
    <w:rsid w:val="00F71E81"/>
    <w:rsid w:val="00F7204E"/>
    <w:rsid w:val="00F72142"/>
    <w:rsid w:val="00F72753"/>
    <w:rsid w:val="00F72AE7"/>
    <w:rsid w:val="00F7340A"/>
    <w:rsid w:val="00F775B8"/>
    <w:rsid w:val="00F77BDE"/>
    <w:rsid w:val="00F77D80"/>
    <w:rsid w:val="00F77E6E"/>
    <w:rsid w:val="00F81141"/>
    <w:rsid w:val="00F833BA"/>
    <w:rsid w:val="00F845F8"/>
    <w:rsid w:val="00F84FD0"/>
    <w:rsid w:val="00F859A8"/>
    <w:rsid w:val="00F86D87"/>
    <w:rsid w:val="00F9047E"/>
    <w:rsid w:val="00F9108B"/>
    <w:rsid w:val="00F91349"/>
    <w:rsid w:val="00F9199C"/>
    <w:rsid w:val="00F91CFD"/>
    <w:rsid w:val="00F93A8A"/>
    <w:rsid w:val="00F942A6"/>
    <w:rsid w:val="00F94395"/>
    <w:rsid w:val="00F94B96"/>
    <w:rsid w:val="00F95248"/>
    <w:rsid w:val="00F956A9"/>
    <w:rsid w:val="00F963ED"/>
    <w:rsid w:val="00F966CF"/>
    <w:rsid w:val="00F96CAE"/>
    <w:rsid w:val="00F96F47"/>
    <w:rsid w:val="00F97C99"/>
    <w:rsid w:val="00FA0452"/>
    <w:rsid w:val="00FA172A"/>
    <w:rsid w:val="00FA1831"/>
    <w:rsid w:val="00FA1A47"/>
    <w:rsid w:val="00FA470E"/>
    <w:rsid w:val="00FA481F"/>
    <w:rsid w:val="00FA4993"/>
    <w:rsid w:val="00FA4DAC"/>
    <w:rsid w:val="00FA662D"/>
    <w:rsid w:val="00FA6A22"/>
    <w:rsid w:val="00FA6B3B"/>
    <w:rsid w:val="00FA73B1"/>
    <w:rsid w:val="00FA7A05"/>
    <w:rsid w:val="00FB0CB9"/>
    <w:rsid w:val="00FB10D9"/>
    <w:rsid w:val="00FB18FD"/>
    <w:rsid w:val="00FB1A91"/>
    <w:rsid w:val="00FB1A99"/>
    <w:rsid w:val="00FB231D"/>
    <w:rsid w:val="00FB45F1"/>
    <w:rsid w:val="00FB4A72"/>
    <w:rsid w:val="00FB4DE5"/>
    <w:rsid w:val="00FB4DFC"/>
    <w:rsid w:val="00FB54E8"/>
    <w:rsid w:val="00FB5619"/>
    <w:rsid w:val="00FB56A0"/>
    <w:rsid w:val="00FB5C36"/>
    <w:rsid w:val="00FB7054"/>
    <w:rsid w:val="00FC01BB"/>
    <w:rsid w:val="00FC06C7"/>
    <w:rsid w:val="00FC17B7"/>
    <w:rsid w:val="00FC2CB7"/>
    <w:rsid w:val="00FC31C1"/>
    <w:rsid w:val="00FC3282"/>
    <w:rsid w:val="00FC366B"/>
    <w:rsid w:val="00FC4090"/>
    <w:rsid w:val="00FC55B4"/>
    <w:rsid w:val="00FC6178"/>
    <w:rsid w:val="00FC73D7"/>
    <w:rsid w:val="00FD00E6"/>
    <w:rsid w:val="00FD09A1"/>
    <w:rsid w:val="00FD2A7C"/>
    <w:rsid w:val="00FD34E8"/>
    <w:rsid w:val="00FD5021"/>
    <w:rsid w:val="00FD59EB"/>
    <w:rsid w:val="00FD6E76"/>
    <w:rsid w:val="00FD6FDD"/>
    <w:rsid w:val="00FD7299"/>
    <w:rsid w:val="00FE093A"/>
    <w:rsid w:val="00FE1FBE"/>
    <w:rsid w:val="00FE32CE"/>
    <w:rsid w:val="00FE3901"/>
    <w:rsid w:val="00FE39D3"/>
    <w:rsid w:val="00FE4BCE"/>
    <w:rsid w:val="00FE5015"/>
    <w:rsid w:val="00FE54AE"/>
    <w:rsid w:val="00FE576A"/>
    <w:rsid w:val="00FE5800"/>
    <w:rsid w:val="00FE62B0"/>
    <w:rsid w:val="00FE6C41"/>
    <w:rsid w:val="00FE7E79"/>
    <w:rsid w:val="00FF342D"/>
    <w:rsid w:val="00FF3CA3"/>
    <w:rsid w:val="00FF3E7D"/>
    <w:rsid w:val="00FF49A1"/>
    <w:rsid w:val="00FF5A2C"/>
    <w:rsid w:val="00FF5B99"/>
    <w:rsid w:val="00FF5CAD"/>
    <w:rsid w:val="00FF6BD1"/>
    <w:rsid w:val="00FF730C"/>
    <w:rsid w:val="00FF73F4"/>
    <w:rsid w:val="00FF7CE4"/>
    <w:rsid w:val="00FF7E39"/>
    <w:rsid w:val="01115B19"/>
    <w:rsid w:val="015F1F57"/>
    <w:rsid w:val="02195B61"/>
    <w:rsid w:val="02DC5124"/>
    <w:rsid w:val="037964D5"/>
    <w:rsid w:val="03E54C1A"/>
    <w:rsid w:val="05304844"/>
    <w:rsid w:val="05866396"/>
    <w:rsid w:val="073D526D"/>
    <w:rsid w:val="07402C3F"/>
    <w:rsid w:val="07AB0349"/>
    <w:rsid w:val="0993046C"/>
    <w:rsid w:val="0A2D5046"/>
    <w:rsid w:val="0BA838F7"/>
    <w:rsid w:val="0C7B02EA"/>
    <w:rsid w:val="0C960B7D"/>
    <w:rsid w:val="0C992E66"/>
    <w:rsid w:val="0CC04897"/>
    <w:rsid w:val="0D9F44AC"/>
    <w:rsid w:val="0E451113"/>
    <w:rsid w:val="0E736460"/>
    <w:rsid w:val="0EEE56EB"/>
    <w:rsid w:val="0F75252A"/>
    <w:rsid w:val="0FBB46C5"/>
    <w:rsid w:val="0FE475F2"/>
    <w:rsid w:val="107E0BDE"/>
    <w:rsid w:val="10BA4FBF"/>
    <w:rsid w:val="10C61060"/>
    <w:rsid w:val="110960C3"/>
    <w:rsid w:val="114F61E9"/>
    <w:rsid w:val="117A3EAA"/>
    <w:rsid w:val="1187256E"/>
    <w:rsid w:val="132A5E00"/>
    <w:rsid w:val="135724F6"/>
    <w:rsid w:val="13A43C47"/>
    <w:rsid w:val="13BB001E"/>
    <w:rsid w:val="13EE7E16"/>
    <w:rsid w:val="14355F94"/>
    <w:rsid w:val="14364978"/>
    <w:rsid w:val="146573EC"/>
    <w:rsid w:val="15A20A68"/>
    <w:rsid w:val="16695F7A"/>
    <w:rsid w:val="166D00F5"/>
    <w:rsid w:val="16D80FD4"/>
    <w:rsid w:val="17E71D6C"/>
    <w:rsid w:val="18443DF8"/>
    <w:rsid w:val="186D16D1"/>
    <w:rsid w:val="186D5802"/>
    <w:rsid w:val="189866C8"/>
    <w:rsid w:val="18AE7C99"/>
    <w:rsid w:val="19007096"/>
    <w:rsid w:val="19145F51"/>
    <w:rsid w:val="1B326346"/>
    <w:rsid w:val="1B593EEC"/>
    <w:rsid w:val="1B677821"/>
    <w:rsid w:val="1B9C57B4"/>
    <w:rsid w:val="1BA2392B"/>
    <w:rsid w:val="1DA83D68"/>
    <w:rsid w:val="1EA9518B"/>
    <w:rsid w:val="1EB505E3"/>
    <w:rsid w:val="1EFD54D7"/>
    <w:rsid w:val="1F403266"/>
    <w:rsid w:val="1F9E2B7E"/>
    <w:rsid w:val="202D3B9A"/>
    <w:rsid w:val="204D03C5"/>
    <w:rsid w:val="20A2627F"/>
    <w:rsid w:val="20BD6CCC"/>
    <w:rsid w:val="20C444FE"/>
    <w:rsid w:val="20F23B42"/>
    <w:rsid w:val="20FC3C98"/>
    <w:rsid w:val="21F030D1"/>
    <w:rsid w:val="22671815"/>
    <w:rsid w:val="2337099A"/>
    <w:rsid w:val="236E1B9B"/>
    <w:rsid w:val="23A67EEB"/>
    <w:rsid w:val="24514794"/>
    <w:rsid w:val="249014CA"/>
    <w:rsid w:val="26127ABA"/>
    <w:rsid w:val="26442318"/>
    <w:rsid w:val="274D57A4"/>
    <w:rsid w:val="27942B54"/>
    <w:rsid w:val="289B08C9"/>
    <w:rsid w:val="29D90940"/>
    <w:rsid w:val="29DA269C"/>
    <w:rsid w:val="2A016DEB"/>
    <w:rsid w:val="2A685ABA"/>
    <w:rsid w:val="2A6C5DBA"/>
    <w:rsid w:val="2B2139C8"/>
    <w:rsid w:val="2C4D052E"/>
    <w:rsid w:val="2CC246A5"/>
    <w:rsid w:val="2D497113"/>
    <w:rsid w:val="2D8D3ECA"/>
    <w:rsid w:val="2DB643D7"/>
    <w:rsid w:val="2E870919"/>
    <w:rsid w:val="2E8E673A"/>
    <w:rsid w:val="2F7D3007"/>
    <w:rsid w:val="2F884949"/>
    <w:rsid w:val="31146CBE"/>
    <w:rsid w:val="31264419"/>
    <w:rsid w:val="31DE3A7C"/>
    <w:rsid w:val="31E2753B"/>
    <w:rsid w:val="33222F8B"/>
    <w:rsid w:val="33B62254"/>
    <w:rsid w:val="341C1B03"/>
    <w:rsid w:val="343E1B83"/>
    <w:rsid w:val="351729F7"/>
    <w:rsid w:val="364C2B74"/>
    <w:rsid w:val="371D2A72"/>
    <w:rsid w:val="37D837EB"/>
    <w:rsid w:val="386046B4"/>
    <w:rsid w:val="394648B0"/>
    <w:rsid w:val="39643F12"/>
    <w:rsid w:val="396E534D"/>
    <w:rsid w:val="39A63DD9"/>
    <w:rsid w:val="39B743D5"/>
    <w:rsid w:val="3A1C285D"/>
    <w:rsid w:val="3C061F35"/>
    <w:rsid w:val="3C494605"/>
    <w:rsid w:val="3C9521A1"/>
    <w:rsid w:val="3C9568F7"/>
    <w:rsid w:val="3CFE624A"/>
    <w:rsid w:val="3D15180B"/>
    <w:rsid w:val="3D29776B"/>
    <w:rsid w:val="3D58155B"/>
    <w:rsid w:val="3E856B6A"/>
    <w:rsid w:val="3EDF31CD"/>
    <w:rsid w:val="3F0A6427"/>
    <w:rsid w:val="3FFF0C57"/>
    <w:rsid w:val="405E2C90"/>
    <w:rsid w:val="406960D0"/>
    <w:rsid w:val="40D479EE"/>
    <w:rsid w:val="410F0A26"/>
    <w:rsid w:val="411D26B8"/>
    <w:rsid w:val="41D5156D"/>
    <w:rsid w:val="42087E4E"/>
    <w:rsid w:val="433C6591"/>
    <w:rsid w:val="446E63AB"/>
    <w:rsid w:val="44A21BB1"/>
    <w:rsid w:val="452439EF"/>
    <w:rsid w:val="453C7A39"/>
    <w:rsid w:val="454F1D39"/>
    <w:rsid w:val="4677739A"/>
    <w:rsid w:val="47442086"/>
    <w:rsid w:val="476472BE"/>
    <w:rsid w:val="47D87E37"/>
    <w:rsid w:val="48284AC3"/>
    <w:rsid w:val="485338EE"/>
    <w:rsid w:val="4AB54946"/>
    <w:rsid w:val="4C59349D"/>
    <w:rsid w:val="4C7A1BF6"/>
    <w:rsid w:val="4CC70CB6"/>
    <w:rsid w:val="4E086F29"/>
    <w:rsid w:val="4E903B79"/>
    <w:rsid w:val="4E936C9C"/>
    <w:rsid w:val="4F071BC3"/>
    <w:rsid w:val="4FED287A"/>
    <w:rsid w:val="502A0F9F"/>
    <w:rsid w:val="506F14E1"/>
    <w:rsid w:val="51131A4D"/>
    <w:rsid w:val="5114610B"/>
    <w:rsid w:val="51445155"/>
    <w:rsid w:val="527E1EAF"/>
    <w:rsid w:val="52C50F32"/>
    <w:rsid w:val="532F7F60"/>
    <w:rsid w:val="537E1A3B"/>
    <w:rsid w:val="537F681A"/>
    <w:rsid w:val="5391176E"/>
    <w:rsid w:val="53C62CF9"/>
    <w:rsid w:val="54001C46"/>
    <w:rsid w:val="55251C14"/>
    <w:rsid w:val="5579695E"/>
    <w:rsid w:val="55E16E61"/>
    <w:rsid w:val="561B318D"/>
    <w:rsid w:val="564160F2"/>
    <w:rsid w:val="57046E47"/>
    <w:rsid w:val="574441E2"/>
    <w:rsid w:val="574A7EA5"/>
    <w:rsid w:val="577049EB"/>
    <w:rsid w:val="58515970"/>
    <w:rsid w:val="590A52F9"/>
    <w:rsid w:val="5AE208A5"/>
    <w:rsid w:val="5AFD593B"/>
    <w:rsid w:val="5BCF7BB7"/>
    <w:rsid w:val="5D387789"/>
    <w:rsid w:val="5DB20C78"/>
    <w:rsid w:val="5DBC769F"/>
    <w:rsid w:val="5E40626B"/>
    <w:rsid w:val="5E8C325E"/>
    <w:rsid w:val="5F04423F"/>
    <w:rsid w:val="5F17346F"/>
    <w:rsid w:val="5F270667"/>
    <w:rsid w:val="5FC02251"/>
    <w:rsid w:val="602F0C51"/>
    <w:rsid w:val="60350902"/>
    <w:rsid w:val="605F1418"/>
    <w:rsid w:val="60BE22A6"/>
    <w:rsid w:val="613601CC"/>
    <w:rsid w:val="62327CD5"/>
    <w:rsid w:val="6360272E"/>
    <w:rsid w:val="64413128"/>
    <w:rsid w:val="64504D2E"/>
    <w:rsid w:val="6465267C"/>
    <w:rsid w:val="649C421C"/>
    <w:rsid w:val="64A74904"/>
    <w:rsid w:val="64C309C3"/>
    <w:rsid w:val="64E91076"/>
    <w:rsid w:val="665B795F"/>
    <w:rsid w:val="66650F64"/>
    <w:rsid w:val="67B04461"/>
    <w:rsid w:val="68312C1A"/>
    <w:rsid w:val="685D2123"/>
    <w:rsid w:val="69F31A98"/>
    <w:rsid w:val="6A451239"/>
    <w:rsid w:val="6A6743AB"/>
    <w:rsid w:val="6A696B49"/>
    <w:rsid w:val="6A7025A9"/>
    <w:rsid w:val="6A7F011B"/>
    <w:rsid w:val="6B007C1C"/>
    <w:rsid w:val="6BBD75D2"/>
    <w:rsid w:val="6BCC7390"/>
    <w:rsid w:val="6C1512B3"/>
    <w:rsid w:val="6C7B35D4"/>
    <w:rsid w:val="6D4F2026"/>
    <w:rsid w:val="6DF42BCE"/>
    <w:rsid w:val="6EB34837"/>
    <w:rsid w:val="6EB841ED"/>
    <w:rsid w:val="6F772751"/>
    <w:rsid w:val="708F1514"/>
    <w:rsid w:val="70CC53D1"/>
    <w:rsid w:val="70EE3E1F"/>
    <w:rsid w:val="71963EDB"/>
    <w:rsid w:val="7203093B"/>
    <w:rsid w:val="724A7260"/>
    <w:rsid w:val="73BC23E0"/>
    <w:rsid w:val="73CF09B8"/>
    <w:rsid w:val="73E159A2"/>
    <w:rsid w:val="7409309E"/>
    <w:rsid w:val="74534AF2"/>
    <w:rsid w:val="74814609"/>
    <w:rsid w:val="74A55CD2"/>
    <w:rsid w:val="75524CC2"/>
    <w:rsid w:val="76297AE3"/>
    <w:rsid w:val="76530DCB"/>
    <w:rsid w:val="76535838"/>
    <w:rsid w:val="773E2939"/>
    <w:rsid w:val="779B00C6"/>
    <w:rsid w:val="77A318EC"/>
    <w:rsid w:val="78DC0E7A"/>
    <w:rsid w:val="79690914"/>
    <w:rsid w:val="7A1C33B3"/>
    <w:rsid w:val="7BD763A8"/>
    <w:rsid w:val="7C3E5F9F"/>
    <w:rsid w:val="7CBD6AA4"/>
    <w:rsid w:val="7DAC0DCF"/>
    <w:rsid w:val="7E0A225C"/>
    <w:rsid w:val="7EE12CFA"/>
    <w:rsid w:val="7EF21421"/>
    <w:rsid w:val="7FDA4AB2"/>
    <w:rsid w:val="EFD3C3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9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57"/>
    <w:semiHidden/>
    <w:unhideWhenUsed/>
    <w:qFormat/>
    <w:uiPriority w:val="99"/>
    <w:pPr>
      <w:jc w:val="left"/>
    </w:p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Date"/>
    <w:basedOn w:val="1"/>
    <w:next w:val="1"/>
    <w:link w:val="255"/>
    <w:semiHidden/>
    <w:unhideWhenUsed/>
    <w:qFormat/>
    <w:uiPriority w:val="99"/>
    <w:pPr>
      <w:ind w:left="100" w:leftChars="2500"/>
    </w:pPr>
  </w:style>
  <w:style w:type="paragraph" w:styleId="18">
    <w:name w:val="Balloon Text"/>
    <w:basedOn w:val="1"/>
    <w:link w:val="49"/>
    <w:semiHidden/>
    <w:unhideWhenUsed/>
    <w:qFormat/>
    <w:uiPriority w:val="99"/>
    <w:rPr>
      <w:sz w:val="18"/>
      <w:szCs w:val="18"/>
    </w:rPr>
  </w:style>
  <w:style w:type="paragraph" w:styleId="19">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20">
    <w:name w:val="header"/>
    <w:basedOn w:val="1"/>
    <w:link w:val="47"/>
    <w:qFormat/>
    <w:uiPriority w:val="99"/>
    <w:pPr>
      <w:tabs>
        <w:tab w:val="center" w:pos="4153"/>
        <w:tab w:val="right" w:pos="8306"/>
      </w:tabs>
      <w:adjustRightInd/>
      <w:snapToGrid w:val="0"/>
      <w:jc w:val="center"/>
    </w:pPr>
    <w:rPr>
      <w:sz w:val="18"/>
      <w:szCs w:val="18"/>
    </w:rPr>
  </w:style>
  <w:style w:type="paragraph" w:styleId="21">
    <w:name w:val="toc 1"/>
    <w:basedOn w:val="1"/>
    <w:next w:val="1"/>
    <w:unhideWhenUsed/>
    <w:qFormat/>
    <w:uiPriority w:val="39"/>
    <w:pPr>
      <w:tabs>
        <w:tab w:val="right" w:leader="dot" w:pos="9351"/>
      </w:tabs>
    </w:pPr>
    <w:rPr>
      <w:rFonts w:ascii="宋体"/>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58"/>
    <w:semiHidden/>
    <w:unhideWhenUsed/>
    <w:qFormat/>
    <w:uiPriority w:val="99"/>
    <w:rPr>
      <w:b/>
      <w:bCs/>
    </w:rPr>
  </w:style>
  <w:style w:type="table" w:styleId="30">
    <w:name w:val="Table Grid"/>
    <w:basedOn w:val="2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semiHidden/>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rFonts w:ascii="Times New Roman" w:hAnsi="Times New Roman" w:eastAsia="宋体" w:cs="Times New Roman"/>
      <w:b/>
      <w:bCs/>
      <w:kern w:val="44"/>
      <w:sz w:val="44"/>
      <w:szCs w:val="44"/>
    </w:rPr>
  </w:style>
  <w:style w:type="character" w:customStyle="1" w:styleId="39">
    <w:name w:val="标题 2 字符"/>
    <w:link w:val="3"/>
    <w:qFormat/>
    <w:uiPriority w:val="99"/>
    <w:rPr>
      <w:rFonts w:ascii="Arial" w:hAnsi="Arial" w:eastAsia="黑体" w:cs="Times New Roman"/>
      <w:b/>
      <w:bCs/>
      <w:sz w:val="32"/>
      <w:szCs w:val="32"/>
    </w:rPr>
  </w:style>
  <w:style w:type="character" w:customStyle="1" w:styleId="40">
    <w:name w:val="标题 3 字符"/>
    <w:link w:val="4"/>
    <w:qFormat/>
    <w:uiPriority w:val="0"/>
    <w:rPr>
      <w:rFonts w:ascii="Times New Roman" w:hAnsi="Times New Roman" w:eastAsia="宋体" w:cs="Times New Roman"/>
      <w:b/>
      <w:bCs/>
      <w:sz w:val="32"/>
      <w:szCs w:val="32"/>
    </w:rPr>
  </w:style>
  <w:style w:type="character" w:customStyle="1" w:styleId="41">
    <w:name w:val="标题 4 字符"/>
    <w:link w:val="5"/>
    <w:qFormat/>
    <w:uiPriority w:val="0"/>
    <w:rPr>
      <w:rFonts w:ascii="Arial" w:hAnsi="Arial" w:eastAsia="黑体" w:cs="Times New Roman"/>
      <w:b/>
      <w:bCs/>
      <w:sz w:val="28"/>
      <w:szCs w:val="28"/>
    </w:rPr>
  </w:style>
  <w:style w:type="character" w:customStyle="1" w:styleId="42">
    <w:name w:val="标题 5 字符"/>
    <w:link w:val="6"/>
    <w:qFormat/>
    <w:uiPriority w:val="0"/>
    <w:rPr>
      <w:rFonts w:ascii="Times New Roman" w:hAnsi="Times New Roman" w:eastAsia="宋体" w:cs="Times New Roman"/>
      <w:b/>
      <w:bCs/>
      <w:sz w:val="28"/>
      <w:szCs w:val="28"/>
    </w:rPr>
  </w:style>
  <w:style w:type="character" w:customStyle="1" w:styleId="43">
    <w:name w:val="标题 6 字符"/>
    <w:link w:val="7"/>
    <w:qFormat/>
    <w:uiPriority w:val="0"/>
    <w:rPr>
      <w:rFonts w:ascii="Arial" w:hAnsi="Arial" w:eastAsia="黑体" w:cs="Times New Roman"/>
      <w:b/>
      <w:bCs/>
      <w:sz w:val="24"/>
      <w:szCs w:val="24"/>
    </w:rPr>
  </w:style>
  <w:style w:type="character" w:customStyle="1" w:styleId="44">
    <w:name w:val="标题 7 字符"/>
    <w:link w:val="8"/>
    <w:qFormat/>
    <w:uiPriority w:val="0"/>
    <w:rPr>
      <w:rFonts w:ascii="Times New Roman" w:hAnsi="Times New Roman" w:eastAsia="宋体" w:cs="Times New Roman"/>
      <w:b/>
      <w:bCs/>
      <w:sz w:val="24"/>
      <w:szCs w:val="24"/>
    </w:rPr>
  </w:style>
  <w:style w:type="character" w:customStyle="1" w:styleId="45">
    <w:name w:val="标题 8 字符"/>
    <w:link w:val="9"/>
    <w:qFormat/>
    <w:uiPriority w:val="0"/>
    <w:rPr>
      <w:rFonts w:ascii="Arial" w:hAnsi="Arial" w:eastAsia="黑体" w:cs="Times New Roman"/>
      <w:sz w:val="24"/>
      <w:szCs w:val="24"/>
    </w:rPr>
  </w:style>
  <w:style w:type="character" w:customStyle="1" w:styleId="46">
    <w:name w:val="标题 9 字符"/>
    <w:link w:val="10"/>
    <w:qFormat/>
    <w:uiPriority w:val="0"/>
    <w:rPr>
      <w:rFonts w:ascii="Arial" w:hAnsi="Arial" w:eastAsia="黑体" w:cs="Times New Roman"/>
      <w:szCs w:val="21"/>
    </w:rPr>
  </w:style>
  <w:style w:type="character" w:customStyle="1" w:styleId="47">
    <w:name w:val="页眉 字符"/>
    <w:link w:val="20"/>
    <w:qFormat/>
    <w:uiPriority w:val="99"/>
    <w:rPr>
      <w:rFonts w:ascii="Times New Roman" w:hAnsi="Times New Roman" w:eastAsia="宋体" w:cs="Times New Roman"/>
      <w:sz w:val="18"/>
      <w:szCs w:val="18"/>
    </w:rPr>
  </w:style>
  <w:style w:type="character" w:customStyle="1" w:styleId="48">
    <w:name w:val="页脚 字符"/>
    <w:link w:val="19"/>
    <w:qFormat/>
    <w:uiPriority w:val="99"/>
    <w:rPr>
      <w:rFonts w:ascii="宋体" w:hAnsi="Times New Roman" w:eastAsia="宋体" w:cs="Times New Roman"/>
      <w:sz w:val="18"/>
      <w:szCs w:val="18"/>
    </w:rPr>
  </w:style>
  <w:style w:type="character" w:customStyle="1" w:styleId="49">
    <w:name w:val="批注框文本 字符"/>
    <w:link w:val="18"/>
    <w:semiHidden/>
    <w:qFormat/>
    <w:uiPriority w:val="99"/>
    <w:rPr>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rPr>
  </w:style>
  <w:style w:type="character" w:customStyle="1" w:styleId="52">
    <w:name w:val="标题 字符"/>
    <w:link w:val="27"/>
    <w:qFormat/>
    <w:uiPriority w:val="0"/>
    <w:rPr>
      <w:rFonts w:ascii="Arial" w:hAnsi="Arial" w:eastAsia="宋体" w:cs="Arial"/>
      <w:b/>
      <w:bCs/>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2"/>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3"/>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4"/>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3"/>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0"/>
        <w:numId w:val="0"/>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3"/>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3"/>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5"/>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3"/>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6"/>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rFonts w:ascii="Times New Roman" w:hAnsi="Times New Roman" w:eastAsia="宋体" w:cs="Times New Roman"/>
      <w:szCs w:val="20"/>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7"/>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pPr>
  </w:style>
  <w:style w:type="paragraph" w:customStyle="1" w:styleId="95">
    <w:name w:val="标准文件_目录标题"/>
    <w:basedOn w:val="1"/>
    <w:qFormat/>
    <w:uiPriority w:val="0"/>
    <w:pPr>
      <w:spacing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8"/>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9"/>
      </w:numPr>
      <w:ind w:left="0" w:firstLine="200"/>
    </w:pPr>
  </w:style>
  <w:style w:type="paragraph" w:customStyle="1" w:styleId="98">
    <w:name w:val="标准文件_三级条标题"/>
    <w:basedOn w:val="69"/>
    <w:next w:val="60"/>
    <w:qFormat/>
    <w:uiPriority w:val="0"/>
    <w:pPr>
      <w:widowControl/>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0"/>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11"/>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3"/>
    <w:semiHidden/>
    <w:qFormat/>
    <w:uiPriority w:val="0"/>
    <w:rPr>
      <w:rFonts w:ascii="宋体" w:hAnsi="Times New Roman" w:eastAsia="宋体" w:cs="Times New Roman"/>
      <w:sz w:val="18"/>
      <w:szCs w:val="18"/>
    </w:rPr>
  </w:style>
  <w:style w:type="paragraph" w:customStyle="1" w:styleId="104">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11"/>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1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tabs>
        <w:tab w:val="left" w:pos="851"/>
        <w:tab w:val="left" w:pos="1276"/>
      </w:tabs>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spacing w:line="0" w:lineRule="atLeast"/>
    </w:pPr>
    <w:rPr>
      <w:rFonts w:ascii="黑体" w:eastAsia="黑体"/>
      <w:b w:val="0"/>
    </w:rPr>
  </w:style>
  <w:style w:type="paragraph" w:customStyle="1" w:styleId="156">
    <w:name w:val="前言标题"/>
    <w:next w:val="1"/>
    <w:qFormat/>
    <w:uiPriority w:val="0"/>
    <w:pPr>
      <w:numPr>
        <w:ilvl w:val="0"/>
        <w:numId w:val="1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ind w:left="783"/>
    </w:pPr>
    <w:rPr>
      <w:rFonts w:ascii="宋体" w:hAnsi="Times New Roman"/>
      <w:sz w:val="18"/>
      <w:szCs w:val="18"/>
    </w:rPr>
  </w:style>
  <w:style w:type="paragraph" w:customStyle="1" w:styleId="178">
    <w:name w:val="标准文件_字母编号列项（一级）"/>
    <w:qFormat/>
    <w:uiPriority w:val="0"/>
    <w:pPr>
      <w:numPr>
        <w:ilvl w:val="0"/>
        <w:numId w:val="13"/>
      </w:numPr>
      <w:tabs>
        <w:tab w:val="left" w:pos="851"/>
      </w:tabs>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left="1271" w:hanging="420" w:firstLineChars="0"/>
    </w:pPr>
  </w:style>
  <w:style w:type="paragraph" w:customStyle="1" w:styleId="192">
    <w:name w:val="标准文件_三级项2"/>
    <w:basedOn w:val="60"/>
    <w:qFormat/>
    <w:uiPriority w:val="0"/>
    <w:pPr>
      <w:numPr>
        <w:ilvl w:val="0"/>
        <w:numId w:val="30"/>
      </w:numPr>
      <w:spacing w:line="300" w:lineRule="exact"/>
      <w:ind w:left="1276" w:hanging="425" w:firstLineChars="0"/>
    </w:pPr>
    <w:rPr>
      <w:rFonts w:ascii="Times New Roman"/>
    </w:rPr>
  </w:style>
  <w:style w:type="paragraph" w:customStyle="1" w:styleId="193">
    <w:name w:val="标准文件_一级项2"/>
    <w:basedOn w:val="60"/>
    <w:qFormat/>
    <w:uiPriority w:val="0"/>
    <w:pPr>
      <w:numPr>
        <w:ilvl w:val="0"/>
        <w:numId w:val="31"/>
      </w:numPr>
      <w:spacing w:line="300" w:lineRule="exact"/>
      <w:ind w:left="1271" w:hanging="420"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vAnchor="page" w:hAnchor="page" w:x="1419" w:y="14097"/>
    </w:pPr>
  </w:style>
  <w:style w:type="paragraph" w:customStyle="1" w:styleId="198">
    <w:name w:val="其他实施日期"/>
    <w:basedOn w:val="158"/>
    <w:qFormat/>
    <w:uiPriority w:val="0"/>
    <w:pPr>
      <w:framePr w:w="3997" w:h="471" w:hRule="exact" w:vSpace="181"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frame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5"/>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4"/>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7"/>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7"/>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7"/>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7"/>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7"/>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next w:val="60"/>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段"/>
    <w:link w:val="23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5">
    <w:name w:val="段 Char"/>
    <w:link w:val="234"/>
    <w:qFormat/>
    <w:uiPriority w:val="0"/>
    <w:rPr>
      <w:rFonts w:ascii="宋体" w:hAnsi="Times New Roman"/>
      <w:sz w:val="21"/>
    </w:rPr>
  </w:style>
  <w:style w:type="paragraph" w:customStyle="1" w:styleId="236">
    <w:name w:val="Body text|1"/>
    <w:basedOn w:val="1"/>
    <w:qFormat/>
    <w:uiPriority w:val="0"/>
    <w:pPr>
      <w:spacing w:line="454" w:lineRule="auto"/>
      <w:ind w:firstLine="20"/>
    </w:pPr>
    <w:rPr>
      <w:rFonts w:ascii="宋体" w:hAnsi="宋体" w:cs="宋体"/>
      <w:sz w:val="22"/>
      <w:szCs w:val="22"/>
      <w:lang w:val="zh-TW" w:eastAsia="zh-TW" w:bidi="zh-TW"/>
    </w:rPr>
  </w:style>
  <w:style w:type="paragraph" w:customStyle="1" w:styleId="237">
    <w:name w:val="Header or footer|1"/>
    <w:basedOn w:val="1"/>
    <w:qFormat/>
    <w:uiPriority w:val="0"/>
    <w:rPr>
      <w:sz w:val="17"/>
      <w:szCs w:val="17"/>
      <w:lang w:val="zh-TW" w:eastAsia="zh-TW" w:bidi="zh-TW"/>
    </w:rPr>
  </w:style>
  <w:style w:type="paragraph" w:customStyle="1" w:styleId="238">
    <w:name w:val="Heading #2|1"/>
    <w:basedOn w:val="1"/>
    <w:qFormat/>
    <w:uiPriority w:val="0"/>
    <w:pPr>
      <w:spacing w:after="340"/>
      <w:jc w:val="center"/>
      <w:outlineLvl w:val="1"/>
    </w:pPr>
    <w:rPr>
      <w:rFonts w:ascii="宋体" w:hAnsi="宋体" w:cs="宋体"/>
      <w:sz w:val="30"/>
      <w:szCs w:val="30"/>
      <w:lang w:val="zh-TW" w:eastAsia="zh-TW" w:bidi="zh-TW"/>
    </w:rPr>
  </w:style>
  <w:style w:type="paragraph" w:customStyle="1" w:styleId="239">
    <w:name w:val="Heading #3|1"/>
    <w:basedOn w:val="1"/>
    <w:qFormat/>
    <w:uiPriority w:val="0"/>
    <w:pPr>
      <w:spacing w:after="80"/>
      <w:jc w:val="center"/>
      <w:outlineLvl w:val="2"/>
    </w:pPr>
    <w:rPr>
      <w:rFonts w:ascii="宋体" w:hAnsi="宋体" w:cs="宋体"/>
      <w:sz w:val="28"/>
      <w:szCs w:val="28"/>
      <w:lang w:val="zh-TW" w:eastAsia="zh-TW" w:bidi="zh-TW"/>
    </w:rPr>
  </w:style>
  <w:style w:type="paragraph" w:customStyle="1" w:styleId="240">
    <w:name w:val="Other|1"/>
    <w:basedOn w:val="1"/>
    <w:qFormat/>
    <w:uiPriority w:val="0"/>
    <w:pPr>
      <w:spacing w:line="454" w:lineRule="auto"/>
      <w:ind w:firstLine="20"/>
    </w:pPr>
    <w:rPr>
      <w:rFonts w:ascii="宋体" w:hAnsi="宋体" w:cs="宋体"/>
      <w:sz w:val="22"/>
      <w:szCs w:val="22"/>
      <w:lang w:val="zh-TW" w:eastAsia="zh-TW" w:bidi="zh-TW"/>
    </w:rPr>
  </w:style>
  <w:style w:type="paragraph" w:customStyle="1" w:styleId="241">
    <w:name w:val="Table caption|1"/>
    <w:basedOn w:val="1"/>
    <w:qFormat/>
    <w:uiPriority w:val="0"/>
    <w:rPr>
      <w:rFonts w:ascii="宋体" w:hAnsi="宋体" w:cs="宋体"/>
      <w:sz w:val="22"/>
      <w:szCs w:val="22"/>
      <w:lang w:val="zh-TW" w:eastAsia="zh-TW" w:bidi="zh-TW"/>
    </w:rPr>
  </w:style>
  <w:style w:type="paragraph" w:customStyle="1" w:styleId="242">
    <w:name w:val="Body text|5"/>
    <w:basedOn w:val="1"/>
    <w:qFormat/>
    <w:uiPriority w:val="0"/>
    <w:pPr>
      <w:jc w:val="center"/>
    </w:pPr>
    <w:rPr>
      <w:b/>
      <w:bCs/>
      <w:sz w:val="22"/>
      <w:szCs w:val="22"/>
    </w:rPr>
  </w:style>
  <w:style w:type="paragraph" w:customStyle="1" w:styleId="243">
    <w:name w:val="Body text|3"/>
    <w:basedOn w:val="1"/>
    <w:qFormat/>
    <w:uiPriority w:val="0"/>
    <w:pPr>
      <w:spacing w:after="400"/>
      <w:ind w:left="1680"/>
    </w:pPr>
    <w:rPr>
      <w:rFonts w:ascii="宋体" w:hAnsi="宋体" w:cs="宋体"/>
      <w:sz w:val="28"/>
      <w:szCs w:val="28"/>
      <w:lang w:val="zh-TW" w:eastAsia="zh-TW" w:bidi="zh-TW"/>
    </w:rPr>
  </w:style>
  <w:style w:type="paragraph" w:customStyle="1" w:styleId="244">
    <w:name w:val="Body text|4"/>
    <w:basedOn w:val="1"/>
    <w:qFormat/>
    <w:uiPriority w:val="0"/>
    <w:pPr>
      <w:spacing w:after="220"/>
      <w:ind w:firstLine="780"/>
    </w:pPr>
    <w:rPr>
      <w:rFonts w:ascii="宋体" w:hAnsi="宋体" w:cs="宋体"/>
      <w:sz w:val="18"/>
      <w:szCs w:val="18"/>
      <w:lang w:val="zh-TW" w:eastAsia="zh-TW" w:bidi="zh-TW"/>
    </w:rPr>
  </w:style>
  <w:style w:type="paragraph" w:customStyle="1" w:styleId="245">
    <w:name w:val="Picture caption|1"/>
    <w:basedOn w:val="1"/>
    <w:qFormat/>
    <w:uiPriority w:val="0"/>
    <w:pPr>
      <w:jc w:val="right"/>
    </w:pPr>
    <w:rPr>
      <w:rFonts w:ascii="宋体" w:hAnsi="宋体" w:cs="宋体"/>
      <w:lang w:val="zh-TW" w:eastAsia="zh-TW" w:bidi="zh-TW"/>
    </w:rPr>
  </w:style>
  <w:style w:type="paragraph" w:customStyle="1" w:styleId="246">
    <w:name w:val="Body text|2"/>
    <w:basedOn w:val="1"/>
    <w:qFormat/>
    <w:uiPriority w:val="0"/>
    <w:pPr>
      <w:spacing w:after="200"/>
      <w:jc w:val="center"/>
    </w:pPr>
    <w:rPr>
      <w:sz w:val="22"/>
      <w:szCs w:val="22"/>
    </w:rPr>
  </w:style>
  <w:style w:type="character" w:customStyle="1" w:styleId="247">
    <w:name w:val="font11"/>
    <w:basedOn w:val="31"/>
    <w:qFormat/>
    <w:uiPriority w:val="0"/>
    <w:rPr>
      <w:rFonts w:hint="eastAsia" w:ascii="宋体" w:hAnsi="宋体" w:eastAsia="宋体"/>
      <w:color w:val="000000"/>
      <w:sz w:val="18"/>
      <w:szCs w:val="18"/>
      <w:u w:val="none"/>
    </w:rPr>
  </w:style>
  <w:style w:type="character" w:customStyle="1" w:styleId="248">
    <w:name w:val="font31"/>
    <w:basedOn w:val="31"/>
    <w:qFormat/>
    <w:uiPriority w:val="0"/>
    <w:rPr>
      <w:rFonts w:hint="default" w:ascii="Times New Roman" w:hAnsi="Times New Roman" w:cs="Times New Roman"/>
      <w:color w:val="000000"/>
      <w:sz w:val="18"/>
      <w:szCs w:val="18"/>
      <w:u w:val="none"/>
    </w:rPr>
  </w:style>
  <w:style w:type="character" w:customStyle="1" w:styleId="249">
    <w:name w:val="font61"/>
    <w:basedOn w:val="31"/>
    <w:qFormat/>
    <w:uiPriority w:val="0"/>
    <w:rPr>
      <w:rFonts w:hint="default" w:ascii="Times New Roman" w:hAnsi="Times New Roman" w:cs="Times New Roman"/>
      <w:color w:val="000000"/>
      <w:sz w:val="17"/>
      <w:szCs w:val="17"/>
      <w:u w:val="none"/>
    </w:rPr>
  </w:style>
  <w:style w:type="character" w:customStyle="1" w:styleId="250">
    <w:name w:val="font21"/>
    <w:basedOn w:val="31"/>
    <w:qFormat/>
    <w:uiPriority w:val="0"/>
    <w:rPr>
      <w:rFonts w:hint="eastAsia" w:ascii="宋体" w:hAnsi="宋体" w:eastAsia="宋体"/>
      <w:color w:val="000000"/>
      <w:sz w:val="17"/>
      <w:szCs w:val="17"/>
      <w:u w:val="none"/>
    </w:rPr>
  </w:style>
  <w:style w:type="character" w:customStyle="1" w:styleId="251">
    <w:name w:val="font41"/>
    <w:basedOn w:val="31"/>
    <w:qFormat/>
    <w:uiPriority w:val="0"/>
    <w:rPr>
      <w:rFonts w:hint="default" w:ascii="Times New Roman" w:hAnsi="Times New Roman" w:cs="Times New Roman"/>
      <w:color w:val="000000"/>
      <w:sz w:val="14"/>
      <w:szCs w:val="14"/>
      <w:u w:val="none"/>
    </w:rPr>
  </w:style>
  <w:style w:type="character" w:customStyle="1" w:styleId="252">
    <w:name w:val="font71"/>
    <w:basedOn w:val="31"/>
    <w:qFormat/>
    <w:uiPriority w:val="0"/>
    <w:rPr>
      <w:rFonts w:hint="eastAsia" w:ascii="宋体" w:hAnsi="宋体" w:eastAsia="宋体"/>
      <w:color w:val="000000"/>
      <w:sz w:val="14"/>
      <w:szCs w:val="14"/>
      <w:u w:val="none"/>
    </w:rPr>
  </w:style>
  <w:style w:type="character" w:customStyle="1" w:styleId="253">
    <w:name w:val="font81"/>
    <w:basedOn w:val="31"/>
    <w:qFormat/>
    <w:uiPriority w:val="0"/>
    <w:rPr>
      <w:rFonts w:hint="default" w:ascii="Times New Roman" w:hAnsi="Times New Roman" w:cs="Times New Roman"/>
      <w:color w:val="000000"/>
      <w:sz w:val="18"/>
      <w:szCs w:val="18"/>
      <w:u w:val="none"/>
      <w:vertAlign w:val="subscript"/>
    </w:rPr>
  </w:style>
  <w:style w:type="paragraph" w:customStyle="1" w:styleId="254">
    <w:name w:val="正文1"/>
    <w:qFormat/>
    <w:uiPriority w:val="0"/>
    <w:pPr>
      <w:jc w:val="both"/>
    </w:pPr>
    <w:rPr>
      <w:rFonts w:ascii="等线" w:hAnsi="等线" w:eastAsia="宋体" w:cs="宋体"/>
      <w:kern w:val="2"/>
      <w:sz w:val="21"/>
      <w:szCs w:val="21"/>
      <w:lang w:val="en-US" w:eastAsia="zh-CN" w:bidi="ar-SA"/>
    </w:rPr>
  </w:style>
  <w:style w:type="character" w:customStyle="1" w:styleId="255">
    <w:name w:val="日期 字符"/>
    <w:basedOn w:val="31"/>
    <w:link w:val="17"/>
    <w:semiHidden/>
    <w:qFormat/>
    <w:uiPriority w:val="99"/>
    <w:rPr>
      <w:rFonts w:ascii="Calibri" w:hAnsi="Calibri"/>
      <w:kern w:val="2"/>
      <w:sz w:val="21"/>
      <w:szCs w:val="21"/>
    </w:rPr>
  </w:style>
  <w:style w:type="paragraph" w:customStyle="1" w:styleId="256">
    <w:name w:val="正文2"/>
    <w:qFormat/>
    <w:uiPriority w:val="0"/>
    <w:pPr>
      <w:jc w:val="both"/>
    </w:pPr>
    <w:rPr>
      <w:rFonts w:ascii="等线" w:hAnsi="等线" w:eastAsia="宋体" w:cs="宋体"/>
      <w:kern w:val="2"/>
      <w:sz w:val="21"/>
      <w:szCs w:val="21"/>
      <w:lang w:val="en-US" w:eastAsia="zh-CN" w:bidi="ar-SA"/>
    </w:rPr>
  </w:style>
  <w:style w:type="character" w:customStyle="1" w:styleId="257">
    <w:name w:val="批注文字 字符"/>
    <w:basedOn w:val="31"/>
    <w:link w:val="13"/>
    <w:semiHidden/>
    <w:qFormat/>
    <w:uiPriority w:val="99"/>
    <w:rPr>
      <w:rFonts w:ascii="Calibri" w:hAnsi="Calibri"/>
      <w:kern w:val="2"/>
      <w:sz w:val="21"/>
      <w:szCs w:val="21"/>
    </w:rPr>
  </w:style>
  <w:style w:type="character" w:customStyle="1" w:styleId="258">
    <w:name w:val="批注主题 字符"/>
    <w:basedOn w:val="257"/>
    <w:link w:val="28"/>
    <w:semiHidden/>
    <w:qFormat/>
    <w:uiPriority w:val="99"/>
    <w:rPr>
      <w:rFonts w:ascii="Calibri" w:hAnsi="Calibri"/>
      <w:b/>
      <w:bCs/>
      <w:kern w:val="2"/>
      <w:sz w:val="21"/>
      <w:szCs w:val="21"/>
    </w:rPr>
  </w:style>
  <w:style w:type="paragraph" w:customStyle="1" w:styleId="259">
    <w:name w:val="正文3"/>
    <w:qFormat/>
    <w:uiPriority w:val="0"/>
    <w:pPr>
      <w:jc w:val="both"/>
    </w:pPr>
    <w:rPr>
      <w:rFonts w:ascii="Calibri" w:hAnsi="Calibri" w:eastAsia="宋体" w:cs="Calibri"/>
      <w:kern w:val="2"/>
      <w:sz w:val="21"/>
      <w:szCs w:val="21"/>
      <w:lang w:val="en-US" w:eastAsia="zh-CN" w:bidi="ar-SA"/>
    </w:rPr>
  </w:style>
  <w:style w:type="paragraph" w:styleId="260">
    <w:name w:val="List Paragraph"/>
    <w:basedOn w:val="1"/>
    <w:qFormat/>
    <w:uiPriority w:val="99"/>
    <w:pPr>
      <w:ind w:firstLine="420" w:firstLineChars="200"/>
    </w:pPr>
  </w:style>
  <w:style w:type="paragraph" w:customStyle="1" w:styleId="261">
    <w:name w:val="正文4"/>
    <w:qFormat/>
    <w:uiPriority w:val="0"/>
    <w:pPr>
      <w:jc w:val="both"/>
    </w:pPr>
    <w:rPr>
      <w:rFonts w:ascii="Times New Roman" w:hAnsi="Times New Roman" w:eastAsia="宋体" w:cs="Times New Roman"/>
      <w:kern w:val="2"/>
      <w:sz w:val="21"/>
      <w:szCs w:val="21"/>
      <w:lang w:val="en-US" w:eastAsia="zh-CN" w:bidi="ar-SA"/>
    </w:rPr>
  </w:style>
  <w:style w:type="character" w:customStyle="1" w:styleId="262">
    <w:name w:val="font01"/>
    <w:basedOn w:val="31"/>
    <w:qFormat/>
    <w:uiPriority w:val="0"/>
    <w:rPr>
      <w:rFonts w:hint="eastAsia" w:ascii="宋体" w:hAnsi="宋体" w:eastAsia="宋体"/>
      <w:color w:val="000000"/>
      <w:sz w:val="22"/>
      <w:szCs w:val="22"/>
      <w:u w:val="none"/>
    </w:rPr>
  </w:style>
  <w:style w:type="paragraph" w:customStyle="1" w:styleId="263">
    <w:name w:val="正文5"/>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glossaryDocument" Target="glossary/document.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6.png"/><Relationship Id="rId34" Type="http://schemas.openxmlformats.org/officeDocument/2006/relationships/image" Target="media/image5.png"/><Relationship Id="rId33" Type="http://schemas.openxmlformats.org/officeDocument/2006/relationships/image" Target="media/image4.png"/><Relationship Id="rId32" Type="http://schemas.openxmlformats.org/officeDocument/2006/relationships/image" Target="media/image3.png"/><Relationship Id="rId31" Type="http://schemas.openxmlformats.org/officeDocument/2006/relationships/image" Target="media/image2.png"/><Relationship Id="rId30" Type="http://schemas.openxmlformats.org/officeDocument/2006/relationships/image" Target="media/image1.pn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17.xml"/><Relationship Id="rId27" Type="http://schemas.openxmlformats.org/officeDocument/2006/relationships/footer" Target="footer16.xml"/><Relationship Id="rId26" Type="http://schemas.openxmlformats.org/officeDocument/2006/relationships/header" Target="header7.xml"/><Relationship Id="rId25" Type="http://schemas.openxmlformats.org/officeDocument/2006/relationships/header" Target="header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15B9B31323F49D8A16D9D48E897B3E7"/>
        <w:style w:val=""/>
        <w:category>
          <w:name w:val="常规"/>
          <w:gallery w:val="placeholder"/>
        </w:category>
        <w:types>
          <w:type w:val="bbPlcHdr"/>
        </w:types>
        <w:behaviors>
          <w:behavior w:val="content"/>
        </w:behaviors>
        <w:description w:val=""/>
        <w:guid w:val="{17E9011C-A2CA-4A9D-B776-3E2D876B3B78}"/>
      </w:docPartPr>
      <w:docPartBody>
        <w:p>
          <w:pPr>
            <w:pStyle w:val="5"/>
          </w:pPr>
          <w:r>
            <w:rPr>
              <w:rStyle w:val="4"/>
              <w:rFonts w:hint="eastAsia"/>
            </w:rPr>
            <w:t>单击或点击此处输入文字。</w:t>
          </w:r>
        </w:p>
      </w:docPartBody>
    </w:docPart>
    <w:docPart>
      <w:docPartPr>
        <w:name w:val="53A7984FDFF24EB89483B90EDB465839"/>
        <w:style w:val=""/>
        <w:category>
          <w:name w:val="常规"/>
          <w:gallery w:val="placeholder"/>
        </w:category>
        <w:types>
          <w:type w:val="bbPlcHdr"/>
        </w:types>
        <w:behaviors>
          <w:behavior w:val="content"/>
        </w:behaviors>
        <w:description w:val=""/>
        <w:guid w:val="{F9C5B9D0-B4B2-4881-823C-AD457DEA2E2D}"/>
      </w:docPartPr>
      <w:docPartBody>
        <w:p>
          <w:pPr>
            <w:pStyle w:val="6"/>
          </w:pPr>
          <w:r>
            <w:rPr>
              <w:rStyle w:val="4"/>
              <w:rFonts w:hint="eastAsia"/>
            </w:rPr>
            <w:t>选择一项。</w:t>
          </w:r>
        </w:p>
      </w:docPartBody>
    </w:docPart>
    <w:docPart>
      <w:docPartPr>
        <w:name w:val="083338BFA937415685A89D9ECD3F517F"/>
        <w:style w:val=""/>
        <w:category>
          <w:name w:val="常规"/>
          <w:gallery w:val="placeholder"/>
        </w:category>
        <w:types>
          <w:type w:val="bbPlcHdr"/>
        </w:types>
        <w:behaviors>
          <w:behavior w:val="content"/>
        </w:behaviors>
        <w:description w:val=""/>
        <w:guid w:val="{A0A37CEA-7DE2-4D49-9901-A444B4412FD7}"/>
      </w:docPartPr>
      <w:docPartBody>
        <w:p>
          <w:pPr>
            <w:pStyle w:val="7"/>
          </w:pPr>
          <w:r>
            <w:rPr>
              <w:rStyle w:val="4"/>
              <w:rFonts w:hint="eastAsia"/>
            </w:rPr>
            <w:t>单击或点击此处输入文字。</w:t>
          </w:r>
        </w:p>
      </w:docPartBody>
    </w:docPart>
    <w:docPart>
      <w:docPartPr>
        <w:name w:val="CBC6EE157D094D4B8074099666514881"/>
        <w:style w:val=""/>
        <w:category>
          <w:name w:val="常规"/>
          <w:gallery w:val="placeholder"/>
        </w:category>
        <w:types>
          <w:type w:val="bbPlcHdr"/>
        </w:types>
        <w:behaviors>
          <w:behavior w:val="content"/>
        </w:behaviors>
        <w:description w:val=""/>
        <w:guid w:val="{DF4849FE-E5ED-42D7-B4BD-04891B47EF2F}"/>
      </w:docPartPr>
      <w:docPartBody>
        <w:p>
          <w:pPr>
            <w:pStyle w:val="8"/>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8F3"/>
    <w:rsid w:val="00007E21"/>
    <w:rsid w:val="00040608"/>
    <w:rsid w:val="00051A54"/>
    <w:rsid w:val="0006009A"/>
    <w:rsid w:val="000609F1"/>
    <w:rsid w:val="000A00BE"/>
    <w:rsid w:val="000B279F"/>
    <w:rsid w:val="000F4C85"/>
    <w:rsid w:val="00106631"/>
    <w:rsid w:val="00112B01"/>
    <w:rsid w:val="00116BA1"/>
    <w:rsid w:val="001337EC"/>
    <w:rsid w:val="001516A7"/>
    <w:rsid w:val="0018697B"/>
    <w:rsid w:val="001B0F69"/>
    <w:rsid w:val="001E1EA7"/>
    <w:rsid w:val="001F29D3"/>
    <w:rsid w:val="00214675"/>
    <w:rsid w:val="00272532"/>
    <w:rsid w:val="00276DF6"/>
    <w:rsid w:val="002A68C7"/>
    <w:rsid w:val="002F6D5E"/>
    <w:rsid w:val="003148F3"/>
    <w:rsid w:val="003413F5"/>
    <w:rsid w:val="00345019"/>
    <w:rsid w:val="003838C0"/>
    <w:rsid w:val="00386FC5"/>
    <w:rsid w:val="00395904"/>
    <w:rsid w:val="00413B55"/>
    <w:rsid w:val="0045327A"/>
    <w:rsid w:val="004719CF"/>
    <w:rsid w:val="0047539F"/>
    <w:rsid w:val="004E374C"/>
    <w:rsid w:val="004E3761"/>
    <w:rsid w:val="004F6839"/>
    <w:rsid w:val="00526D92"/>
    <w:rsid w:val="00537074"/>
    <w:rsid w:val="005436C2"/>
    <w:rsid w:val="00545537"/>
    <w:rsid w:val="005466E1"/>
    <w:rsid w:val="00551D7E"/>
    <w:rsid w:val="0059388E"/>
    <w:rsid w:val="005C546C"/>
    <w:rsid w:val="005D300E"/>
    <w:rsid w:val="005E0442"/>
    <w:rsid w:val="005E25FA"/>
    <w:rsid w:val="006170EE"/>
    <w:rsid w:val="00665119"/>
    <w:rsid w:val="0066569D"/>
    <w:rsid w:val="00692CF7"/>
    <w:rsid w:val="006D2B6E"/>
    <w:rsid w:val="006F09E9"/>
    <w:rsid w:val="00734409"/>
    <w:rsid w:val="00785EC2"/>
    <w:rsid w:val="00795227"/>
    <w:rsid w:val="007A6041"/>
    <w:rsid w:val="007B02A2"/>
    <w:rsid w:val="007F660C"/>
    <w:rsid w:val="00864EE7"/>
    <w:rsid w:val="00871E63"/>
    <w:rsid w:val="00877832"/>
    <w:rsid w:val="008C4AF3"/>
    <w:rsid w:val="008C50D8"/>
    <w:rsid w:val="008E24AD"/>
    <w:rsid w:val="008F6787"/>
    <w:rsid w:val="00913805"/>
    <w:rsid w:val="00913E99"/>
    <w:rsid w:val="009272F1"/>
    <w:rsid w:val="00932F92"/>
    <w:rsid w:val="009549FA"/>
    <w:rsid w:val="00995AAA"/>
    <w:rsid w:val="009A33F9"/>
    <w:rsid w:val="009A447F"/>
    <w:rsid w:val="009D534D"/>
    <w:rsid w:val="009E061D"/>
    <w:rsid w:val="009E6538"/>
    <w:rsid w:val="00A11DE4"/>
    <w:rsid w:val="00A31A61"/>
    <w:rsid w:val="00A46BA4"/>
    <w:rsid w:val="00A54195"/>
    <w:rsid w:val="00AC68A6"/>
    <w:rsid w:val="00AE06B2"/>
    <w:rsid w:val="00AE2C06"/>
    <w:rsid w:val="00AF3A93"/>
    <w:rsid w:val="00B04271"/>
    <w:rsid w:val="00B1132E"/>
    <w:rsid w:val="00B41EB7"/>
    <w:rsid w:val="00B55187"/>
    <w:rsid w:val="00B904B8"/>
    <w:rsid w:val="00BB2248"/>
    <w:rsid w:val="00BD67B3"/>
    <w:rsid w:val="00C36CD5"/>
    <w:rsid w:val="00C82464"/>
    <w:rsid w:val="00C952BE"/>
    <w:rsid w:val="00CA4239"/>
    <w:rsid w:val="00CB1226"/>
    <w:rsid w:val="00CD1242"/>
    <w:rsid w:val="00CD618C"/>
    <w:rsid w:val="00D10A0C"/>
    <w:rsid w:val="00D14CE2"/>
    <w:rsid w:val="00D35BB1"/>
    <w:rsid w:val="00DA1957"/>
    <w:rsid w:val="00DE2052"/>
    <w:rsid w:val="00E16DA2"/>
    <w:rsid w:val="00E473F0"/>
    <w:rsid w:val="00E9606B"/>
    <w:rsid w:val="00EA7203"/>
    <w:rsid w:val="00EB432E"/>
    <w:rsid w:val="00EE4924"/>
    <w:rsid w:val="00EF4C11"/>
    <w:rsid w:val="00F001CF"/>
    <w:rsid w:val="00F20583"/>
    <w:rsid w:val="00F30003"/>
    <w:rsid w:val="00F33B2B"/>
    <w:rsid w:val="00F53B05"/>
    <w:rsid w:val="00F7514C"/>
    <w:rsid w:val="00FF1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815B9B31323F49D8A16D9D48E897B3E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53A7984FDFF24EB89483B90EDB46583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083338BFA937415685A89D9ECD3F517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CBC6EE157D094D4B807409966651488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39</Pages>
  <Words>4962</Words>
  <Characters>28288</Characters>
  <Lines>235</Lines>
  <Paragraphs>66</Paragraphs>
  <TotalTime>1</TotalTime>
  <ScaleCrop>false</ScaleCrop>
  <LinksUpToDate>false</LinksUpToDate>
  <CharactersWithSpaces>33184</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2023-04-04T09:17:00Z</dcterms:created>
  <dc:creator>Administrator</dc:creator>
  <dc:description>&lt;config cover="true" show_menu="true" version="1.0.0" doctype="SDKXY"&gt;_x000d_
&lt;/config&gt;</dc:description>
  <cp:lastModifiedBy>user</cp:lastModifiedBy>
  <cp:lastPrinted>2022-03-22T14:39:00Z</cp:lastPrinted>
  <dcterms:modified xsi:type="dcterms:W3CDTF">2023-04-07T16:48:14Z</dcterms:modified>
  <dc:title>地方标准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2052-11.8.2.10489</vt:lpwstr>
  </property>
  <property fmtid="{D5CDD505-2E9C-101B-9397-08002B2CF9AE}" pid="16" name="ICV">
    <vt:lpwstr>157C9B950D7941ACA601834687F39F06</vt:lpwstr>
  </property>
</Properties>
</file>