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2"/>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color w:val="auto"/>
                <w:sz w:val="21"/>
                <w:szCs w:val="21"/>
              </w:rPr>
            </w:pPr>
            <w:bookmarkStart w:id="107" w:name="_GoBack"/>
            <w:bookmarkEnd w:id="107"/>
            <w:r>
              <w:rPr>
                <w:rFonts w:ascii="Times New Roman" w:hAnsi="Times New Roman" w:eastAsia="黑体"/>
                <w:color w:val="auto"/>
                <w:sz w:val="21"/>
                <w:szCs w:val="21"/>
              </w:rPr>
              <w:t>ICS</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color w:val="auto"/>
                <w:sz w:val="21"/>
                <w:szCs w:val="21"/>
              </w:rPr>
            </w:pPr>
            <w:r>
              <w:rPr>
                <w:rFonts w:ascii="黑体" w:hAnsi="黑体" w:eastAsia="黑体"/>
                <w:color w:val="auto"/>
                <w:sz w:val="21"/>
                <w:szCs w:val="21"/>
              </w:rPr>
              <w:fldChar w:fldCharType="begin">
                <w:ffData>
                  <w:name w:val="ICS"/>
                  <w:enabled/>
                  <w:calcOnExit w:val="0"/>
                  <w:textInput>
                    <w:default w:val="点击此处添加ICS号"/>
                  </w:textInput>
                </w:ffData>
              </w:fldChar>
            </w:r>
            <w:bookmarkStart w:id="0" w:name="ICS"/>
            <w:r>
              <w:rPr>
                <w:rFonts w:ascii="黑体" w:hAnsi="黑体" w:eastAsia="黑体"/>
                <w:color w:val="auto"/>
                <w:sz w:val="21"/>
                <w:szCs w:val="21"/>
              </w:rPr>
              <w:instrText xml:space="preserve"> FORMTEXT </w:instrText>
            </w:r>
            <w:r>
              <w:rPr>
                <w:rFonts w:ascii="黑体" w:hAnsi="黑体" w:eastAsia="黑体"/>
                <w:color w:val="auto"/>
                <w:sz w:val="21"/>
                <w:szCs w:val="21"/>
              </w:rPr>
              <w:fldChar w:fldCharType="separate"/>
            </w:r>
            <w:r>
              <w:rPr>
                <w:rFonts w:ascii="黑体" w:hAnsi="黑体" w:eastAsia="黑体"/>
                <w:color w:val="auto"/>
                <w:sz w:val="21"/>
                <w:szCs w:val="21"/>
              </w:rPr>
              <w:t>93.020</w:t>
            </w:r>
            <w:r>
              <w:rPr>
                <w:rFonts w:ascii="黑体" w:hAnsi="黑体" w:eastAsia="黑体"/>
                <w:color w:val="auto"/>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rPr>
            </w:pPr>
            <w:r>
              <w:rPr>
                <w:rFonts w:ascii="Times New Roman" w:hAnsi="Times New Roman" w:eastAsia="黑体"/>
                <w:color w:val="auto"/>
                <w:sz w:val="21"/>
                <w:szCs w:val="21"/>
              </w:rPr>
              <w:t>CCS</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color w:val="auto"/>
                <w:sz w:val="21"/>
                <w:szCs w:val="21"/>
              </w:rPr>
            </w:pPr>
            <w:r>
              <w:rPr>
                <w:rFonts w:ascii="黑体" w:hAnsi="黑体" w:eastAsia="黑体"/>
                <w:color w:val="auto"/>
                <w:sz w:val="21"/>
                <w:szCs w:val="21"/>
              </w:rPr>
              <w:fldChar w:fldCharType="begin">
                <w:ffData>
                  <w:name w:val="CSDN"/>
                  <w:enabled/>
                  <w:calcOnExit w:val="0"/>
                  <w:textInput>
                    <w:default w:val="点击此处添加CCS号"/>
                  </w:textInput>
                </w:ffData>
              </w:fldChar>
            </w:r>
            <w:bookmarkStart w:id="1" w:name="CSDN"/>
            <w:r>
              <w:rPr>
                <w:rFonts w:ascii="黑体" w:hAnsi="黑体" w:eastAsia="黑体"/>
                <w:color w:val="auto"/>
                <w:sz w:val="21"/>
                <w:szCs w:val="21"/>
              </w:rPr>
              <w:instrText xml:space="preserve"> FORMTEXT </w:instrText>
            </w:r>
            <w:r>
              <w:rPr>
                <w:rFonts w:ascii="黑体" w:hAnsi="黑体" w:eastAsia="黑体"/>
                <w:color w:val="auto"/>
                <w:sz w:val="21"/>
                <w:szCs w:val="21"/>
              </w:rPr>
              <w:fldChar w:fldCharType="separate"/>
            </w:r>
            <w:r>
              <w:rPr>
                <w:rFonts w:ascii="黑体" w:hAnsi="黑体" w:eastAsia="黑体"/>
                <w:color w:val="auto"/>
                <w:sz w:val="21"/>
                <w:szCs w:val="21"/>
              </w:rPr>
              <w:t>P 26</w:t>
            </w:r>
            <w:r>
              <w:rPr>
                <w:rFonts w:ascii="黑体" w:hAnsi="黑体" w:eastAsia="黑体"/>
                <w:color w:val="auto"/>
                <w:sz w:val="21"/>
                <w:szCs w:val="21"/>
              </w:rPr>
              <w:fldChar w:fldCharType="end"/>
            </w:r>
            <w:bookmarkEnd w:id="1"/>
          </w:p>
        </w:tc>
      </w:tr>
    </w:tbl>
    <w:tbl>
      <w:tblPr>
        <w:tblStyle w:val="32"/>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5"/>
              <w:framePr w:w="0" w:hRule="auto" w:wrap="auto" w:vAnchor="margin" w:hAnchor="text" w:xAlign="left" w:yAlign="inline"/>
              <w:rPr>
                <w:rFonts w:ascii="宋体" w:hAnsi="宋体"/>
                <w:color w:val="auto"/>
                <w:sz w:val="28"/>
                <w:szCs w:val="28"/>
              </w:rPr>
            </w:pPr>
            <w:bookmarkStart w:id="2" w:name="_Hlk26473981"/>
            <w:r>
              <w:rPr>
                <w:color w:val="auto"/>
              </w:rP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6"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color w:val="auto"/>
              </w:rPr>
              <w:fldChar w:fldCharType="begin">
                <w:ffData>
                  <w:name w:val="c1"/>
                  <w:enabled/>
                  <w:calcOnExit w:val="0"/>
                  <w:textInput>
                    <w:maxLength w:val="8"/>
                  </w:textInput>
                </w:ffData>
              </w:fldChar>
            </w:r>
            <w:bookmarkStart w:id="3" w:name="c1"/>
            <w:r>
              <w:rPr>
                <w:color w:val="auto"/>
              </w:rPr>
              <w:instrText xml:space="preserve"> FORMTEXT </w:instrText>
            </w:r>
            <w:r>
              <w:rPr>
                <w:color w:val="auto"/>
              </w:rPr>
              <w:fldChar w:fldCharType="separate"/>
            </w:r>
            <w:r>
              <w:rPr>
                <w:color w:val="auto"/>
              </w:rPr>
              <w:t>42</w:t>
            </w:r>
            <w:r>
              <w:rPr>
                <w:color w:val="auto"/>
              </w:rPr>
              <w:fldChar w:fldCharType="end"/>
            </w:r>
            <w:bookmarkEnd w:id="3"/>
          </w:p>
        </w:tc>
      </w:tr>
    </w:tbl>
    <w:p>
      <w:pPr>
        <w:pStyle w:val="56"/>
        <w:framePr w:w="9639" w:h="624" w:hRule="exact" w:hSpace="181" w:vSpace="181" w:hAnchor="page" w:x="1305" w:y="2269"/>
        <w:rPr>
          <w:rFonts w:ascii="黑体" w:hAnsi="黑体" w:eastAsia="黑体"/>
          <w:b w:val="0"/>
          <w:bCs w:val="0"/>
          <w:color w:val="auto"/>
          <w:w w:val="100"/>
          <w:sz w:val="48"/>
          <w:szCs w:val="48"/>
        </w:rPr>
      </w:pPr>
      <w:r>
        <w:rPr>
          <w:rFonts w:ascii="黑体" w:eastAsia="黑体"/>
          <w:b w:val="0"/>
          <w:color w:val="auto"/>
          <w:w w:val="100"/>
          <w:sz w:val="48"/>
        </w:rPr>
        <w:fldChar w:fldCharType="begin">
          <w:ffData>
            <w:name w:val="c2"/>
            <w:enabled/>
            <w:calcOnExit w:val="0"/>
            <w:textInput/>
          </w:ffData>
        </w:fldChar>
      </w:r>
      <w:bookmarkStart w:id="4" w:name="c2"/>
      <w:r>
        <w:rPr>
          <w:rFonts w:ascii="黑体" w:eastAsia="黑体"/>
          <w:b w:val="0"/>
          <w:color w:val="auto"/>
          <w:w w:val="100"/>
          <w:sz w:val="48"/>
        </w:rPr>
        <w:instrText xml:space="preserve"> FORMTEXT </w:instrText>
      </w:r>
      <w:r>
        <w:rPr>
          <w:rFonts w:ascii="黑体" w:eastAsia="黑体"/>
          <w:b w:val="0"/>
          <w:color w:val="auto"/>
          <w:w w:val="100"/>
          <w:sz w:val="48"/>
        </w:rPr>
        <w:fldChar w:fldCharType="separate"/>
      </w:r>
      <w:r>
        <w:rPr>
          <w:rFonts w:hint="eastAsia" w:ascii="黑体" w:eastAsia="黑体"/>
          <w:b w:val="0"/>
          <w:color w:val="auto"/>
          <w:w w:val="100"/>
          <w:sz w:val="48"/>
        </w:rPr>
        <w:t>湖北省</w:t>
      </w:r>
      <w:r>
        <w:rPr>
          <w:rFonts w:ascii="黑体" w:eastAsia="黑体"/>
          <w:b w:val="0"/>
          <w:color w:val="auto"/>
          <w:w w:val="100"/>
          <w:sz w:val="48"/>
        </w:rPr>
        <w:fldChar w:fldCharType="end"/>
      </w:r>
      <w:bookmarkEnd w:id="4"/>
      <w:r>
        <w:rPr>
          <w:rFonts w:hint="eastAsia" w:ascii="黑体" w:hAnsi="黑体" w:eastAsia="黑体"/>
          <w:b w:val="0"/>
          <w:bCs w:val="0"/>
          <w:color w:val="auto"/>
          <w:w w:val="100"/>
          <w:sz w:val="48"/>
          <w:szCs w:val="48"/>
        </w:rPr>
        <w:t>地方标准</w:t>
      </w:r>
    </w:p>
    <w:bookmarkEnd w:id="2"/>
    <w:p>
      <w:pPr>
        <w:pStyle w:val="201"/>
        <w:framePr/>
        <w:rPr>
          <w:color w:val="auto"/>
          <w:lang w:val="fr-FR"/>
        </w:rPr>
      </w:pPr>
      <w:r>
        <w:rPr>
          <w:color w:val="auto"/>
          <w:lang w:val="fr-FR"/>
        </w:rPr>
        <w:t>DB</w:t>
      </w:r>
      <w:r>
        <w:rPr>
          <w:color w:val="auto"/>
        </w:rPr>
        <w:fldChar w:fldCharType="begin">
          <w:ffData>
            <w:name w:val="文字1"/>
            <w:enabled/>
            <w:calcOnExit w:val="0"/>
            <w:textInput>
              <w:default w:val="XX/T"/>
            </w:textInput>
          </w:ffData>
        </w:fldChar>
      </w:r>
      <w:bookmarkStart w:id="5" w:name="文字1"/>
      <w:r>
        <w:rPr>
          <w:color w:val="auto"/>
          <w:lang w:val="fr-FR"/>
        </w:rPr>
        <w:instrText xml:space="preserve"> FORMTEXT </w:instrText>
      </w:r>
      <w:r>
        <w:rPr>
          <w:color w:val="auto"/>
        </w:rPr>
        <w:fldChar w:fldCharType="separate"/>
      </w:r>
      <w:r>
        <w:rPr>
          <w:color w:val="auto"/>
          <w:lang w:val="fr-FR"/>
        </w:rPr>
        <w:t>XX/T</w:t>
      </w:r>
      <w:r>
        <w:rPr>
          <w:color w:val="auto"/>
        </w:rPr>
        <w:fldChar w:fldCharType="end"/>
      </w:r>
      <w:bookmarkEnd w:id="5"/>
      <w:r>
        <w:rPr>
          <w:color w:val="auto"/>
        </w:rPr>
        <w:fldChar w:fldCharType="begin">
          <w:ffData>
            <w:name w:val="NSTD_CODE_F"/>
            <w:enabled/>
            <w:calcOnExit w:val="0"/>
            <w:textInput>
              <w:default w:val="XXXX"/>
            </w:textInput>
          </w:ffData>
        </w:fldChar>
      </w:r>
      <w:bookmarkStart w:id="6" w:name="NSTD_CODE_F"/>
      <w:r>
        <w:rPr>
          <w:color w:val="auto"/>
          <w:lang w:val="fr-FR"/>
        </w:rPr>
        <w:instrText xml:space="preserve"> FORMTEXT </w:instrText>
      </w:r>
      <w:r>
        <w:rPr>
          <w:color w:val="auto"/>
        </w:rPr>
        <w:fldChar w:fldCharType="separate"/>
      </w:r>
      <w:r>
        <w:rPr>
          <w:color w:val="auto"/>
          <w:lang w:val="fr-FR"/>
        </w:rPr>
        <w:t>XXXX</w:t>
      </w:r>
      <w:r>
        <w:rPr>
          <w:color w:val="auto"/>
        </w:rPr>
        <w:fldChar w:fldCharType="end"/>
      </w:r>
      <w:bookmarkEnd w:id="6"/>
      <w:r>
        <w:rPr>
          <w:rFonts w:hAnsi="黑体"/>
          <w:color w:val="auto"/>
          <w:lang w:val="fr-FR"/>
        </w:rPr>
        <w:t>—</w:t>
      </w:r>
      <w:r>
        <w:rPr>
          <w:color w:val="auto"/>
        </w:rPr>
        <w:fldChar w:fldCharType="begin">
          <w:ffData>
            <w:name w:val="NSTD_CODE_B"/>
            <w:enabled/>
            <w:calcOnExit w:val="0"/>
            <w:textInput>
              <w:default w:val="XXXX"/>
            </w:textInput>
          </w:ffData>
        </w:fldChar>
      </w:r>
      <w:bookmarkStart w:id="7" w:name="NSTD_CODE_B"/>
      <w:r>
        <w:rPr>
          <w:color w:val="auto"/>
          <w:lang w:val="fr-FR"/>
        </w:rPr>
        <w:instrText xml:space="preserve"> FORMTEXT </w:instrText>
      </w:r>
      <w:r>
        <w:rPr>
          <w:color w:val="auto"/>
        </w:rPr>
        <w:fldChar w:fldCharType="separate"/>
      </w:r>
      <w:r>
        <w:rPr>
          <w:color w:val="auto"/>
          <w:lang w:val="fr-FR"/>
        </w:rPr>
        <w:t>XXXX</w:t>
      </w:r>
      <w:r>
        <w:rPr>
          <w:color w:val="auto"/>
        </w:rPr>
        <w:fldChar w:fldCharType="end"/>
      </w:r>
      <w:bookmarkEnd w:id="7"/>
    </w:p>
    <w:p>
      <w:pPr>
        <w:pStyle w:val="202"/>
        <w:framePr/>
        <w:rPr>
          <w:rFonts w:hAnsi="黑体"/>
          <w:color w:val="auto"/>
        </w:rPr>
      </w:pPr>
      <w:r>
        <w:rPr>
          <w:rFonts w:hAnsi="黑体"/>
          <w:color w:val="auto"/>
        </w:rPr>
        <w:fldChar w:fldCharType="begin">
          <w:ffData>
            <w:name w:val="OSTD_CODE"/>
            <w:enabled/>
            <w:calcOnExit w:val="0"/>
            <w:textInput/>
          </w:ffData>
        </w:fldChar>
      </w:r>
      <w:bookmarkStart w:id="8"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8"/>
    </w:p>
    <w:p>
      <w:pPr>
        <w:spacing w:line="240" w:lineRule="auto"/>
        <w:rPr>
          <w:rFonts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J4NJltgA&#10;AAAMAQAADwAAAAAAAAABACAAAAA4AAAAZHJzL2Rvd25yZXYueG1sUEsBAhQAFAAAAAgAh07iQOoQ&#10;p33QAQAAbwMAAA4AAAAAAAAAAQAgAAAAPQEAAGRycy9lMm9Eb2MueG1sUEsFBgAAAAAGAAYAWQEA&#10;AH8FAAAAAA==&#10;">
                <v:fill on="f" focussize="0,0"/>
                <v:stroke color="#000000" joinstyle="round"/>
                <v:imagedata o:title=""/>
                <o:lock v:ext="edit" aspectratio="f"/>
              </v:line>
            </w:pict>
          </mc:Fallback>
        </mc:AlternateContent>
      </w:r>
    </w:p>
    <w:p>
      <w:pPr>
        <w:pStyle w:val="56"/>
        <w:framePr w:w="9639" w:h="6976" w:hRule="exact" w:hSpace="0" w:vSpace="0" w:hAnchor="page" w:y="6408"/>
        <w:jc w:val="center"/>
        <w:rPr>
          <w:rFonts w:ascii="黑体" w:hAnsi="黑体" w:eastAsia="黑体"/>
          <w:b w:val="0"/>
          <w:bCs w:val="0"/>
          <w:color w:val="auto"/>
          <w:w w:val="100"/>
        </w:rPr>
      </w:pPr>
    </w:p>
    <w:p>
      <w:pPr>
        <w:pStyle w:val="203"/>
        <w:framePr w:h="6974" w:hRule="exact" w:x="1419" w:anchorLock="1"/>
        <w:rPr>
          <w:rFonts w:hint="eastAsia" w:eastAsia="黑体"/>
          <w:color w:val="auto"/>
          <w:lang w:val="en-US" w:eastAsia="zh-CN"/>
        </w:rPr>
      </w:pPr>
      <w:r>
        <w:rPr>
          <w:color w:val="auto"/>
        </w:rPr>
        <w:fldChar w:fldCharType="begin">
          <w:ffData>
            <w:name w:val="CSTD_NAME"/>
            <w:enabled/>
            <w:calcOnExit w:val="0"/>
            <w:textInput>
              <w:default w:val="点击此处添加标准名称"/>
            </w:textInput>
          </w:ffData>
        </w:fldChar>
      </w:r>
      <w:bookmarkStart w:id="9" w:name="CSTD_NAME"/>
      <w:r>
        <w:rPr>
          <w:color w:val="auto"/>
        </w:rPr>
        <w:instrText xml:space="preserve"> FORMTEXT </w:instrText>
      </w:r>
      <w:r>
        <w:rPr>
          <w:color w:val="auto"/>
        </w:rPr>
        <w:fldChar w:fldCharType="separate"/>
      </w:r>
      <w:r>
        <w:rPr>
          <w:rFonts w:hint="eastAsia"/>
          <w:color w:val="auto"/>
        </w:rPr>
        <w:t>大直径钢套筒辅助泥水盾构</w:t>
      </w:r>
      <w:r>
        <w:rPr>
          <w:rFonts w:hint="eastAsia"/>
          <w:color w:val="auto"/>
          <w:lang w:val="en-US" w:eastAsia="zh-CN"/>
        </w:rPr>
        <w:t>施工</w:t>
      </w:r>
    </w:p>
    <w:p>
      <w:pPr>
        <w:pStyle w:val="203"/>
        <w:framePr w:h="6974" w:hRule="exact" w:x="1419" w:anchorLock="1"/>
        <w:rPr>
          <w:color w:val="auto"/>
        </w:rPr>
      </w:pPr>
      <w:r>
        <w:rPr>
          <w:rFonts w:hint="eastAsia"/>
          <w:color w:val="auto"/>
        </w:rPr>
        <w:t>技术规程</w:t>
      </w:r>
      <w:r>
        <w:rPr>
          <w:color w:val="auto"/>
        </w:rPr>
        <w:fldChar w:fldCharType="end"/>
      </w:r>
      <w:bookmarkEnd w:id="9"/>
    </w:p>
    <w:p>
      <w:pPr>
        <w:framePr w:w="9639" w:h="6974" w:hRule="exact" w:wrap="around" w:vAnchor="page" w:hAnchor="page" w:x="1419" w:y="6408" w:anchorLock="1"/>
        <w:ind w:left="-1418"/>
        <w:rPr>
          <w:color w:val="auto"/>
        </w:rPr>
      </w:pPr>
    </w:p>
    <w:p>
      <w:pPr>
        <w:pStyle w:val="131"/>
        <w:framePr w:w="9639" w:h="6974" w:hRule="exact" w:wrap="around" w:vAnchor="page" w:hAnchor="page" w:x="1419" w:y="6408" w:anchorLock="1"/>
        <w:textAlignment w:val="bottom"/>
        <w:rPr>
          <w:rFonts w:eastAsia="黑体"/>
          <w:color w:val="auto"/>
          <w:szCs w:val="28"/>
        </w:rPr>
      </w:pPr>
      <w:r>
        <w:rPr>
          <w:rFonts w:eastAsia="黑体"/>
          <w:color w:val="auto"/>
          <w:szCs w:val="28"/>
        </w:rPr>
        <w:fldChar w:fldCharType="begin">
          <w:ffData>
            <w:name w:val="ESTD_NAME"/>
            <w:enabled/>
            <w:calcOnExit w:val="0"/>
            <w:textInput>
              <w:default w:val="点击此处添加标准名称的英文译名"/>
            </w:textInput>
          </w:ffData>
        </w:fldChar>
      </w:r>
      <w:bookmarkStart w:id="10" w:name="ESTD_NAME"/>
      <w:r>
        <w:rPr>
          <w:rFonts w:eastAsia="黑体"/>
          <w:color w:val="auto"/>
          <w:szCs w:val="28"/>
        </w:rPr>
        <w:instrText xml:space="preserve"> FORMTEXT </w:instrText>
      </w:r>
      <w:r>
        <w:rPr>
          <w:rFonts w:eastAsia="黑体"/>
          <w:color w:val="auto"/>
          <w:szCs w:val="28"/>
        </w:rPr>
        <w:fldChar w:fldCharType="separate"/>
      </w:r>
      <w:r>
        <w:rPr>
          <w:rFonts w:eastAsia="黑体"/>
          <w:color w:val="auto"/>
          <w:szCs w:val="28"/>
        </w:rPr>
        <w:t xml:space="preserve">Technical </w:t>
      </w:r>
      <w:r>
        <w:rPr>
          <w:rFonts w:hint="eastAsia" w:eastAsia="黑体"/>
          <w:color w:val="auto"/>
          <w:szCs w:val="28"/>
        </w:rPr>
        <w:t xml:space="preserve">specification for construction of large-diameter steel sleeve auxiliary shield tunnel </w:t>
      </w:r>
      <w:r>
        <w:rPr>
          <w:rFonts w:hint="eastAsia" w:eastAsia="黑体"/>
          <w:color w:val="auto"/>
          <w:szCs w:val="28"/>
          <w:lang w:val="en-US" w:eastAsia="zh-CN"/>
        </w:rPr>
        <w:t>construction</w:t>
      </w: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p>
    <w:p>
      <w:pPr>
        <w:pStyle w:val="131"/>
        <w:framePr w:w="9639" w:h="6974" w:hRule="exact" w:wrap="around" w:vAnchor="page" w:hAnchor="page" w:x="1419" w:y="6408" w:anchorLock="1"/>
        <w:textAlignment w:val="bottom"/>
        <w:rPr>
          <w:rFonts w:eastAsia="黑体"/>
          <w:color w:val="auto"/>
          <w:szCs w:val="28"/>
        </w:rPr>
      </w:pPr>
      <w:r>
        <w:rPr>
          <w:rFonts w:hint="eastAsia" w:eastAsia="黑体"/>
          <w:color w:val="auto"/>
          <w:szCs w:val="28"/>
        </w:rPr>
        <w:t>（</w:t>
      </w:r>
      <w:r>
        <w:rPr>
          <w:rFonts w:hint="eastAsia" w:eastAsia="黑体"/>
          <w:color w:val="auto"/>
          <w:szCs w:val="28"/>
          <w:lang w:val="en-US" w:eastAsia="zh-CN"/>
        </w:rPr>
        <w:t>征求意见稿</w:t>
      </w:r>
      <w:r>
        <w:rPr>
          <w:rFonts w:hint="eastAsia" w:eastAsia="黑体"/>
          <w:color w:val="auto"/>
          <w:szCs w:val="28"/>
        </w:rPr>
        <w:t>）</w:t>
      </w:r>
      <w:r>
        <w:rPr>
          <w:rFonts w:eastAsia="黑体"/>
          <w:color w:val="auto"/>
          <w:szCs w:val="28"/>
        </w:rPr>
        <w:fldChar w:fldCharType="end"/>
      </w:r>
      <w:bookmarkEnd w:id="10"/>
    </w:p>
    <w:p>
      <w:pPr>
        <w:framePr w:w="9639" w:h="6974" w:hRule="exact" w:wrap="around" w:vAnchor="page" w:hAnchor="page" w:x="1419" w:y="6408" w:anchorLock="1"/>
        <w:spacing w:line="760" w:lineRule="exact"/>
        <w:ind w:left="-1418"/>
        <w:rPr>
          <w:color w:val="auto"/>
        </w:rPr>
      </w:pPr>
    </w:p>
    <w:p>
      <w:pPr>
        <w:pStyle w:val="131"/>
        <w:framePr w:w="9639" w:h="6974" w:hRule="exact" w:wrap="around" w:vAnchor="page" w:hAnchor="page" w:x="1419" w:y="6408" w:anchorLock="1"/>
        <w:textAlignment w:val="bottom"/>
        <w:rPr>
          <w:rFonts w:eastAsia="黑体"/>
          <w:color w:val="auto"/>
          <w:szCs w:val="28"/>
        </w:rPr>
      </w:pPr>
    </w:p>
    <w:p>
      <w:pPr>
        <w:pStyle w:val="199"/>
        <w:framePr w:y="14176"/>
        <w:rPr>
          <w:color w:val="auto"/>
        </w:rPr>
      </w:pPr>
      <w:r>
        <w:rPr>
          <w:rFonts w:ascii="黑体"/>
          <w:color w:val="auto"/>
        </w:rPr>
        <w:fldChar w:fldCharType="begin">
          <w:ffData>
            <w:name w:val="PLSH_DATE_Y"/>
            <w:enabled/>
            <w:calcOnExit w:val="0"/>
            <w:textInput>
              <w:default w:val="XXXX"/>
              <w:maxLength w:val="4"/>
            </w:textInput>
          </w:ffData>
        </w:fldChar>
      </w:r>
      <w:bookmarkStart w:id="11" w:name="PLSH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11"/>
      <w:r>
        <w:rPr>
          <w:rFonts w:ascii="黑体"/>
          <w:color w:val="auto"/>
        </w:rPr>
        <w:t>-</w:t>
      </w:r>
      <w:r>
        <w:rPr>
          <w:rFonts w:ascii="黑体"/>
          <w:color w:val="auto"/>
        </w:rPr>
        <w:fldChar w:fldCharType="begin">
          <w:ffData>
            <w:name w:val="PLSH_DATE_M"/>
            <w:enabled/>
            <w:calcOnExit w:val="0"/>
            <w:textInput>
              <w:default w:val="XX"/>
              <w:maxLength w:val="2"/>
            </w:textInput>
          </w:ffData>
        </w:fldChar>
      </w:r>
      <w:bookmarkStart w:id="12"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2"/>
      <w:r>
        <w:rPr>
          <w:rFonts w:ascii="黑体"/>
          <w:color w:val="auto"/>
        </w:rPr>
        <w:t>-</w:t>
      </w:r>
      <w:r>
        <w:rPr>
          <w:rFonts w:ascii="黑体"/>
          <w:color w:val="auto"/>
        </w:rPr>
        <w:fldChar w:fldCharType="begin">
          <w:ffData>
            <w:name w:val="PLSH_DATE_D"/>
            <w:enabled/>
            <w:calcOnExit w:val="0"/>
            <w:textInput>
              <w:default w:val="XX"/>
              <w:maxLength w:val="2"/>
            </w:textInput>
          </w:ffData>
        </w:fldChar>
      </w:r>
      <w:bookmarkStart w:id="13"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3"/>
      <w:r>
        <w:rPr>
          <w:rFonts w:hint="eastAsia"/>
          <w:color w:val="auto"/>
        </w:rPr>
        <w:t>发布</w:t>
      </w:r>
    </w:p>
    <w:p>
      <w:pPr>
        <w:pStyle w:val="200"/>
        <w:framePr w:y="14176"/>
        <w:rPr>
          <w:color w:val="auto"/>
        </w:rPr>
      </w:pPr>
      <w:r>
        <w:rPr>
          <w:rFonts w:ascii="黑体"/>
          <w:color w:val="auto"/>
        </w:rPr>
        <w:fldChar w:fldCharType="begin">
          <w:ffData>
            <w:name w:val="CROT_DATE_Y"/>
            <w:enabled/>
            <w:calcOnExit w:val="0"/>
            <w:textInput>
              <w:default w:val="XXXX"/>
              <w:maxLength w:val="4"/>
            </w:textInput>
          </w:ffData>
        </w:fldChar>
      </w:r>
      <w:bookmarkStart w:id="14"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14"/>
      <w:r>
        <w:rPr>
          <w:rFonts w:ascii="黑体"/>
          <w:color w:val="auto"/>
        </w:rPr>
        <w:t>-</w:t>
      </w:r>
      <w:r>
        <w:rPr>
          <w:rFonts w:ascii="黑体"/>
          <w:color w:val="auto"/>
        </w:rPr>
        <w:fldChar w:fldCharType="begin">
          <w:ffData>
            <w:name w:val="CROT_DATE_M"/>
            <w:enabled/>
            <w:calcOnExit w:val="0"/>
            <w:textInput>
              <w:default w:val="XX"/>
              <w:maxLength w:val="2"/>
            </w:textInput>
          </w:ffData>
        </w:fldChar>
      </w:r>
      <w:bookmarkStart w:id="15"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5"/>
      <w:r>
        <w:rPr>
          <w:rFonts w:ascii="黑体"/>
          <w:color w:val="auto"/>
        </w:rPr>
        <w:t>-</w:t>
      </w:r>
      <w:r>
        <w:rPr>
          <w:rFonts w:ascii="黑体"/>
          <w:color w:val="auto"/>
        </w:rPr>
        <w:fldChar w:fldCharType="begin">
          <w:ffData>
            <w:name w:val="CROT_DATE_D"/>
            <w:enabled/>
            <w:calcOnExit w:val="0"/>
            <w:textInput>
              <w:default w:val="XX"/>
              <w:maxLength w:val="2"/>
            </w:textInput>
          </w:ffData>
        </w:fldChar>
      </w:r>
      <w:bookmarkStart w:id="16"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6"/>
      <w:r>
        <w:rPr>
          <w:rFonts w:hint="eastAsia"/>
          <w:color w:val="auto"/>
        </w:rPr>
        <w:t>实施</w:t>
      </w:r>
    </w:p>
    <w:tbl>
      <w:tblPr>
        <w:tblStyle w:val="31"/>
        <w:tblpPr w:leftFromText="180" w:rightFromText="180" w:vertAnchor="text" w:horzAnchor="margin" w:tblpXSpec="center" w:tblpY="14394"/>
        <w:tblW w:w="6946" w:type="dxa"/>
        <w:tblInd w:w="0" w:type="dxa"/>
        <w:tblLayout w:type="fixed"/>
        <w:tblCellMar>
          <w:top w:w="0" w:type="dxa"/>
          <w:left w:w="108" w:type="dxa"/>
          <w:bottom w:w="0" w:type="dxa"/>
          <w:right w:w="108" w:type="dxa"/>
        </w:tblCellMar>
      </w:tblPr>
      <w:tblGrid>
        <w:gridCol w:w="4925"/>
        <w:gridCol w:w="2021"/>
      </w:tblGrid>
      <w:tr>
        <w:tblPrEx>
          <w:tblCellMar>
            <w:top w:w="0" w:type="dxa"/>
            <w:left w:w="108" w:type="dxa"/>
            <w:bottom w:w="0" w:type="dxa"/>
            <w:right w:w="108" w:type="dxa"/>
          </w:tblCellMar>
        </w:tblPrEx>
        <w:tc>
          <w:tcPr>
            <w:tcW w:w="4925" w:type="dxa"/>
            <w:vAlign w:val="center"/>
          </w:tcPr>
          <w:p>
            <w:pPr>
              <w:spacing w:line="0" w:lineRule="atLeast"/>
              <w:jc w:val="distribute"/>
              <w:rPr>
                <w:rFonts w:ascii="黑体" w:hAnsi="Calibri Light" w:eastAsia="黑体"/>
                <w:b/>
                <w:bCs/>
                <w:color w:val="auto"/>
                <w:sz w:val="32"/>
                <w:szCs w:val="32"/>
              </w:rPr>
            </w:pPr>
            <w:r>
              <w:rPr>
                <w:rFonts w:hint="eastAsia" w:ascii="黑体" w:eastAsia="黑体"/>
                <w:color w:val="auto"/>
                <w:sz w:val="32"/>
                <w:szCs w:val="32"/>
              </w:rPr>
              <w:t>湖北省住房和城乡建设厅</w:t>
            </w:r>
          </w:p>
        </w:tc>
        <w:tc>
          <w:tcPr>
            <w:tcW w:w="2021" w:type="dxa"/>
            <w:vMerge w:val="restart"/>
            <w:vAlign w:val="center"/>
          </w:tcPr>
          <w:p>
            <w:pPr>
              <w:spacing w:line="0" w:lineRule="atLeast"/>
              <w:jc w:val="center"/>
              <w:rPr>
                <w:rFonts w:ascii="黑体" w:eastAsia="黑体"/>
                <w:color w:val="auto"/>
                <w:sz w:val="28"/>
                <w:szCs w:val="28"/>
              </w:rPr>
            </w:pPr>
            <w:r>
              <w:rPr>
                <w:rFonts w:hint="eastAsia" w:ascii="黑体" w:eastAsia="黑体"/>
                <w:color w:val="auto"/>
                <w:sz w:val="32"/>
                <w:szCs w:val="28"/>
              </w:rPr>
              <w:t>联 合 发 布</w:t>
            </w:r>
          </w:p>
        </w:tc>
      </w:tr>
      <w:tr>
        <w:tblPrEx>
          <w:tblCellMar>
            <w:top w:w="0" w:type="dxa"/>
            <w:left w:w="108" w:type="dxa"/>
            <w:bottom w:w="0" w:type="dxa"/>
            <w:right w:w="108" w:type="dxa"/>
          </w:tblCellMar>
        </w:tblPrEx>
        <w:trPr>
          <w:trHeight w:val="429" w:hRule="atLeast"/>
        </w:trPr>
        <w:tc>
          <w:tcPr>
            <w:tcW w:w="4925" w:type="dxa"/>
            <w:vAlign w:val="center"/>
          </w:tcPr>
          <w:p>
            <w:pPr>
              <w:spacing w:line="0" w:lineRule="atLeast"/>
              <w:jc w:val="distribute"/>
              <w:rPr>
                <w:rFonts w:ascii="黑体" w:eastAsia="黑体"/>
                <w:color w:val="auto"/>
                <w:sz w:val="32"/>
                <w:szCs w:val="32"/>
              </w:rPr>
            </w:pPr>
            <w:r>
              <w:rPr>
                <w:rFonts w:hint="eastAsia" w:ascii="黑体" w:eastAsia="黑体"/>
                <w:color w:val="auto"/>
                <w:sz w:val="32"/>
                <w:szCs w:val="32"/>
              </w:rPr>
              <w:t>湖北省市场监督管理局</w:t>
            </w:r>
          </w:p>
        </w:tc>
        <w:tc>
          <w:tcPr>
            <w:tcW w:w="2021" w:type="dxa"/>
            <w:vMerge w:val="continue"/>
            <w:vAlign w:val="center"/>
          </w:tcPr>
          <w:p>
            <w:pPr>
              <w:spacing w:line="0" w:lineRule="atLeast"/>
              <w:jc w:val="center"/>
              <w:rPr>
                <w:rFonts w:ascii="黑体" w:eastAsia="黑体"/>
                <w:color w:val="auto"/>
                <w:sz w:val="32"/>
                <w:szCs w:val="32"/>
              </w:rPr>
            </w:pPr>
          </w:p>
        </w:tc>
      </w:tr>
    </w:tbl>
    <w:p>
      <w:pPr>
        <w:rPr>
          <w:rFonts w:ascii="宋体" w:hAnsi="宋体"/>
          <w:color w:val="auto"/>
          <w:sz w:val="28"/>
          <w:szCs w:val="28"/>
        </w:rPr>
        <w:sectPr>
          <w:headerReference r:id="rId7" w:type="first"/>
          <w:footerReference r:id="rId9" w:type="first"/>
          <w:headerReference r:id="rId5" w:type="default"/>
          <w:headerReference r:id="rId6" w:type="even"/>
          <w:footerReference r:id="rId8" w:type="even"/>
          <w:type w:val="continuous"/>
          <w:pgSz w:w="11906" w:h="16838"/>
          <w:pgMar w:top="-338" w:right="1134" w:bottom="1021" w:left="1134" w:header="0" w:footer="0" w:gutter="284"/>
          <w:pgNumType w:fmt="decimal"/>
          <w:cols w:space="425" w:num="1"/>
          <w:titlePg/>
          <w:docGrid w:linePitch="312" w:charSpace="0"/>
        </w:sectPr>
      </w:pPr>
      <w:r>
        <w:rPr>
          <w:rFonts w:ascii="宋体" w:hAnsi="宋体"/>
          <w:color w:val="auto"/>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11"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KszHPvXAAAA&#10;DgEAAA8AAAAAAAAAAQAgAAAAOAAAAGRycy9kb3ducmV2LnhtbFBLAQIUABQAAAAIAIdO4kAChSeD&#10;zwEAAG4DAAAOAAAAAAAAAAEAIAAAADwBAABkcnMvZTJvRG9jLnhtbFBLBQYAAAAABgAGAFkBAAB9&#10;BQAAAAA=&#10;">
                <v:fill on="f" focussize="0,0"/>
                <v:stroke color="#000000" joinstyle="round"/>
                <v:imagedata o:title=""/>
                <o:lock v:ext="edit" aspectratio="f"/>
                <w10:anchorlock/>
              </v:line>
            </w:pict>
          </mc:Fallback>
        </mc:AlternateContent>
      </w:r>
    </w:p>
    <w:p>
      <w:pPr>
        <w:pStyle w:val="97"/>
        <w:spacing w:after="468"/>
        <w:rPr>
          <w:color w:val="auto"/>
        </w:rPr>
      </w:pPr>
      <w:bookmarkStart w:id="17" w:name="BookMark1"/>
      <w:bookmarkStart w:id="18" w:name="_Toc100142409"/>
      <w:r>
        <w:rPr>
          <w:rFonts w:hint="eastAsia"/>
          <w:color w:val="auto"/>
          <w:spacing w:val="320"/>
        </w:rPr>
        <w:t>目</w:t>
      </w:r>
      <w:r>
        <w:rPr>
          <w:rFonts w:hint="eastAsia"/>
          <w:color w:val="auto"/>
        </w:rPr>
        <w:t>次</w:t>
      </w:r>
    </w:p>
    <w:p>
      <w:pPr>
        <w:pStyle w:val="20"/>
        <w:tabs>
          <w:tab w:val="right" w:leader="dot" w:pos="9354"/>
        </w:tabs>
      </w:pPr>
      <w:r>
        <w:rPr>
          <w:color w:val="auto"/>
        </w:rPr>
        <w:fldChar w:fldCharType="begin"/>
      </w:r>
      <w:r>
        <w:rPr>
          <w:color w:val="auto"/>
        </w:rPr>
        <w:instrText xml:space="preserve"> TOC \o "1-1" \h \t "标准文件_一级条标题,2,标准文件_附录一级条标题,2," </w:instrText>
      </w:r>
      <w:r>
        <w:rPr>
          <w:color w:val="auto"/>
        </w:rPr>
        <w:fldChar w:fldCharType="separate"/>
      </w:r>
      <w:r>
        <w:rPr>
          <w:color w:val="auto"/>
        </w:rPr>
        <w:fldChar w:fldCharType="begin"/>
      </w:r>
      <w:r>
        <w:instrText xml:space="preserve"> HYPERLINK \l _Toc10618 </w:instrText>
      </w:r>
      <w:r>
        <w:fldChar w:fldCharType="separate"/>
      </w:r>
      <w:r>
        <w:rPr>
          <w:rFonts w:hint="eastAsia"/>
          <w:spacing w:val="320"/>
        </w:rPr>
        <w:t>前</w:t>
      </w:r>
      <w:r>
        <w:rPr>
          <w:rFonts w:hint="eastAsia"/>
        </w:rPr>
        <w:t>言</w:t>
      </w:r>
      <w:r>
        <w:tab/>
      </w:r>
      <w:r>
        <w:fldChar w:fldCharType="begin"/>
      </w:r>
      <w:r>
        <w:instrText xml:space="preserve"> PAGEREF _Toc10618 \h </w:instrText>
      </w:r>
      <w:r>
        <w:fldChar w:fldCharType="separate"/>
      </w:r>
      <w:r>
        <w:t>III</w:t>
      </w:r>
      <w:r>
        <w:fldChar w:fldCharType="end"/>
      </w:r>
      <w:r>
        <w:rPr>
          <w:color w:val="auto"/>
        </w:rPr>
        <w:fldChar w:fldCharType="end"/>
      </w:r>
    </w:p>
    <w:p>
      <w:pPr>
        <w:pStyle w:val="20"/>
        <w:tabs>
          <w:tab w:val="right" w:leader="dot" w:pos="9354"/>
        </w:tabs>
      </w:pPr>
      <w:r>
        <w:rPr>
          <w:color w:val="auto"/>
        </w:rPr>
        <w:fldChar w:fldCharType="begin"/>
      </w:r>
      <w:r>
        <w:instrText xml:space="preserve"> HYPERLINK \l _Toc9441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_Toc9441 \h </w:instrText>
      </w:r>
      <w:r>
        <w:fldChar w:fldCharType="separate"/>
      </w:r>
      <w:r>
        <w:t>5</w:t>
      </w:r>
      <w:r>
        <w:fldChar w:fldCharType="end"/>
      </w:r>
      <w:r>
        <w:rPr>
          <w:color w:val="auto"/>
        </w:rPr>
        <w:fldChar w:fldCharType="end"/>
      </w:r>
    </w:p>
    <w:p>
      <w:pPr>
        <w:pStyle w:val="20"/>
        <w:tabs>
          <w:tab w:val="right" w:leader="dot" w:pos="9354"/>
        </w:tabs>
      </w:pPr>
      <w:r>
        <w:rPr>
          <w:color w:val="auto"/>
        </w:rPr>
        <w:fldChar w:fldCharType="begin"/>
      </w:r>
      <w:r>
        <w:instrText xml:space="preserve"> HYPERLINK \l _Toc11768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_Toc11768 \h </w:instrText>
      </w:r>
      <w:r>
        <w:fldChar w:fldCharType="separate"/>
      </w:r>
      <w:r>
        <w:t>5</w:t>
      </w:r>
      <w:r>
        <w:fldChar w:fldCharType="end"/>
      </w:r>
      <w:r>
        <w:rPr>
          <w:color w:val="auto"/>
        </w:rPr>
        <w:fldChar w:fldCharType="end"/>
      </w:r>
    </w:p>
    <w:p>
      <w:pPr>
        <w:pStyle w:val="20"/>
        <w:tabs>
          <w:tab w:val="right" w:leader="dot" w:pos="9354"/>
        </w:tabs>
      </w:pPr>
      <w:r>
        <w:rPr>
          <w:color w:val="auto"/>
        </w:rPr>
        <w:fldChar w:fldCharType="begin"/>
      </w:r>
      <w:r>
        <w:instrText xml:space="preserve"> HYPERLINK \l _Toc1282 </w:instrText>
      </w:r>
      <w: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_Toc1282 \h </w:instrText>
      </w:r>
      <w:r>
        <w:fldChar w:fldCharType="separate"/>
      </w:r>
      <w:r>
        <w:t>5</w:t>
      </w:r>
      <w:r>
        <w:fldChar w:fldCharType="end"/>
      </w:r>
      <w:r>
        <w:rPr>
          <w:color w:val="auto"/>
        </w:rPr>
        <w:fldChar w:fldCharType="end"/>
      </w:r>
    </w:p>
    <w:p>
      <w:pPr>
        <w:pStyle w:val="20"/>
        <w:tabs>
          <w:tab w:val="right" w:leader="dot" w:pos="9354"/>
        </w:tabs>
      </w:pPr>
      <w:r>
        <w:rPr>
          <w:color w:val="auto"/>
        </w:rPr>
        <w:fldChar w:fldCharType="begin"/>
      </w:r>
      <w:r>
        <w:instrText xml:space="preserve"> HYPERLINK \l _Toc15465 </w:instrText>
      </w:r>
      <w:r>
        <w:fldChar w:fldCharType="separate"/>
      </w:r>
      <w:r>
        <w:rPr>
          <w:rFonts w:hint="eastAsia" w:ascii="黑体" w:hAnsi="黑体" w:eastAsia="黑体"/>
          <w:i w:val="0"/>
          <w:lang w:val="en-US" w:eastAsia="zh-CN"/>
        </w:rPr>
        <w:t xml:space="preserve">4 </w:t>
      </w:r>
      <w:r>
        <w:t>基本规定</w:t>
      </w:r>
      <w:r>
        <w:tab/>
      </w:r>
      <w:r>
        <w:fldChar w:fldCharType="begin"/>
      </w:r>
      <w:r>
        <w:instrText xml:space="preserve"> PAGEREF _Toc15465 \h </w:instrText>
      </w:r>
      <w:r>
        <w:fldChar w:fldCharType="separate"/>
      </w:r>
      <w:r>
        <w:t>6</w:t>
      </w:r>
      <w:r>
        <w:fldChar w:fldCharType="end"/>
      </w:r>
      <w:r>
        <w:rPr>
          <w:color w:val="auto"/>
        </w:rPr>
        <w:fldChar w:fldCharType="end"/>
      </w:r>
    </w:p>
    <w:p>
      <w:pPr>
        <w:pStyle w:val="20"/>
        <w:tabs>
          <w:tab w:val="right" w:leader="dot" w:pos="9354"/>
        </w:tabs>
      </w:pPr>
      <w:r>
        <w:rPr>
          <w:color w:val="auto"/>
        </w:rPr>
        <w:fldChar w:fldCharType="begin"/>
      </w:r>
      <w:r>
        <w:instrText xml:space="preserve"> HYPERLINK \l _Toc26194 </w:instrText>
      </w:r>
      <w:r>
        <w:fldChar w:fldCharType="separate"/>
      </w:r>
      <w:r>
        <w:rPr>
          <w:rFonts w:hint="eastAsia" w:ascii="黑体" w:eastAsia="黑体"/>
          <w:i w:val="0"/>
          <w:lang w:val="en-US" w:eastAsia="zh-CN"/>
        </w:rPr>
        <w:t xml:space="preserve">5 </w:t>
      </w:r>
      <w:r>
        <w:rPr>
          <w:rFonts w:hint="eastAsia"/>
        </w:rPr>
        <w:t>钢套筒及球铰基座</w:t>
      </w:r>
      <w:r>
        <w:tab/>
      </w:r>
      <w:r>
        <w:fldChar w:fldCharType="begin"/>
      </w:r>
      <w:r>
        <w:instrText xml:space="preserve"> PAGEREF _Toc26194 \h </w:instrText>
      </w:r>
      <w:r>
        <w:fldChar w:fldCharType="separate"/>
      </w:r>
      <w:r>
        <w:t>6</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_Toc10025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5.1 </w:t>
      </w:r>
      <w:r>
        <w:rPr>
          <w:rFonts w:hint="eastAsia"/>
          <w:lang w:val="en-US" w:eastAsia="zh-CN"/>
        </w:rPr>
        <w:t>一般规定</w:t>
      </w:r>
      <w:r>
        <w:tab/>
      </w:r>
      <w:r>
        <w:fldChar w:fldCharType="begin"/>
      </w:r>
      <w:r>
        <w:instrText xml:space="preserve"> PAGEREF _Toc10025 \h </w:instrText>
      </w:r>
      <w:r>
        <w:fldChar w:fldCharType="separate"/>
      </w:r>
      <w:r>
        <w:t>7</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_Toc23581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5.2 </w:t>
      </w:r>
      <w:r>
        <w:rPr>
          <w:rFonts w:hint="eastAsia"/>
          <w:lang w:val="en-US" w:eastAsia="zh-CN"/>
        </w:rPr>
        <w:t>钢套筒构造</w:t>
      </w:r>
      <w:r>
        <w:tab/>
      </w:r>
      <w:r>
        <w:fldChar w:fldCharType="begin"/>
      </w:r>
      <w:r>
        <w:instrText xml:space="preserve"> PAGEREF _Toc23581 \h </w:instrText>
      </w:r>
      <w:r>
        <w:fldChar w:fldCharType="separate"/>
      </w:r>
      <w:r>
        <w:t>7</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_Toc32077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5.3 </w:t>
      </w:r>
      <w:r>
        <w:rPr>
          <w:rFonts w:hint="eastAsia"/>
          <w:lang w:val="en-US" w:eastAsia="zh-CN"/>
        </w:rPr>
        <w:t>球铰基座构造</w:t>
      </w:r>
      <w:r>
        <w:tab/>
      </w:r>
      <w:r>
        <w:fldChar w:fldCharType="begin"/>
      </w:r>
      <w:r>
        <w:instrText xml:space="preserve"> PAGEREF _Toc32077 \h </w:instrText>
      </w:r>
      <w:r>
        <w:fldChar w:fldCharType="separate"/>
      </w:r>
      <w:r>
        <w:t>8</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_Toc9802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5.4 </w:t>
      </w:r>
      <w:r>
        <w:rPr>
          <w:rFonts w:hint="eastAsia"/>
          <w:lang w:val="en-US" w:eastAsia="zh-CN"/>
        </w:rPr>
        <w:t>验收与运输</w:t>
      </w:r>
      <w:r>
        <w:tab/>
      </w:r>
      <w:r>
        <w:fldChar w:fldCharType="begin"/>
      </w:r>
      <w:r>
        <w:instrText xml:space="preserve"> PAGEREF _Toc9802 \h </w:instrText>
      </w:r>
      <w:r>
        <w:fldChar w:fldCharType="separate"/>
      </w:r>
      <w:r>
        <w:t>9</w:t>
      </w:r>
      <w:r>
        <w:fldChar w:fldCharType="end"/>
      </w:r>
      <w:r>
        <w:rPr>
          <w:color w:val="auto"/>
        </w:rPr>
        <w:fldChar w:fldCharType="end"/>
      </w:r>
    </w:p>
    <w:p>
      <w:pPr>
        <w:pStyle w:val="20"/>
        <w:tabs>
          <w:tab w:val="right" w:leader="dot" w:pos="9354"/>
        </w:tabs>
      </w:pPr>
      <w:r>
        <w:rPr>
          <w:color w:val="auto"/>
        </w:rPr>
        <w:fldChar w:fldCharType="begin"/>
      </w:r>
      <w:r>
        <w:instrText xml:space="preserve"> HYPERLINK \l _Toc24472 </w:instrText>
      </w:r>
      <w:r>
        <w:fldChar w:fldCharType="separate"/>
      </w:r>
      <w:r>
        <w:rPr>
          <w:rFonts w:hint="eastAsia" w:ascii="黑体" w:eastAsia="黑体"/>
          <w:i w:val="0"/>
        </w:rPr>
        <w:t xml:space="preserve">6 </w:t>
      </w:r>
      <w:r>
        <w:rPr>
          <w:rFonts w:hint="eastAsia"/>
        </w:rPr>
        <w:t>钢套筒安拆</w:t>
      </w:r>
      <w:r>
        <w:tab/>
      </w:r>
      <w:r>
        <w:fldChar w:fldCharType="begin"/>
      </w:r>
      <w:r>
        <w:instrText xml:space="preserve"> PAGEREF _Toc24472 \h </w:instrText>
      </w:r>
      <w:r>
        <w:fldChar w:fldCharType="separate"/>
      </w:r>
      <w:r>
        <w:t>9</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_Toc18700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6.1 </w:t>
      </w:r>
      <w:r>
        <w:rPr>
          <w:rFonts w:hint="eastAsia"/>
        </w:rPr>
        <w:t>一般规定</w:t>
      </w:r>
      <w:r>
        <w:tab/>
      </w:r>
      <w:r>
        <w:fldChar w:fldCharType="begin"/>
      </w:r>
      <w:r>
        <w:instrText xml:space="preserve"> PAGEREF _Toc18700 \h </w:instrText>
      </w:r>
      <w:r>
        <w:fldChar w:fldCharType="separate"/>
      </w:r>
      <w:r>
        <w:t>9</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_Toc30220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6.2 </w:t>
      </w:r>
      <w:r>
        <w:rPr>
          <w:rFonts w:hint="eastAsia"/>
        </w:rPr>
        <w:t>钢套筒组装</w:t>
      </w:r>
      <w:r>
        <w:tab/>
      </w:r>
      <w:r>
        <w:fldChar w:fldCharType="begin"/>
      </w:r>
      <w:r>
        <w:instrText xml:space="preserve"> PAGEREF _Toc30220 \h </w:instrText>
      </w:r>
      <w:r>
        <w:fldChar w:fldCharType="separate"/>
      </w:r>
      <w:r>
        <w:t>9</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_Toc30373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6.3 </w:t>
      </w:r>
      <w:r>
        <w:rPr>
          <w:rFonts w:hint="eastAsia"/>
        </w:rPr>
        <w:t>反力架及支撑</w:t>
      </w:r>
      <w:r>
        <w:tab/>
      </w:r>
      <w:r>
        <w:fldChar w:fldCharType="begin"/>
      </w:r>
      <w:r>
        <w:instrText xml:space="preserve"> PAGEREF _Toc30373 \h </w:instrText>
      </w:r>
      <w:r>
        <w:fldChar w:fldCharType="separate"/>
      </w:r>
      <w:r>
        <w:t>10</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_Toc21247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6.4 </w:t>
      </w:r>
      <w:r>
        <w:rPr>
          <w:rFonts w:hint="eastAsia"/>
        </w:rPr>
        <w:t>球铰基座</w:t>
      </w:r>
      <w:r>
        <w:tab/>
      </w:r>
      <w:r>
        <w:fldChar w:fldCharType="begin"/>
      </w:r>
      <w:r>
        <w:instrText xml:space="preserve"> PAGEREF _Toc21247 \h </w:instrText>
      </w:r>
      <w:r>
        <w:fldChar w:fldCharType="separate"/>
      </w:r>
      <w:r>
        <w:t>11</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_Toc1197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6.5 </w:t>
      </w:r>
      <w:r>
        <w:rPr>
          <w:rFonts w:hint="eastAsia"/>
        </w:rPr>
        <w:t>拆除</w:t>
      </w:r>
      <w:r>
        <w:tab/>
      </w:r>
      <w:r>
        <w:fldChar w:fldCharType="begin"/>
      </w:r>
      <w:r>
        <w:instrText xml:space="preserve"> PAGEREF _Toc1197 \h </w:instrText>
      </w:r>
      <w:r>
        <w:fldChar w:fldCharType="separate"/>
      </w:r>
      <w:r>
        <w:t>11</w:t>
      </w:r>
      <w:r>
        <w:fldChar w:fldCharType="end"/>
      </w:r>
      <w:r>
        <w:rPr>
          <w:color w:val="auto"/>
        </w:rPr>
        <w:fldChar w:fldCharType="end"/>
      </w:r>
    </w:p>
    <w:p>
      <w:pPr>
        <w:pStyle w:val="20"/>
        <w:tabs>
          <w:tab w:val="right" w:leader="dot" w:pos="9354"/>
        </w:tabs>
      </w:pPr>
      <w:r>
        <w:rPr>
          <w:color w:val="auto"/>
        </w:rPr>
        <w:fldChar w:fldCharType="begin"/>
      </w:r>
      <w:r>
        <w:instrText xml:space="preserve"> HYPERLINK \l _Toc14304 </w:instrText>
      </w:r>
      <w:r>
        <w:fldChar w:fldCharType="separate"/>
      </w:r>
      <w:r>
        <w:rPr>
          <w:rFonts w:hint="eastAsia" w:ascii="黑体" w:eastAsia="黑体"/>
          <w:i w:val="0"/>
        </w:rPr>
        <w:t xml:space="preserve">7 </w:t>
      </w:r>
      <w:r>
        <w:rPr>
          <w:rFonts w:hint="eastAsia"/>
        </w:rPr>
        <w:t>钢套筒辅助盾构始发</w:t>
      </w:r>
      <w:r>
        <w:tab/>
      </w:r>
      <w:r>
        <w:fldChar w:fldCharType="begin"/>
      </w:r>
      <w:r>
        <w:instrText xml:space="preserve"> PAGEREF _Toc14304 \h </w:instrText>
      </w:r>
      <w:r>
        <w:fldChar w:fldCharType="separate"/>
      </w:r>
      <w:r>
        <w:t>12</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_Toc12357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7.1 </w:t>
      </w:r>
      <w:r>
        <w:rPr>
          <w:rFonts w:hint="eastAsia"/>
        </w:rPr>
        <w:t>一般规定</w:t>
      </w:r>
      <w:r>
        <w:tab/>
      </w:r>
      <w:r>
        <w:fldChar w:fldCharType="begin"/>
      </w:r>
      <w:r>
        <w:instrText xml:space="preserve"> PAGEREF _Toc12357 \h </w:instrText>
      </w:r>
      <w:r>
        <w:fldChar w:fldCharType="separate"/>
      </w:r>
      <w:r>
        <w:t>12</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_Toc4362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7.2 </w:t>
      </w:r>
      <w:r>
        <w:rPr>
          <w:rFonts w:hint="eastAsia"/>
        </w:rPr>
        <w:t>洞门凿除</w:t>
      </w:r>
      <w:r>
        <w:tab/>
      </w:r>
      <w:r>
        <w:fldChar w:fldCharType="begin"/>
      </w:r>
      <w:r>
        <w:instrText xml:space="preserve"> PAGEREF _Toc4362 \h </w:instrText>
      </w:r>
      <w:r>
        <w:fldChar w:fldCharType="separate"/>
      </w:r>
      <w:r>
        <w:t>12</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_Toc20755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7.3 </w:t>
      </w:r>
      <w:r>
        <w:rPr>
          <w:rFonts w:hint="eastAsia"/>
        </w:rPr>
        <w:t>负环管片拼装</w:t>
      </w:r>
      <w:r>
        <w:tab/>
      </w:r>
      <w:r>
        <w:fldChar w:fldCharType="begin"/>
      </w:r>
      <w:r>
        <w:instrText xml:space="preserve"> PAGEREF _Toc20755 \h </w:instrText>
      </w:r>
      <w:r>
        <w:fldChar w:fldCharType="separate"/>
      </w:r>
      <w:r>
        <w:t>12</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_Toc26971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7.4 </w:t>
      </w:r>
      <w:r>
        <w:rPr>
          <w:rFonts w:hint="eastAsia"/>
        </w:rPr>
        <w:t>盾构始发</w:t>
      </w:r>
      <w:r>
        <w:tab/>
      </w:r>
      <w:r>
        <w:fldChar w:fldCharType="begin"/>
      </w:r>
      <w:r>
        <w:instrText xml:space="preserve"> PAGEREF _Toc26971 \h </w:instrText>
      </w:r>
      <w:r>
        <w:fldChar w:fldCharType="separate"/>
      </w:r>
      <w:r>
        <w:t>12</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_Toc22790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7.5 </w:t>
      </w:r>
      <w:r>
        <w:rPr>
          <w:rFonts w:hint="eastAsia"/>
        </w:rPr>
        <w:t>洞门封堵施工</w:t>
      </w:r>
      <w:r>
        <w:tab/>
      </w:r>
      <w:r>
        <w:fldChar w:fldCharType="begin"/>
      </w:r>
      <w:r>
        <w:instrText xml:space="preserve"> PAGEREF _Toc22790 \h </w:instrText>
      </w:r>
      <w:r>
        <w:fldChar w:fldCharType="separate"/>
      </w:r>
      <w:r>
        <w:t>13</w:t>
      </w:r>
      <w:r>
        <w:fldChar w:fldCharType="end"/>
      </w:r>
      <w:r>
        <w:rPr>
          <w:color w:val="auto"/>
        </w:rPr>
        <w:fldChar w:fldCharType="end"/>
      </w:r>
    </w:p>
    <w:p>
      <w:pPr>
        <w:pStyle w:val="20"/>
        <w:tabs>
          <w:tab w:val="right" w:leader="dot" w:pos="9354"/>
        </w:tabs>
      </w:pPr>
      <w:r>
        <w:rPr>
          <w:color w:val="auto"/>
        </w:rPr>
        <w:fldChar w:fldCharType="begin"/>
      </w:r>
      <w:r>
        <w:instrText xml:space="preserve"> HYPERLINK \l _Toc23409 </w:instrText>
      </w:r>
      <w:r>
        <w:fldChar w:fldCharType="separate"/>
      </w:r>
      <w:r>
        <w:rPr>
          <w:rFonts w:hint="eastAsia" w:ascii="黑体" w:eastAsia="黑体"/>
          <w:i w:val="0"/>
        </w:rPr>
        <w:t xml:space="preserve">8 </w:t>
      </w:r>
      <w:r>
        <w:rPr>
          <w:rFonts w:hint="eastAsia"/>
        </w:rPr>
        <w:t>钢套筒辅助盾构接收</w:t>
      </w:r>
      <w:r>
        <w:tab/>
      </w:r>
      <w:r>
        <w:fldChar w:fldCharType="begin"/>
      </w:r>
      <w:r>
        <w:instrText xml:space="preserve"> PAGEREF _Toc23409 \h </w:instrText>
      </w:r>
      <w:r>
        <w:fldChar w:fldCharType="separate"/>
      </w:r>
      <w:r>
        <w:t>13</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_Toc12065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8.1 </w:t>
      </w:r>
      <w:r>
        <w:rPr>
          <w:rFonts w:hint="eastAsia"/>
        </w:rPr>
        <w:t>一般规定</w:t>
      </w:r>
      <w:r>
        <w:tab/>
      </w:r>
      <w:r>
        <w:fldChar w:fldCharType="begin"/>
      </w:r>
      <w:r>
        <w:instrText xml:space="preserve"> PAGEREF _Toc12065 \h </w:instrText>
      </w:r>
      <w:r>
        <w:fldChar w:fldCharType="separate"/>
      </w:r>
      <w:r>
        <w:t>13</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_Toc30121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8.2 </w:t>
      </w:r>
      <w:r>
        <w:rPr>
          <w:rFonts w:hint="eastAsia"/>
        </w:rPr>
        <w:t>填料建仓施工</w:t>
      </w:r>
      <w:r>
        <w:tab/>
      </w:r>
      <w:r>
        <w:fldChar w:fldCharType="begin"/>
      </w:r>
      <w:r>
        <w:instrText xml:space="preserve"> PAGEREF _Toc30121 \h </w:instrText>
      </w:r>
      <w:r>
        <w:fldChar w:fldCharType="separate"/>
      </w:r>
      <w:r>
        <w:t>13</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_Toc9715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8.3 </w:t>
      </w:r>
      <w:r>
        <w:rPr>
          <w:rFonts w:hint="eastAsia"/>
        </w:rPr>
        <w:t>盾构机接收</w:t>
      </w:r>
      <w:r>
        <w:tab/>
      </w:r>
      <w:r>
        <w:fldChar w:fldCharType="begin"/>
      </w:r>
      <w:r>
        <w:instrText xml:space="preserve"> PAGEREF _Toc9715 \h </w:instrText>
      </w:r>
      <w:r>
        <w:fldChar w:fldCharType="separate"/>
      </w:r>
      <w:r>
        <w:t>13</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_Toc28515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8.4 </w:t>
      </w:r>
      <w:r>
        <w:rPr>
          <w:rFonts w:hint="eastAsia"/>
        </w:rPr>
        <w:t>洞门封堵施工</w:t>
      </w:r>
      <w:r>
        <w:tab/>
      </w:r>
      <w:r>
        <w:fldChar w:fldCharType="begin"/>
      </w:r>
      <w:r>
        <w:instrText xml:space="preserve"> PAGEREF _Toc28515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_Toc4696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8.5 </w:t>
      </w:r>
      <w:r>
        <w:rPr>
          <w:rFonts w:hint="eastAsia"/>
        </w:rPr>
        <w:t>钢套筒拆除及清理</w:t>
      </w:r>
      <w:r>
        <w:tab/>
      </w:r>
      <w:r>
        <w:fldChar w:fldCharType="begin"/>
      </w:r>
      <w:r>
        <w:instrText xml:space="preserve"> PAGEREF _Toc4696 \h </w:instrText>
      </w:r>
      <w:r>
        <w:fldChar w:fldCharType="separate"/>
      </w:r>
      <w:r>
        <w:t>14</w:t>
      </w:r>
      <w:r>
        <w:fldChar w:fldCharType="end"/>
      </w:r>
      <w:r>
        <w:rPr>
          <w:color w:val="auto"/>
        </w:rPr>
        <w:fldChar w:fldCharType="end"/>
      </w:r>
    </w:p>
    <w:p>
      <w:pPr>
        <w:pStyle w:val="20"/>
        <w:tabs>
          <w:tab w:val="right" w:leader="dot" w:pos="9354"/>
        </w:tabs>
      </w:pPr>
      <w:r>
        <w:rPr>
          <w:color w:val="auto"/>
        </w:rPr>
        <w:fldChar w:fldCharType="begin"/>
      </w:r>
      <w:r>
        <w:instrText xml:space="preserve"> HYPERLINK \l _Toc16662 </w:instrText>
      </w:r>
      <w:r>
        <w:fldChar w:fldCharType="separate"/>
      </w:r>
      <w:r>
        <w:rPr>
          <w:rFonts w:hint="eastAsia" w:ascii="黑体" w:eastAsia="黑体"/>
          <w:i w:val="0"/>
        </w:rPr>
        <w:t xml:space="preserve">9 </w:t>
      </w:r>
      <w:r>
        <w:rPr>
          <w:rFonts w:hint="eastAsia"/>
        </w:rPr>
        <w:t>钢套筒辅助盾构平移转体</w:t>
      </w:r>
      <w:r>
        <w:tab/>
      </w:r>
      <w:r>
        <w:fldChar w:fldCharType="begin"/>
      </w:r>
      <w:r>
        <w:instrText xml:space="preserve"> PAGEREF _Toc16662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_Toc28090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9.1 </w:t>
      </w:r>
      <w:r>
        <w:rPr>
          <w:rFonts w:hint="eastAsia"/>
          <w:lang w:val="en-US" w:eastAsia="zh-CN"/>
        </w:rPr>
        <w:t>一般规定</w:t>
      </w:r>
      <w:r>
        <w:tab/>
      </w:r>
      <w:r>
        <w:fldChar w:fldCharType="begin"/>
      </w:r>
      <w:r>
        <w:instrText xml:space="preserve"> PAGEREF _Toc28090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_Toc32299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9.2 </w:t>
      </w:r>
      <w:r>
        <w:rPr>
          <w:rFonts w:hint="eastAsia"/>
        </w:rPr>
        <w:t>工作井基面处理</w:t>
      </w:r>
      <w:r>
        <w:tab/>
      </w:r>
      <w:r>
        <w:fldChar w:fldCharType="begin"/>
      </w:r>
      <w:r>
        <w:instrText xml:space="preserve"> PAGEREF _Toc32299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_Toc1774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9.3 </w:t>
      </w:r>
      <w:r>
        <w:rPr>
          <w:rFonts w:hint="eastAsia"/>
        </w:rPr>
        <w:t>盾构机管路整理</w:t>
      </w:r>
      <w:r>
        <w:tab/>
      </w:r>
      <w:r>
        <w:fldChar w:fldCharType="begin"/>
      </w:r>
      <w:r>
        <w:instrText xml:space="preserve"> PAGEREF _Toc1774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_Toc1743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9.4 </w:t>
      </w:r>
      <w:r>
        <w:rPr>
          <w:rFonts w:hint="eastAsia"/>
        </w:rPr>
        <w:t>平移转体路径</w:t>
      </w:r>
      <w:r>
        <w:tab/>
      </w:r>
      <w:r>
        <w:fldChar w:fldCharType="begin"/>
      </w:r>
      <w:r>
        <w:instrText xml:space="preserve"> PAGEREF _Toc1743 \h </w:instrText>
      </w:r>
      <w:r>
        <w:fldChar w:fldCharType="separate"/>
      </w:r>
      <w:r>
        <w:t>14</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_Toc8029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9.5 </w:t>
      </w:r>
      <w:r>
        <w:rPr>
          <w:rFonts w:hint="eastAsia"/>
        </w:rPr>
        <w:t>盾构及钢套筒调平</w:t>
      </w:r>
      <w:r>
        <w:tab/>
      </w:r>
      <w:r>
        <w:fldChar w:fldCharType="begin"/>
      </w:r>
      <w:r>
        <w:instrText xml:space="preserve"> PAGEREF _Toc8029 \h </w:instrText>
      </w:r>
      <w:r>
        <w:fldChar w:fldCharType="separate"/>
      </w:r>
      <w:r>
        <w:t>15</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_Toc6414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9.6 </w:t>
      </w:r>
      <w:r>
        <w:rPr>
          <w:rFonts w:hint="eastAsia"/>
        </w:rPr>
        <w:t>盾构及钢套筒平移</w:t>
      </w:r>
      <w:r>
        <w:tab/>
      </w:r>
      <w:r>
        <w:fldChar w:fldCharType="begin"/>
      </w:r>
      <w:r>
        <w:instrText xml:space="preserve"> PAGEREF _Toc6414 \h </w:instrText>
      </w:r>
      <w:r>
        <w:fldChar w:fldCharType="separate"/>
      </w:r>
      <w:r>
        <w:t>15</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_Toc32288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9.7 </w:t>
      </w:r>
      <w:r>
        <w:rPr>
          <w:rFonts w:hint="eastAsia"/>
        </w:rPr>
        <w:t>盾构及钢套筒转体</w:t>
      </w:r>
      <w:r>
        <w:tab/>
      </w:r>
      <w:r>
        <w:fldChar w:fldCharType="begin"/>
      </w:r>
      <w:r>
        <w:instrText xml:space="preserve"> PAGEREF _Toc32288 \h </w:instrText>
      </w:r>
      <w:r>
        <w:fldChar w:fldCharType="separate"/>
      </w:r>
      <w:r>
        <w:t>15</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_Toc17389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9.8 </w:t>
      </w:r>
      <w:r>
        <w:rPr>
          <w:rFonts w:hint="eastAsia"/>
        </w:rPr>
        <w:t>盾构</w:t>
      </w:r>
      <w:r>
        <w:rPr>
          <w:rFonts w:hint="eastAsia"/>
          <w:lang w:val="en-US" w:eastAsia="zh-CN"/>
        </w:rPr>
        <w:t>始发</w:t>
      </w:r>
      <w:r>
        <w:rPr>
          <w:rFonts w:hint="eastAsia"/>
        </w:rPr>
        <w:t>就位</w:t>
      </w:r>
      <w:r>
        <w:tab/>
      </w:r>
      <w:r>
        <w:fldChar w:fldCharType="begin"/>
      </w:r>
      <w:r>
        <w:instrText xml:space="preserve"> PAGEREF _Toc17389 \h </w:instrText>
      </w:r>
      <w:r>
        <w:fldChar w:fldCharType="separate"/>
      </w:r>
      <w:r>
        <w:t>15</w:t>
      </w:r>
      <w:r>
        <w:fldChar w:fldCharType="end"/>
      </w:r>
      <w:r>
        <w:rPr>
          <w:color w:val="auto"/>
        </w:rPr>
        <w:fldChar w:fldCharType="end"/>
      </w:r>
    </w:p>
    <w:p>
      <w:pPr>
        <w:pStyle w:val="20"/>
        <w:tabs>
          <w:tab w:val="right" w:leader="dot" w:pos="9354"/>
        </w:tabs>
      </w:pPr>
      <w:r>
        <w:rPr>
          <w:color w:val="auto"/>
        </w:rPr>
        <w:fldChar w:fldCharType="begin"/>
      </w:r>
      <w:r>
        <w:instrText xml:space="preserve"> HYPERLINK \l _Toc4395 </w:instrText>
      </w:r>
      <w:r>
        <w:fldChar w:fldCharType="separate"/>
      </w:r>
      <w:r>
        <w:rPr>
          <w:rFonts w:hint="eastAsia" w:ascii="黑体" w:eastAsia="黑体"/>
          <w:i w:val="0"/>
        </w:rPr>
        <w:t xml:space="preserve">10 </w:t>
      </w:r>
      <w:r>
        <w:rPr>
          <w:rFonts w:hint="eastAsia"/>
        </w:rPr>
        <w:t>钢套筒监测</w:t>
      </w:r>
      <w:r>
        <w:tab/>
      </w:r>
      <w:r>
        <w:fldChar w:fldCharType="begin"/>
      </w:r>
      <w:r>
        <w:instrText xml:space="preserve"> PAGEREF _Toc4395 \h </w:instrText>
      </w:r>
      <w:r>
        <w:fldChar w:fldCharType="separate"/>
      </w:r>
      <w:r>
        <w:t>16</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_Toc5234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10.1 </w:t>
      </w:r>
      <w:r>
        <w:rPr>
          <w:rFonts w:hint="eastAsia"/>
          <w:lang w:val="en-US" w:eastAsia="zh-CN"/>
        </w:rPr>
        <w:t>一般规定</w:t>
      </w:r>
      <w:r>
        <w:tab/>
      </w:r>
      <w:r>
        <w:fldChar w:fldCharType="begin"/>
      </w:r>
      <w:r>
        <w:instrText xml:space="preserve"> PAGEREF _Toc5234 \h </w:instrText>
      </w:r>
      <w:r>
        <w:fldChar w:fldCharType="separate"/>
      </w:r>
      <w:r>
        <w:t>16</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_Toc13513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10.2 </w:t>
      </w:r>
      <w:r>
        <w:rPr>
          <w:rFonts w:hint="eastAsia"/>
        </w:rPr>
        <w:t>钢套筒始发及接收监测</w:t>
      </w:r>
      <w:r>
        <w:tab/>
      </w:r>
      <w:r>
        <w:fldChar w:fldCharType="begin"/>
      </w:r>
      <w:r>
        <w:instrText xml:space="preserve"> PAGEREF _Toc13513 \h </w:instrText>
      </w:r>
      <w:r>
        <w:fldChar w:fldCharType="separate"/>
      </w:r>
      <w:r>
        <w:t>16</w:t>
      </w:r>
      <w:r>
        <w:fldChar w:fldCharType="end"/>
      </w:r>
      <w:r>
        <w:rPr>
          <w:color w:val="auto"/>
        </w:rPr>
        <w:fldChar w:fldCharType="end"/>
      </w:r>
    </w:p>
    <w:p>
      <w:pPr>
        <w:pStyle w:val="26"/>
        <w:tabs>
          <w:tab w:val="right" w:leader="dot" w:pos="9354"/>
          <w:tab w:val="clear" w:pos="9344"/>
        </w:tabs>
      </w:pPr>
      <w:r>
        <w:rPr>
          <w:color w:val="auto"/>
        </w:rPr>
        <w:fldChar w:fldCharType="begin"/>
      </w:r>
      <w:r>
        <w:instrText xml:space="preserve"> HYPERLINK \l _Toc21423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10.3 </w:t>
      </w:r>
      <w:r>
        <w:rPr>
          <w:rFonts w:hint="eastAsia"/>
        </w:rPr>
        <w:t>平移转体监测</w:t>
      </w:r>
      <w:r>
        <w:tab/>
      </w:r>
      <w:r>
        <w:fldChar w:fldCharType="begin"/>
      </w:r>
      <w:r>
        <w:instrText xml:space="preserve"> PAGEREF _Toc21423 \h </w:instrText>
      </w:r>
      <w:r>
        <w:fldChar w:fldCharType="separate"/>
      </w:r>
      <w:r>
        <w:t>16</w:t>
      </w:r>
      <w:r>
        <w:fldChar w:fldCharType="end"/>
      </w:r>
      <w:r>
        <w:rPr>
          <w:color w:val="auto"/>
        </w:rPr>
        <w:fldChar w:fldCharType="end"/>
      </w:r>
    </w:p>
    <w:p>
      <w:pPr>
        <w:pStyle w:val="20"/>
        <w:tabs>
          <w:tab w:val="right" w:leader="dot" w:pos="9354"/>
        </w:tabs>
        <w:rPr>
          <w:color w:val="auto"/>
        </w:rPr>
      </w:pPr>
      <w:r>
        <w:rPr>
          <w:color w:val="auto"/>
        </w:rPr>
        <w:fldChar w:fldCharType="begin"/>
      </w:r>
      <w:r>
        <w:rPr>
          <w:color w:val="auto"/>
        </w:rPr>
        <w:instrText xml:space="preserve"> HYPERLINK \l _Toc15343 </w:instrText>
      </w:r>
      <w:r>
        <w:rPr>
          <w:color w:val="auto"/>
        </w:rPr>
        <w:fldChar w:fldCharType="separate"/>
      </w:r>
      <w:r>
        <w:rPr>
          <w:rFonts w:hint="eastAsia"/>
          <w:color w:val="auto"/>
          <w:lang w:val="en-US" w:eastAsia="zh-CN"/>
        </w:rPr>
        <w:t>附录A （资料性）大直径钢套筒安装、试压质量检测项目</w:t>
      </w:r>
      <w:r>
        <w:rPr>
          <w:color w:val="auto"/>
        </w:rPr>
        <w:tab/>
      </w:r>
      <w:r>
        <w:rPr>
          <w:color w:val="auto"/>
        </w:rPr>
        <w:fldChar w:fldCharType="begin"/>
      </w:r>
      <w:r>
        <w:rPr>
          <w:color w:val="auto"/>
        </w:rPr>
        <w:instrText xml:space="preserve"> PAGEREF _Toc15343 \h </w:instrText>
      </w:r>
      <w:r>
        <w:rPr>
          <w:color w:val="auto"/>
        </w:rPr>
        <w:fldChar w:fldCharType="separate"/>
      </w:r>
      <w:r>
        <w:rPr>
          <w:color w:val="auto"/>
        </w:rPr>
        <w:t>21</w:t>
      </w:r>
      <w:r>
        <w:rPr>
          <w:color w:val="auto"/>
        </w:rPr>
        <w:fldChar w:fldCharType="end"/>
      </w:r>
      <w:r>
        <w:rPr>
          <w:color w:val="auto"/>
        </w:rPr>
        <w:fldChar w:fldCharType="end"/>
      </w:r>
    </w:p>
    <w:p>
      <w:pPr>
        <w:pStyle w:val="20"/>
        <w:tabs>
          <w:tab w:val="right" w:leader="dot" w:pos="9354"/>
        </w:tabs>
        <w:rPr>
          <w:color w:val="auto"/>
        </w:rPr>
      </w:pPr>
      <w:r>
        <w:rPr>
          <w:color w:val="auto"/>
        </w:rPr>
        <w:fldChar w:fldCharType="begin"/>
      </w:r>
      <w:r>
        <w:rPr>
          <w:color w:val="auto"/>
        </w:rPr>
        <w:instrText xml:space="preserve"> HYPERLINK \l _Toc8455 </w:instrText>
      </w:r>
      <w:r>
        <w:rPr>
          <w:color w:val="auto"/>
        </w:rPr>
        <w:fldChar w:fldCharType="separate"/>
      </w:r>
      <w:r>
        <w:rPr>
          <w:rFonts w:hint="eastAsia"/>
          <w:color w:val="auto"/>
          <w:lang w:val="en-US" w:eastAsia="zh-CN"/>
        </w:rPr>
        <w:t>附录B （资料性）大直径钢套筒始发、接收、平移及转体监测项目</w:t>
      </w:r>
      <w:r>
        <w:rPr>
          <w:color w:val="auto"/>
        </w:rPr>
        <w:tab/>
      </w:r>
      <w:r>
        <w:rPr>
          <w:color w:val="auto"/>
        </w:rPr>
        <w:fldChar w:fldCharType="begin"/>
      </w:r>
      <w:r>
        <w:rPr>
          <w:color w:val="auto"/>
        </w:rPr>
        <w:instrText xml:space="preserve"> PAGEREF _Toc8455 \h </w:instrText>
      </w:r>
      <w:r>
        <w:rPr>
          <w:color w:val="auto"/>
        </w:rPr>
        <w:fldChar w:fldCharType="separate"/>
      </w:r>
      <w:r>
        <w:rPr>
          <w:color w:val="auto"/>
        </w:rPr>
        <w:t>22</w:t>
      </w:r>
      <w:r>
        <w:rPr>
          <w:color w:val="auto"/>
        </w:rPr>
        <w:fldChar w:fldCharType="end"/>
      </w:r>
      <w:r>
        <w:rPr>
          <w:color w:val="auto"/>
        </w:rPr>
        <w:fldChar w:fldCharType="end"/>
      </w:r>
    </w:p>
    <w:p>
      <w:pPr>
        <w:pStyle w:val="97"/>
        <w:spacing w:after="468"/>
        <w:rPr>
          <w:color w:val="auto"/>
        </w:rPr>
        <w:sectPr>
          <w:headerReference r:id="rId10" w:type="default"/>
          <w:footerReference r:id="rId12" w:type="default"/>
          <w:headerReference r:id="rId11" w:type="even"/>
          <w:pgSz w:w="11906" w:h="16838"/>
          <w:pgMar w:top="1928" w:right="1134" w:bottom="1134" w:left="1134" w:header="1418" w:footer="1134" w:gutter="284"/>
          <w:pgNumType w:fmt="upperRoman" w:start="1"/>
          <w:cols w:space="425" w:num="1"/>
          <w:formProt w:val="0"/>
          <w:docGrid w:type="lines" w:linePitch="312" w:charSpace="0"/>
        </w:sectPr>
      </w:pPr>
      <w:r>
        <w:rPr>
          <w:color w:val="auto"/>
        </w:rPr>
        <w:fldChar w:fldCharType="end"/>
      </w:r>
    </w:p>
    <w:bookmarkEnd w:id="17"/>
    <w:p>
      <w:pPr>
        <w:pStyle w:val="95"/>
        <w:numPr>
          <w:ilvl w:val="0"/>
          <w:numId w:val="0"/>
        </w:numPr>
        <w:spacing w:after="468"/>
        <w:rPr>
          <w:color w:val="auto"/>
        </w:rPr>
      </w:pPr>
      <w:bookmarkStart w:id="19" w:name="_Toc25765"/>
      <w:bookmarkStart w:id="20" w:name="_Toc10618"/>
      <w:bookmarkStart w:id="21" w:name="_Toc10114"/>
      <w:bookmarkStart w:id="22" w:name="_Toc1212"/>
      <w:bookmarkStart w:id="23" w:name="BookMark2"/>
      <w:r>
        <w:rPr>
          <w:rFonts w:hint="eastAsia"/>
          <w:color w:val="auto"/>
          <w:spacing w:val="320"/>
        </w:rPr>
        <w:t>前</w:t>
      </w:r>
      <w:r>
        <w:rPr>
          <w:rFonts w:hint="eastAsia"/>
          <w:color w:val="auto"/>
        </w:rPr>
        <w:t>言</w:t>
      </w:r>
      <w:bookmarkEnd w:id="18"/>
      <w:bookmarkEnd w:id="19"/>
      <w:bookmarkEnd w:id="20"/>
      <w:bookmarkEnd w:id="21"/>
      <w:bookmarkEnd w:id="22"/>
    </w:p>
    <w:p>
      <w:pPr>
        <w:pStyle w:val="62"/>
        <w:ind w:firstLine="420"/>
        <w:rPr>
          <w:color w:val="auto"/>
        </w:rPr>
      </w:pPr>
      <w:r>
        <w:rPr>
          <w:rFonts w:hint="eastAsia"/>
          <w:color w:val="auto"/>
        </w:rPr>
        <w:t>本</w:t>
      </w:r>
      <w:r>
        <w:rPr>
          <w:rFonts w:hint="eastAsia"/>
          <w:color w:val="auto"/>
          <w:lang w:val="en-US" w:eastAsia="zh-CN"/>
        </w:rPr>
        <w:t>文件</w:t>
      </w:r>
      <w:r>
        <w:rPr>
          <w:rFonts w:hint="eastAsia"/>
          <w:color w:val="auto"/>
        </w:rPr>
        <w:t>按照GB/T 1.1—2020《标准化工作导则  第1部分：标准化文件的结构和起草规则》的规定起草。</w:t>
      </w:r>
    </w:p>
    <w:p>
      <w:pPr>
        <w:pStyle w:val="62"/>
        <w:ind w:firstLine="420"/>
        <w:rPr>
          <w:rFonts w:hint="eastAsia"/>
          <w:color w:val="auto"/>
        </w:rPr>
      </w:pPr>
      <w:r>
        <w:rPr>
          <w:rFonts w:hint="eastAsia"/>
          <w:color w:val="auto"/>
        </w:rPr>
        <w:t>请注意本文件的某些内容有可能涉及专利，本文件的发布机构不应承担识别这些专利的责任。</w:t>
      </w:r>
    </w:p>
    <w:p>
      <w:pPr>
        <w:pStyle w:val="62"/>
        <w:ind w:firstLine="420"/>
        <w:rPr>
          <w:color w:val="auto"/>
        </w:rPr>
      </w:pPr>
      <w:r>
        <w:rPr>
          <w:rFonts w:hint="eastAsia"/>
          <w:color w:val="auto"/>
        </w:rPr>
        <w:t>本</w:t>
      </w:r>
      <w:r>
        <w:rPr>
          <w:rFonts w:hint="eastAsia"/>
          <w:color w:val="auto"/>
          <w:lang w:val="en-US" w:eastAsia="zh-CN"/>
        </w:rPr>
        <w:t>文件</w:t>
      </w:r>
      <w:r>
        <w:rPr>
          <w:rFonts w:hint="eastAsia"/>
          <w:color w:val="auto"/>
        </w:rPr>
        <w:t>由湖北省住房和城乡建设厅提出并归口管理。</w:t>
      </w:r>
    </w:p>
    <w:p>
      <w:pPr>
        <w:pStyle w:val="62"/>
        <w:ind w:firstLine="420"/>
        <w:rPr>
          <w:rFonts w:hint="default" w:eastAsia="宋体"/>
          <w:color w:val="auto"/>
          <w:lang w:val="en-US" w:eastAsia="zh-CN"/>
        </w:rPr>
      </w:pPr>
      <w:r>
        <w:rPr>
          <w:rFonts w:hint="eastAsia"/>
          <w:color w:val="auto"/>
        </w:rPr>
        <w:t>本</w:t>
      </w:r>
      <w:r>
        <w:rPr>
          <w:rFonts w:hint="eastAsia"/>
          <w:color w:val="auto"/>
          <w:lang w:val="en-US" w:eastAsia="zh-CN"/>
        </w:rPr>
        <w:t>文件起草单位：</w:t>
      </w:r>
      <w:r>
        <w:rPr>
          <w:rFonts w:hint="eastAsia"/>
          <w:color w:val="auto"/>
        </w:rPr>
        <w:t>中交第二航务工程局有限公司</w:t>
      </w:r>
      <w:r>
        <w:rPr>
          <w:rFonts w:hint="eastAsia"/>
          <w:color w:val="auto"/>
          <w:lang w:eastAsia="zh-CN"/>
        </w:rPr>
        <w:t>、</w:t>
      </w:r>
      <w:r>
        <w:rPr>
          <w:rFonts w:hint="eastAsia"/>
          <w:color w:val="auto"/>
        </w:rPr>
        <w:t>武汉市市政工程质量监督站、中交公路长大桥建设国家工程研究中心有限公司</w:t>
      </w:r>
      <w:r>
        <w:rPr>
          <w:rFonts w:hint="eastAsia"/>
          <w:color w:val="auto"/>
          <w:lang w:eastAsia="zh-CN"/>
        </w:rPr>
        <w:t>、</w:t>
      </w:r>
      <w:r>
        <w:rPr>
          <w:rFonts w:hint="eastAsia"/>
          <w:color w:val="auto"/>
          <w:lang w:val="en-US" w:eastAsia="zh-CN"/>
        </w:rPr>
        <w:t>佛山市凌泽机电有限公司、中国路桥工程有限公司、中国科学院武汉岩土力学研究所</w:t>
      </w:r>
    </w:p>
    <w:p>
      <w:pPr>
        <w:pStyle w:val="62"/>
        <w:ind w:firstLine="420"/>
        <w:rPr>
          <w:rFonts w:hint="default" w:eastAsia="宋体"/>
          <w:color w:val="auto"/>
          <w:lang w:val="en-US" w:eastAsia="zh-CN"/>
        </w:rPr>
      </w:pPr>
      <w:r>
        <w:rPr>
          <w:rFonts w:hint="eastAsia"/>
          <w:color w:val="auto"/>
        </w:rPr>
        <w:t>本</w:t>
      </w:r>
      <w:r>
        <w:rPr>
          <w:rFonts w:hint="eastAsia"/>
          <w:color w:val="auto"/>
          <w:lang w:val="en-US" w:eastAsia="zh-CN"/>
        </w:rPr>
        <w:t>文件</w:t>
      </w:r>
      <w:r>
        <w:rPr>
          <w:rFonts w:hint="eastAsia"/>
          <w:color w:val="auto"/>
        </w:rPr>
        <w:t>主要起草人：翟世鸿、李景成、杨钊、韩晓明、陈培帅、唐冬云、何源、朱金彭、许超、姬付全、</w:t>
      </w:r>
      <w:r>
        <w:rPr>
          <w:rFonts w:hint="eastAsia"/>
          <w:color w:val="auto"/>
          <w:lang w:val="en-US" w:eastAsia="zh-CN"/>
        </w:rPr>
        <w:t>杨擎、李铮、</w:t>
      </w:r>
      <w:r>
        <w:rPr>
          <w:rFonts w:hint="eastAsia"/>
          <w:color w:val="auto"/>
        </w:rPr>
        <w:t>黄文杰、熊栋栋、钟涵、张飞雷、</w:t>
      </w:r>
      <w:r>
        <w:rPr>
          <w:rFonts w:hint="eastAsia"/>
          <w:color w:val="auto"/>
          <w:lang w:val="en-US" w:eastAsia="zh-CN"/>
        </w:rPr>
        <w:t>于静涛、</w:t>
      </w:r>
      <w:r>
        <w:rPr>
          <w:rFonts w:hint="eastAsia"/>
          <w:color w:val="auto"/>
        </w:rPr>
        <w:t>贺创波、刘东军、杨志勇、</w:t>
      </w:r>
      <w:r>
        <w:rPr>
          <w:rFonts w:hint="eastAsia"/>
          <w:color w:val="auto"/>
          <w:lang w:val="en-US" w:eastAsia="zh-CN"/>
        </w:rPr>
        <w:t>陈卫忠、赵武胜、罗云、</w:t>
      </w:r>
      <w:r>
        <w:rPr>
          <w:rFonts w:hint="eastAsia"/>
          <w:color w:val="auto"/>
        </w:rPr>
        <w:t>高如超、马超、孙恒、刘朋飞、蒋道东、</w:t>
      </w:r>
      <w:r>
        <w:rPr>
          <w:rFonts w:hint="eastAsia"/>
          <w:color w:val="auto"/>
          <w:lang w:val="en-US" w:eastAsia="zh-CN"/>
        </w:rPr>
        <w:t>李杰华、钟航、</w:t>
      </w:r>
      <w:r>
        <w:rPr>
          <w:rFonts w:hint="eastAsia"/>
          <w:color w:val="auto"/>
        </w:rPr>
        <w:t>宋相帅、温博为、</w:t>
      </w:r>
      <w:r>
        <w:rPr>
          <w:rFonts w:hint="eastAsia"/>
          <w:color w:val="auto"/>
          <w:lang w:val="en-US" w:eastAsia="zh-CN"/>
        </w:rPr>
        <w:t>刘哲、黄新淼、刘文、</w:t>
      </w:r>
      <w:r>
        <w:rPr>
          <w:rFonts w:hint="eastAsia"/>
          <w:color w:val="auto"/>
        </w:rPr>
        <w:t>黄威、李德杰、罗会武、杨睿</w:t>
      </w:r>
      <w:r>
        <w:rPr>
          <w:rFonts w:hint="eastAsia"/>
          <w:color w:val="auto"/>
          <w:lang w:eastAsia="zh-CN"/>
        </w:rPr>
        <w:t>、</w:t>
      </w:r>
      <w:r>
        <w:rPr>
          <w:rFonts w:hint="eastAsia"/>
          <w:color w:val="auto"/>
          <w:lang w:val="en-US" w:eastAsia="zh-CN"/>
        </w:rPr>
        <w:t>张贺。</w:t>
      </w:r>
    </w:p>
    <w:p>
      <w:pPr>
        <w:pStyle w:val="62"/>
        <w:ind w:firstLine="420"/>
        <w:rPr>
          <w:color w:val="auto"/>
        </w:rPr>
      </w:pPr>
      <w:r>
        <w:rPr>
          <w:rFonts w:hint="eastAsia"/>
          <w:color w:val="auto"/>
        </w:rPr>
        <w:t>本</w:t>
      </w:r>
      <w:r>
        <w:rPr>
          <w:rFonts w:hint="eastAsia"/>
          <w:color w:val="auto"/>
          <w:lang w:val="en-US" w:eastAsia="zh-CN"/>
        </w:rPr>
        <w:t>文件实施应用中的疑问，可咨询湖北省住房和城乡建设厅，联系电话027-68873088，邮箱：</w:t>
      </w:r>
      <w:r>
        <w:rPr>
          <w:rFonts w:hint="eastAsia"/>
          <w:color w:val="auto"/>
          <w:lang w:val="en-US" w:eastAsia="zh-CN"/>
        </w:rPr>
        <w:fldChar w:fldCharType="begin"/>
      </w:r>
      <w:r>
        <w:rPr>
          <w:rFonts w:hint="eastAsia"/>
          <w:color w:val="auto"/>
          <w:lang w:val="en-US" w:eastAsia="zh-CN"/>
        </w:rPr>
        <w:instrText xml:space="preserve"> HYPERLINK "mailto:dezz@hbszjt.net.cn；对本文件" </w:instrText>
      </w:r>
      <w:r>
        <w:rPr>
          <w:rFonts w:hint="eastAsia"/>
          <w:color w:val="auto"/>
          <w:lang w:val="en-US" w:eastAsia="zh-CN"/>
        </w:rPr>
        <w:fldChar w:fldCharType="separate"/>
      </w:r>
      <w:r>
        <w:rPr>
          <w:rFonts w:ascii="仿宋_GB2312" w:eastAsia="仿宋_GB2312"/>
        </w:rPr>
        <w:t>mail.hbszjt.net.cn</w:t>
      </w:r>
      <w:r>
        <w:rPr>
          <w:rStyle w:val="37"/>
          <w:rFonts w:hint="eastAsia"/>
          <w:lang w:val="en-US" w:eastAsia="zh-CN"/>
        </w:rPr>
        <w:t>；对本文件</w:t>
      </w:r>
      <w:r>
        <w:rPr>
          <w:rFonts w:hint="eastAsia"/>
          <w:color w:val="auto"/>
          <w:lang w:val="en-US" w:eastAsia="zh-CN"/>
        </w:rPr>
        <w:fldChar w:fldCharType="end"/>
      </w:r>
      <w:r>
        <w:rPr>
          <w:rFonts w:hint="eastAsia"/>
          <w:color w:val="auto"/>
          <w:lang w:val="en-US" w:eastAsia="zh-CN"/>
        </w:rPr>
        <w:t>的修改意见和建议请反馈至</w:t>
      </w:r>
      <w:r>
        <w:rPr>
          <w:rFonts w:hint="eastAsia"/>
          <w:color w:val="auto"/>
        </w:rPr>
        <w:t>中交第二航务工程局有限公司（地址：湖北省武汉市东西湖区金银湖路11号）</w:t>
      </w:r>
      <w:r>
        <w:rPr>
          <w:rFonts w:hint="eastAsia"/>
          <w:color w:val="auto"/>
          <w:lang w:eastAsia="zh-CN"/>
        </w:rPr>
        <w:t>，</w:t>
      </w:r>
      <w:r>
        <w:rPr>
          <w:rFonts w:hint="eastAsia"/>
          <w:color w:val="auto"/>
        </w:rPr>
        <w:t>联系电话：027-83920</w:t>
      </w:r>
      <w:r>
        <w:rPr>
          <w:rFonts w:hint="eastAsia"/>
          <w:color w:val="auto"/>
          <w:lang w:val="en-US" w:eastAsia="zh-CN"/>
        </w:rPr>
        <w:t>888</w:t>
      </w:r>
      <w:r>
        <w:rPr>
          <w:rFonts w:hint="eastAsia"/>
          <w:color w:val="auto"/>
        </w:rPr>
        <w:t>；邮编：430000；电子邮箱：</w:t>
      </w:r>
      <w:r>
        <w:rPr>
          <w:rFonts w:hint="eastAsia"/>
          <w:color w:val="auto"/>
          <w:lang w:val="en-US" w:eastAsia="zh-CN"/>
        </w:rPr>
        <w:t>zhangfl_93</w:t>
      </w:r>
      <w:r>
        <w:rPr>
          <w:rFonts w:hint="eastAsia"/>
          <w:color w:val="auto"/>
        </w:rPr>
        <w:t>@163.com，供修订时参考。</w:t>
      </w:r>
    </w:p>
    <w:p>
      <w:pPr>
        <w:snapToGrid w:val="0"/>
        <w:spacing w:before="156" w:beforeLines="50" w:after="156" w:afterLines="50"/>
        <w:jc w:val="center"/>
        <w:outlineLvl w:val="0"/>
        <w:rPr>
          <w:rFonts w:hint="eastAsia" w:ascii="黑体" w:hAnsi="黑体" w:eastAsia="黑体" w:cs="黑体"/>
          <w:color w:val="auto"/>
          <w:spacing w:val="320"/>
          <w:kern w:val="0"/>
          <w:sz w:val="32"/>
          <w:szCs w:val="32"/>
          <w:fitText w:val="1280" w:id="2023830695"/>
        </w:rPr>
        <w:sectPr>
          <w:footerReference r:id="rId13" w:type="default"/>
          <w:pgSz w:w="11906" w:h="16838"/>
          <w:pgMar w:top="1928" w:right="1134" w:bottom="1134" w:left="1134" w:header="1418" w:footer="1134" w:gutter="284"/>
          <w:pgNumType w:fmt="upperRoman"/>
          <w:cols w:space="425" w:num="1"/>
          <w:formProt w:val="0"/>
          <w:docGrid w:type="lines" w:linePitch="312" w:charSpace="0"/>
        </w:sectPr>
      </w:pPr>
    </w:p>
    <w:p>
      <w:pPr>
        <w:snapToGrid w:val="0"/>
        <w:spacing w:before="156" w:beforeLines="50" w:after="156" w:afterLines="50"/>
        <w:jc w:val="center"/>
        <w:outlineLvl w:val="0"/>
        <w:rPr>
          <w:rFonts w:ascii="黑体" w:hAnsi="黑体" w:eastAsia="黑体" w:cs="黑体"/>
          <w:color w:val="auto"/>
          <w:sz w:val="32"/>
          <w:szCs w:val="32"/>
        </w:rPr>
      </w:pPr>
      <w:r>
        <w:rPr>
          <w:rFonts w:hint="eastAsia" w:ascii="黑体" w:hAnsi="黑体" w:eastAsia="黑体" w:cs="黑体"/>
          <w:color w:val="auto"/>
          <w:spacing w:val="320"/>
          <w:kern w:val="0"/>
          <w:sz w:val="32"/>
          <w:szCs w:val="32"/>
          <w:fitText w:val="1280" w:id="2023830695"/>
        </w:rPr>
        <w:t>引</w:t>
      </w:r>
      <w:r>
        <w:rPr>
          <w:rFonts w:hint="eastAsia" w:ascii="黑体" w:hAnsi="黑体" w:eastAsia="黑体" w:cs="黑体"/>
          <w:color w:val="auto"/>
          <w:spacing w:val="0"/>
          <w:kern w:val="0"/>
          <w:sz w:val="32"/>
          <w:szCs w:val="32"/>
          <w:fitText w:val="1280" w:id="2023830695"/>
        </w:rPr>
        <w:t>言</w:t>
      </w:r>
    </w:p>
    <w:p>
      <w:pPr>
        <w:pStyle w:val="62"/>
        <w:ind w:firstLine="420"/>
        <w:rPr>
          <w:color w:val="auto"/>
        </w:rPr>
      </w:pPr>
      <w:r>
        <w:rPr>
          <w:rFonts w:hint="eastAsia"/>
          <w:color w:val="auto"/>
        </w:rPr>
        <w:t>随着隧道施工装备的不断革新，以及新工艺、新技术的不断推广和应用，盾构法隧道工程向大埋深、大断面、长距离方向发展，</w:t>
      </w:r>
      <w:r>
        <w:rPr>
          <w:rFonts w:hint="eastAsia"/>
          <w:color w:val="auto"/>
          <w:lang w:val="en-US" w:eastAsia="zh-CN"/>
        </w:rPr>
        <w:t>盾构施工风险也逐渐增大。湖北地区水系发达，盾构始发接收风险较大，采用钢套筒能有效降低始发接收风险</w:t>
      </w:r>
      <w:r>
        <w:rPr>
          <w:rFonts w:hint="eastAsia"/>
          <w:color w:val="auto"/>
          <w:lang w:eastAsia="zh-CN"/>
        </w:rPr>
        <w:t>，</w:t>
      </w:r>
      <w:r>
        <w:rPr>
          <w:rFonts w:hint="eastAsia"/>
          <w:color w:val="auto"/>
          <w:lang w:val="en-US" w:eastAsia="zh-CN"/>
        </w:rPr>
        <w:t>目前</w:t>
      </w:r>
      <w:r>
        <w:rPr>
          <w:rFonts w:hint="eastAsia"/>
          <w:color w:val="auto"/>
        </w:rPr>
        <w:t>钢套筒</w:t>
      </w:r>
      <w:r>
        <w:rPr>
          <w:rFonts w:hint="eastAsia"/>
          <w:color w:val="auto"/>
          <w:lang w:val="en-US" w:eastAsia="zh-CN"/>
        </w:rPr>
        <w:t>施工主要依靠经验</w:t>
      </w:r>
      <w:r>
        <w:rPr>
          <w:rFonts w:hint="eastAsia"/>
          <w:color w:val="auto"/>
        </w:rPr>
        <w:t>，迫切需要有相应的技术规程来指导。根据湖北省市场监督管理局《关于下达2022年度湖北省地方标准制修订项目计划（第一批）的通知（鄂市监标函〔2022〕134号）》的要求，规程编制组经过广泛调查研究，认真总结实践经验，编制了本规程。</w:t>
      </w:r>
    </w:p>
    <w:p>
      <w:pPr>
        <w:pStyle w:val="62"/>
        <w:ind w:firstLine="420"/>
        <w:rPr>
          <w:color w:val="auto"/>
        </w:rPr>
      </w:pPr>
      <w:r>
        <w:rPr>
          <w:rFonts w:hint="eastAsia"/>
          <w:color w:val="auto"/>
        </w:rPr>
        <w:t>本</w:t>
      </w:r>
      <w:r>
        <w:rPr>
          <w:rFonts w:hint="eastAsia"/>
          <w:color w:val="auto"/>
          <w:lang w:val="en-US" w:eastAsia="zh-CN"/>
        </w:rPr>
        <w:t>文件</w:t>
      </w:r>
      <w:r>
        <w:rPr>
          <w:rFonts w:hint="eastAsia"/>
          <w:color w:val="auto"/>
        </w:rPr>
        <w:t>适用于大直径钢套筒辅助泥水平衡盾构机始发、接收以及受限工作空间的盾构机和钢套筒整体平移转体施工，</w:t>
      </w:r>
      <w:r>
        <w:rPr>
          <w:rFonts w:hint="eastAsia"/>
          <w:color w:val="auto"/>
          <w:lang w:val="en-US" w:eastAsia="zh-CN"/>
        </w:rPr>
        <w:t>其他规格钢套筒辅助盾构施工也可参考借鉴</w:t>
      </w:r>
      <w:r>
        <w:rPr>
          <w:rFonts w:hint="eastAsia"/>
          <w:color w:val="auto"/>
        </w:rPr>
        <w:t>。大直径钢套筒辅助泥水盾构施工技术除应符合本规程的规定外，尚应符合有关法律、法规及国家、行业现行有关标准的规定。</w:t>
      </w:r>
    </w:p>
    <w:p>
      <w:pPr>
        <w:pStyle w:val="62"/>
        <w:ind w:firstLine="420"/>
        <w:rPr>
          <w:color w:val="auto"/>
        </w:rPr>
      </w:pPr>
    </w:p>
    <w:p>
      <w:pPr>
        <w:snapToGrid w:val="0"/>
        <w:spacing w:before="156" w:beforeLines="50" w:after="156" w:afterLines="50"/>
        <w:ind w:firstLine="421" w:firstLineChars="200"/>
        <w:rPr>
          <w:b/>
          <w:color w:val="auto"/>
          <w:szCs w:val="24"/>
        </w:rPr>
      </w:pPr>
      <w:r>
        <w:rPr>
          <w:b/>
          <w:color w:val="auto"/>
          <w:szCs w:val="24"/>
        </w:rPr>
        <w:br w:type="page"/>
      </w:r>
    </w:p>
    <w:p>
      <w:pPr>
        <w:pStyle w:val="62"/>
        <w:ind w:firstLine="420"/>
        <w:rPr>
          <w:color w:val="auto"/>
        </w:rPr>
        <w:sectPr>
          <w:pgSz w:w="11906" w:h="16838"/>
          <w:pgMar w:top="1928" w:right="1134" w:bottom="1134" w:left="1134" w:header="1418" w:footer="1134" w:gutter="284"/>
          <w:pgNumType w:fmt="upperRoman"/>
          <w:cols w:space="425" w:num="1"/>
          <w:formProt w:val="0"/>
          <w:docGrid w:type="lines" w:linePitch="312" w:charSpace="0"/>
        </w:sectPr>
      </w:pPr>
    </w:p>
    <w:bookmarkEnd w:id="23"/>
    <w:p>
      <w:pPr>
        <w:spacing w:line="20" w:lineRule="exact"/>
        <w:jc w:val="center"/>
        <w:rPr>
          <w:rFonts w:ascii="黑体" w:hAnsi="黑体" w:eastAsia="黑体"/>
          <w:color w:val="auto"/>
          <w:sz w:val="32"/>
          <w:szCs w:val="32"/>
        </w:rPr>
      </w:pPr>
      <w:bookmarkStart w:id="24" w:name="BookMark4"/>
    </w:p>
    <w:p>
      <w:pPr>
        <w:spacing w:line="20" w:lineRule="exact"/>
        <w:jc w:val="center"/>
        <w:rPr>
          <w:rFonts w:ascii="黑体" w:hAnsi="黑体" w:eastAsia="黑体"/>
          <w:color w:val="auto"/>
          <w:sz w:val="32"/>
          <w:szCs w:val="32"/>
        </w:rPr>
      </w:pPr>
    </w:p>
    <w:sdt>
      <w:sdtPr>
        <w:rPr>
          <w:color w:val="auto"/>
        </w:rPr>
        <w:tag w:val="NEW_STAND_NAME"/>
        <w:id w:val="595910757"/>
        <w:lock w:val="sdtLocked"/>
        <w:placeholder>
          <w:docPart w:val="F81E4182C1C043299A1D113FDCD640C6"/>
        </w:placeholder>
      </w:sdtPr>
      <w:sdtEndPr>
        <w:rPr>
          <w:color w:val="auto"/>
        </w:rPr>
      </w:sdtEndPr>
      <w:sdtContent>
        <w:p>
          <w:pPr>
            <w:pStyle w:val="183"/>
            <w:spacing w:before="3" w:beforeLines="1" w:after="686" w:afterLines="220"/>
            <w:rPr>
              <w:color w:val="auto"/>
            </w:rPr>
          </w:pPr>
          <w:bookmarkStart w:id="25" w:name="NEW_STAND_NAME"/>
          <w:r>
            <w:rPr>
              <w:rFonts w:hint="eastAsia"/>
              <w:color w:val="auto"/>
            </w:rPr>
            <w:t>大直径钢套筒辅助泥水盾构施工技术规程</w:t>
          </w:r>
        </w:p>
      </w:sdtContent>
    </w:sdt>
    <w:bookmarkEnd w:id="25"/>
    <w:p>
      <w:pPr>
        <w:pStyle w:val="110"/>
        <w:spacing w:before="312" w:after="312"/>
        <w:rPr>
          <w:color w:val="auto"/>
        </w:rPr>
      </w:pPr>
      <w:bookmarkStart w:id="26" w:name="_Toc9441"/>
      <w:r>
        <w:rPr>
          <w:rFonts w:hint="eastAsia"/>
          <w:color w:val="auto"/>
        </w:rPr>
        <w:t>范围</w:t>
      </w:r>
      <w:bookmarkEnd w:id="26"/>
    </w:p>
    <w:p>
      <w:pPr>
        <w:pStyle w:val="62"/>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default"/>
          <w:color w:val="auto"/>
          <w:lang w:val="en-US" w:eastAsia="zh-CN"/>
        </w:rPr>
      </w:pPr>
      <w:bookmarkStart w:id="27" w:name="_Toc17233334"/>
      <w:bookmarkStart w:id="28" w:name="_Toc26648466"/>
      <w:bookmarkStart w:id="29" w:name="_Toc17233326"/>
      <w:bookmarkStart w:id="30" w:name="_Toc24884219"/>
      <w:bookmarkStart w:id="31" w:name="_Toc24884212"/>
      <w:r>
        <w:rPr>
          <w:rFonts w:hint="eastAsia"/>
          <w:color w:val="auto"/>
          <w:lang w:val="en-US" w:eastAsia="zh-CN"/>
        </w:rPr>
        <w:t>本文件规定了钢套筒及球铰基座设计、钢套筒安拆、钢套筒辅助盾构始发、钢套筒辅助盾构接收、钢套筒辅助盾构平移转体、钢套筒监测。</w:t>
      </w:r>
    </w:p>
    <w:p>
      <w:pPr>
        <w:pStyle w:val="62"/>
        <w:keepNext w:val="0"/>
        <w:keepLines w:val="0"/>
        <w:pageBreakBefore w:val="0"/>
        <w:widowControl/>
        <w:kinsoku/>
        <w:wordWrap/>
        <w:overflowPunct/>
        <w:topLinePunct w:val="0"/>
        <w:autoSpaceDE w:val="0"/>
        <w:autoSpaceDN w:val="0"/>
        <w:bidi w:val="0"/>
        <w:adjustRightInd/>
        <w:snapToGrid/>
        <w:ind w:firstLine="420" w:firstLineChars="200"/>
        <w:textAlignment w:val="auto"/>
        <w:rPr>
          <w:rFonts w:hint="eastAsia"/>
          <w:color w:val="auto"/>
        </w:rPr>
      </w:pPr>
      <w:r>
        <w:rPr>
          <w:rFonts w:hint="eastAsia"/>
          <w:color w:val="auto"/>
        </w:rPr>
        <w:t>本</w:t>
      </w:r>
      <w:r>
        <w:rPr>
          <w:rFonts w:hint="eastAsia"/>
          <w:color w:val="auto"/>
          <w:lang w:val="en-US" w:eastAsia="zh-CN"/>
        </w:rPr>
        <w:t>文件</w:t>
      </w:r>
      <w:r>
        <w:rPr>
          <w:rFonts w:hint="eastAsia"/>
          <w:color w:val="auto"/>
        </w:rPr>
        <w:t>适用于大直径钢套筒辅助泥水平衡盾构机始发、接收</w:t>
      </w:r>
      <w:r>
        <w:rPr>
          <w:rFonts w:hint="eastAsia"/>
          <w:color w:val="auto"/>
          <w:lang w:eastAsia="zh-CN"/>
        </w:rPr>
        <w:t>、</w:t>
      </w:r>
      <w:r>
        <w:rPr>
          <w:rFonts w:hint="eastAsia"/>
          <w:color w:val="auto"/>
          <w:lang w:val="en-US" w:eastAsia="zh-CN"/>
        </w:rPr>
        <w:t>平移转体</w:t>
      </w:r>
      <w:r>
        <w:rPr>
          <w:rFonts w:hint="eastAsia"/>
          <w:color w:val="auto"/>
        </w:rPr>
        <w:t>，</w:t>
      </w:r>
      <w:r>
        <w:rPr>
          <w:rFonts w:hint="eastAsia"/>
          <w:color w:val="auto"/>
          <w:lang w:val="en-US" w:eastAsia="zh-CN"/>
        </w:rPr>
        <w:t>其他规格钢套筒辅助盾构施工也可参考借鉴</w:t>
      </w:r>
      <w:r>
        <w:rPr>
          <w:rFonts w:hint="eastAsia"/>
          <w:color w:val="auto"/>
        </w:rPr>
        <w:t>。</w:t>
      </w:r>
    </w:p>
    <w:p>
      <w:pPr>
        <w:pStyle w:val="110"/>
        <w:spacing w:before="312" w:after="312"/>
        <w:rPr>
          <w:color w:val="auto"/>
        </w:rPr>
      </w:pPr>
      <w:bookmarkStart w:id="32" w:name="_Toc11768"/>
      <w:bookmarkStart w:id="33" w:name="_Toc97191424"/>
      <w:bookmarkStart w:id="34" w:name="_Toc26986772"/>
      <w:bookmarkStart w:id="35" w:name="_Toc26986531"/>
      <w:bookmarkStart w:id="36" w:name="_Toc100142412"/>
      <w:bookmarkStart w:id="37" w:name="_Toc26718931"/>
      <w:r>
        <w:rPr>
          <w:rFonts w:hint="eastAsia"/>
          <w:color w:val="auto"/>
        </w:rPr>
        <w:t>规范性引用文件</w:t>
      </w:r>
      <w:bookmarkEnd w:id="27"/>
      <w:bookmarkEnd w:id="28"/>
      <w:bookmarkEnd w:id="29"/>
      <w:bookmarkEnd w:id="30"/>
      <w:bookmarkEnd w:id="31"/>
      <w:bookmarkEnd w:id="32"/>
      <w:bookmarkEnd w:id="33"/>
      <w:bookmarkEnd w:id="34"/>
      <w:bookmarkEnd w:id="35"/>
      <w:bookmarkEnd w:id="36"/>
      <w:bookmarkEnd w:id="37"/>
    </w:p>
    <w:p>
      <w:pPr>
        <w:pStyle w:val="62"/>
        <w:ind w:firstLine="420"/>
        <w:rPr>
          <w:color w:val="auto"/>
          <w:szCs w:val="22"/>
        </w:rPr>
      </w:pPr>
      <w:r>
        <w:rPr>
          <w:rFonts w:hint="eastAsia"/>
          <w:color w:val="auto"/>
          <w:szCs w:val="22"/>
        </w:rPr>
        <w:t>下列文件对于本规程的应用是必不可少的。凡是注日期的引用文件，仅注日期的版本适用于本文件。凡是不注日期的引用文件，其最新版本（包括所有的修改单）适用于本规程。</w:t>
      </w:r>
    </w:p>
    <w:p>
      <w:pPr>
        <w:pStyle w:val="62"/>
        <w:ind w:firstLine="420"/>
        <w:rPr>
          <w:color w:val="auto"/>
          <w:szCs w:val="22"/>
        </w:rPr>
      </w:pPr>
      <w:r>
        <w:rPr>
          <w:rFonts w:hint="eastAsia"/>
          <w:color w:val="auto"/>
          <w:szCs w:val="22"/>
        </w:rPr>
        <w:t>GB/T308 滚动轴承 钢球</w:t>
      </w:r>
    </w:p>
    <w:p>
      <w:pPr>
        <w:pStyle w:val="62"/>
        <w:ind w:firstLine="420"/>
        <w:rPr>
          <w:rFonts w:hint="eastAsia"/>
          <w:color w:val="auto"/>
          <w:szCs w:val="22"/>
        </w:rPr>
      </w:pPr>
      <w:r>
        <w:rPr>
          <w:rFonts w:hint="eastAsia"/>
          <w:color w:val="auto"/>
          <w:szCs w:val="22"/>
        </w:rPr>
        <w:t>GB18173 高分子防水材料</w:t>
      </w:r>
    </w:p>
    <w:p>
      <w:pPr>
        <w:pStyle w:val="62"/>
        <w:ind w:firstLine="420"/>
        <w:rPr>
          <w:rFonts w:hint="eastAsia"/>
          <w:color w:val="auto"/>
          <w:szCs w:val="22"/>
        </w:rPr>
      </w:pPr>
      <w:r>
        <w:rPr>
          <w:rFonts w:hint="eastAsia"/>
          <w:color w:val="auto"/>
          <w:szCs w:val="22"/>
        </w:rPr>
        <w:t>GB/T35019 全断面隧道掘进机 泥水平衡盾构机</w:t>
      </w:r>
    </w:p>
    <w:p>
      <w:pPr>
        <w:pStyle w:val="62"/>
        <w:ind w:firstLine="420"/>
        <w:rPr>
          <w:color w:val="auto"/>
          <w:szCs w:val="22"/>
        </w:rPr>
      </w:pPr>
      <w:r>
        <w:rPr>
          <w:rFonts w:hint="eastAsia"/>
          <w:color w:val="auto"/>
          <w:szCs w:val="22"/>
        </w:rPr>
        <w:t>GB50017 钢结构设计标准</w:t>
      </w:r>
    </w:p>
    <w:p>
      <w:pPr>
        <w:pStyle w:val="62"/>
        <w:ind w:firstLine="420"/>
        <w:rPr>
          <w:rFonts w:hint="eastAsia"/>
          <w:color w:val="auto"/>
          <w:szCs w:val="22"/>
        </w:rPr>
      </w:pPr>
      <w:r>
        <w:rPr>
          <w:rFonts w:hint="eastAsia"/>
          <w:color w:val="auto"/>
          <w:szCs w:val="22"/>
        </w:rPr>
        <w:t>GB50026 工程测量标准</w:t>
      </w:r>
    </w:p>
    <w:p>
      <w:pPr>
        <w:pStyle w:val="62"/>
        <w:ind w:firstLine="420"/>
        <w:rPr>
          <w:color w:val="auto"/>
          <w:szCs w:val="22"/>
        </w:rPr>
      </w:pPr>
      <w:r>
        <w:rPr>
          <w:rFonts w:hint="eastAsia"/>
          <w:color w:val="auto"/>
          <w:szCs w:val="22"/>
        </w:rPr>
        <w:t>GB50205 钢结构工程施工质量验收规范</w:t>
      </w:r>
    </w:p>
    <w:p>
      <w:pPr>
        <w:pStyle w:val="62"/>
        <w:ind w:firstLine="420"/>
        <w:rPr>
          <w:rFonts w:hint="eastAsia"/>
          <w:color w:val="auto"/>
          <w:szCs w:val="22"/>
        </w:rPr>
      </w:pPr>
      <w:r>
        <w:rPr>
          <w:rFonts w:hint="eastAsia"/>
          <w:color w:val="auto"/>
          <w:szCs w:val="22"/>
        </w:rPr>
        <w:t>GB50278 起重设备安装工程施工及验收规范</w:t>
      </w:r>
    </w:p>
    <w:p>
      <w:pPr>
        <w:pStyle w:val="62"/>
        <w:ind w:firstLine="420"/>
        <w:rPr>
          <w:color w:val="auto"/>
          <w:szCs w:val="22"/>
        </w:rPr>
      </w:pPr>
      <w:r>
        <w:rPr>
          <w:rFonts w:hint="eastAsia"/>
          <w:color w:val="auto"/>
          <w:szCs w:val="22"/>
        </w:rPr>
        <w:t>GB50446 盾构法隧道施工与验收规范</w:t>
      </w:r>
    </w:p>
    <w:p>
      <w:pPr>
        <w:pStyle w:val="62"/>
        <w:ind w:firstLine="420"/>
        <w:rPr>
          <w:color w:val="auto"/>
          <w:szCs w:val="22"/>
        </w:rPr>
      </w:pPr>
      <w:r>
        <w:rPr>
          <w:rFonts w:hint="eastAsia"/>
          <w:color w:val="auto"/>
          <w:szCs w:val="22"/>
        </w:rPr>
        <w:t>GB50661 钢结构焊接规范</w:t>
      </w:r>
    </w:p>
    <w:p>
      <w:pPr>
        <w:pStyle w:val="62"/>
        <w:ind w:firstLine="420"/>
        <w:rPr>
          <w:color w:val="auto"/>
          <w:szCs w:val="22"/>
        </w:rPr>
      </w:pPr>
      <w:r>
        <w:rPr>
          <w:rFonts w:hint="eastAsia"/>
          <w:color w:val="auto"/>
          <w:szCs w:val="22"/>
        </w:rPr>
        <w:t>GB50755 钢结构工程施工规范</w:t>
      </w:r>
    </w:p>
    <w:p>
      <w:pPr>
        <w:pStyle w:val="62"/>
        <w:ind w:firstLine="420"/>
        <w:rPr>
          <w:rFonts w:hint="eastAsia"/>
          <w:color w:val="auto"/>
          <w:szCs w:val="22"/>
        </w:rPr>
      </w:pPr>
      <w:r>
        <w:rPr>
          <w:rFonts w:hint="eastAsia"/>
          <w:color w:val="auto"/>
          <w:szCs w:val="22"/>
        </w:rPr>
        <w:t>GB51210 建筑施工脚手架安全技术统一标准</w:t>
      </w:r>
    </w:p>
    <w:p>
      <w:pPr>
        <w:pStyle w:val="62"/>
        <w:ind w:firstLine="420"/>
        <w:rPr>
          <w:color w:val="auto"/>
          <w:szCs w:val="22"/>
        </w:rPr>
      </w:pPr>
      <w:r>
        <w:rPr>
          <w:rFonts w:hint="eastAsia"/>
          <w:color w:val="auto"/>
          <w:szCs w:val="22"/>
        </w:rPr>
        <w:t>GB55018 工程测量通用规范</w:t>
      </w:r>
    </w:p>
    <w:p>
      <w:pPr>
        <w:pStyle w:val="62"/>
        <w:ind w:firstLine="420"/>
        <w:rPr>
          <w:color w:val="auto"/>
          <w:szCs w:val="22"/>
        </w:rPr>
      </w:pPr>
      <w:r>
        <w:rPr>
          <w:rFonts w:hint="eastAsia"/>
          <w:color w:val="auto"/>
          <w:szCs w:val="22"/>
        </w:rPr>
        <w:t>GB55023 施工脚手架通用规范</w:t>
      </w:r>
    </w:p>
    <w:p>
      <w:pPr>
        <w:pStyle w:val="62"/>
        <w:ind w:firstLine="420"/>
        <w:rPr>
          <w:rFonts w:hint="eastAsia"/>
          <w:color w:val="auto"/>
          <w:szCs w:val="22"/>
          <w:lang w:val="en-US" w:eastAsia="zh-CN"/>
        </w:rPr>
      </w:pPr>
      <w:r>
        <w:rPr>
          <w:rFonts w:hint="eastAsia"/>
          <w:color w:val="auto"/>
          <w:szCs w:val="22"/>
          <w:lang w:val="en-US" w:eastAsia="zh-CN"/>
        </w:rPr>
        <w:t>JGJ7 空间网格结构技术规程</w:t>
      </w:r>
    </w:p>
    <w:p>
      <w:pPr>
        <w:pStyle w:val="62"/>
        <w:ind w:firstLine="420"/>
        <w:rPr>
          <w:rFonts w:hint="eastAsia"/>
          <w:color w:val="auto"/>
          <w:szCs w:val="22"/>
        </w:rPr>
      </w:pPr>
      <w:r>
        <w:rPr>
          <w:rFonts w:hint="eastAsia"/>
          <w:color w:val="auto"/>
          <w:szCs w:val="22"/>
        </w:rPr>
        <w:t>JGJ130 建筑施工扣件式钢管脚手架安全技术规范</w:t>
      </w:r>
    </w:p>
    <w:p>
      <w:pPr>
        <w:pStyle w:val="110"/>
        <w:spacing w:before="312" w:after="312"/>
        <w:rPr>
          <w:color w:val="auto"/>
        </w:rPr>
      </w:pPr>
      <w:bookmarkStart w:id="38" w:name="_Toc100142413"/>
      <w:bookmarkStart w:id="39" w:name="_Toc1282"/>
      <w:bookmarkStart w:id="40" w:name="_Toc97191425"/>
      <w:r>
        <w:rPr>
          <w:rFonts w:hint="eastAsia"/>
          <w:color w:val="auto"/>
          <w:szCs w:val="21"/>
        </w:rPr>
        <w:t>术语和定义</w:t>
      </w:r>
      <w:bookmarkEnd w:id="38"/>
      <w:bookmarkEnd w:id="39"/>
      <w:bookmarkEnd w:id="40"/>
    </w:p>
    <w:sdt>
      <w:sdtPr>
        <w:rPr>
          <w:color w:val="auto"/>
        </w:rPr>
        <w:id w:val="-1909835108"/>
        <w:placeholder>
          <w:docPart w:val="5813D8ADA0624C258886AEE3A8D1C26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color w:val="auto"/>
          <w:szCs w:val="22"/>
        </w:rPr>
      </w:sdtEndPr>
      <w:sdtContent>
        <w:p>
          <w:pPr>
            <w:pStyle w:val="62"/>
            <w:ind w:firstLine="420"/>
            <w:rPr>
              <w:color w:val="auto"/>
              <w:szCs w:val="22"/>
            </w:rPr>
          </w:pPr>
          <w:bookmarkStart w:id="41" w:name="_Toc26986532"/>
          <w:bookmarkEnd w:id="41"/>
          <w:r>
            <w:rPr>
              <w:rFonts w:hint="eastAsia"/>
              <w:color w:val="auto"/>
              <w:szCs w:val="22"/>
            </w:rPr>
            <w:t>下列术语和定义适用于本文件。</w:t>
          </w:r>
        </w:p>
      </w:sdtContent>
    </w:sdt>
    <w:p>
      <w:pPr>
        <w:pStyle w:val="229"/>
        <w:ind w:left="420" w:hanging="420" w:hangingChars="200"/>
        <w:outlineLvl w:val="1"/>
        <w:rPr>
          <w:rFonts w:ascii="黑体" w:hAnsi="黑体" w:eastAsia="黑体"/>
          <w:color w:val="auto"/>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 xml:space="preserve">大直径盾构 large diameter shield </w:t>
      </w:r>
    </w:p>
    <w:p>
      <w:pPr>
        <w:pStyle w:val="62"/>
        <w:rPr>
          <w:rFonts w:hint="eastAsia"/>
          <w:color w:val="auto"/>
          <w:lang w:val="en-US" w:eastAsia="zh-CN"/>
        </w:rPr>
      </w:pPr>
      <w:r>
        <w:rPr>
          <w:rFonts w:hint="eastAsia"/>
          <w:color w:val="auto"/>
          <w:lang w:val="en-US" w:eastAsia="zh-CN"/>
        </w:rPr>
        <w:t>刀盘开挖直径8m及以上盾构。</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钢套筒 steel sleeve</w:t>
      </w:r>
    </w:p>
    <w:p>
      <w:pPr>
        <w:pStyle w:val="62"/>
        <w:rPr>
          <w:rFonts w:hint="eastAsia"/>
          <w:color w:val="auto"/>
          <w:lang w:val="en-US" w:eastAsia="zh-CN"/>
        </w:rPr>
      </w:pPr>
      <w:r>
        <w:rPr>
          <w:rFonts w:hint="eastAsia"/>
          <w:color w:val="auto"/>
          <w:lang w:val="en-US" w:eastAsia="zh-CN"/>
        </w:rPr>
        <w:t>一种可用来辅助盾构始发或接收的密闭钢筒结构。</w:t>
      </w:r>
    </w:p>
    <w:p>
      <w:pPr>
        <w:pStyle w:val="229"/>
        <w:ind w:left="420" w:hanging="420" w:hangingChars="200"/>
        <w:outlineLvl w:val="1"/>
        <w:rPr>
          <w:rFonts w:hint="eastAsia" w:ascii="黑体" w:hAnsi="黑体" w:eastAsia="黑体"/>
          <w:color w:val="auto"/>
          <w:lang w:val="en-US" w:eastAsia="zh-CN"/>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盾构始发 shield launching</w:t>
      </w:r>
    </w:p>
    <w:p>
      <w:pPr>
        <w:pStyle w:val="62"/>
        <w:rPr>
          <w:rFonts w:hint="default"/>
          <w:color w:val="auto"/>
          <w:lang w:val="en-US" w:eastAsia="zh-CN"/>
        </w:rPr>
      </w:pPr>
      <w:r>
        <w:rPr>
          <w:rFonts w:hint="eastAsia"/>
          <w:color w:val="auto"/>
          <w:lang w:val="en-US" w:eastAsia="zh-CN"/>
        </w:rPr>
        <w:t>盾构开始掘进的施工过程。</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盾构接收 shield arrival</w:t>
      </w:r>
    </w:p>
    <w:p>
      <w:pPr>
        <w:pStyle w:val="62"/>
        <w:rPr>
          <w:rFonts w:hint="default"/>
          <w:color w:val="auto"/>
          <w:lang w:val="en-US" w:eastAsia="zh-CN"/>
        </w:rPr>
      </w:pPr>
      <w:r>
        <w:rPr>
          <w:rFonts w:hint="eastAsia"/>
          <w:color w:val="auto"/>
          <w:lang w:val="en-US" w:eastAsia="zh-CN"/>
        </w:rPr>
        <w:t>盾构到达接收位置的施工过程。</w:t>
      </w:r>
    </w:p>
    <w:p>
      <w:pPr>
        <w:pStyle w:val="229"/>
        <w:ind w:left="420" w:hanging="420" w:hangingChars="200"/>
        <w:outlineLvl w:val="1"/>
        <w:rPr>
          <w:rFonts w:hint="eastAsia" w:ascii="黑体" w:hAnsi="黑体" w:eastAsia="黑体"/>
          <w:color w:val="auto"/>
          <w:lang w:val="en-US" w:eastAsia="zh-CN"/>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盾构平移 shield translation</w:t>
      </w:r>
    </w:p>
    <w:p>
      <w:pPr>
        <w:pStyle w:val="62"/>
        <w:rPr>
          <w:rFonts w:hint="default"/>
          <w:color w:val="auto"/>
          <w:lang w:val="en-US" w:eastAsia="zh-CN"/>
        </w:rPr>
      </w:pPr>
      <w:r>
        <w:rPr>
          <w:rFonts w:hint="eastAsia"/>
          <w:color w:val="auto"/>
          <w:lang w:val="en-US" w:eastAsia="zh-CN"/>
        </w:rPr>
        <w:t>盾构施工完成一段隧道后平面位置调整的过程。</w:t>
      </w:r>
    </w:p>
    <w:p>
      <w:pPr>
        <w:pStyle w:val="229"/>
        <w:ind w:left="420" w:hanging="420" w:hangingChars="200"/>
        <w:outlineLvl w:val="1"/>
        <w:rPr>
          <w:rFonts w:hint="eastAsia" w:ascii="黑体" w:hAnsi="黑体" w:eastAsia="黑体"/>
          <w:color w:val="auto"/>
          <w:lang w:val="en-US" w:eastAsia="zh-CN"/>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盾构转体 shield u-turn</w:t>
      </w:r>
    </w:p>
    <w:p>
      <w:pPr>
        <w:pStyle w:val="62"/>
        <w:rPr>
          <w:rFonts w:hint="eastAsia"/>
          <w:color w:val="auto"/>
          <w:lang w:val="en-US" w:eastAsia="zh-CN"/>
        </w:rPr>
      </w:pPr>
      <w:r>
        <w:rPr>
          <w:rFonts w:hint="eastAsia"/>
          <w:color w:val="auto"/>
          <w:lang w:val="en-US" w:eastAsia="zh-CN"/>
        </w:rPr>
        <w:t>盾构施工完成一段隧道后调转方向的过程。</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负环管片 temporary segment</w:t>
      </w:r>
    </w:p>
    <w:p>
      <w:pPr>
        <w:pStyle w:val="62"/>
        <w:rPr>
          <w:rFonts w:hint="eastAsia"/>
          <w:color w:val="auto"/>
          <w:lang w:val="en-US" w:eastAsia="zh-CN"/>
        </w:rPr>
      </w:pPr>
      <w:r>
        <w:rPr>
          <w:rFonts w:hint="eastAsia"/>
          <w:color w:val="auto"/>
          <w:lang w:val="en-US" w:eastAsia="zh-CN"/>
        </w:rPr>
        <w:t>为盾构始发掘进提供推力的临时管片。</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反力架 reaction frame</w:t>
      </w:r>
    </w:p>
    <w:p>
      <w:pPr>
        <w:pStyle w:val="62"/>
        <w:rPr>
          <w:rFonts w:hint="default"/>
          <w:color w:val="auto"/>
          <w:lang w:val="en-US" w:eastAsia="zh-CN"/>
        </w:rPr>
      </w:pPr>
      <w:r>
        <w:rPr>
          <w:rFonts w:hint="eastAsia"/>
          <w:color w:val="auto"/>
          <w:lang w:val="en-US" w:eastAsia="zh-CN"/>
        </w:rPr>
        <w:t>为盾构始发和接收掘进提供反力的支撑装置。</w:t>
      </w:r>
    </w:p>
    <w:p>
      <w:pPr>
        <w:pStyle w:val="229"/>
        <w:ind w:left="420" w:hanging="420" w:hangingChars="200"/>
        <w:outlineLvl w:val="1"/>
        <w:rPr>
          <w:rFonts w:hint="eastAsia" w:ascii="黑体" w:hAnsi="黑体" w:eastAsia="黑体"/>
          <w:color w:val="auto"/>
          <w:lang w:val="en-US" w:eastAsia="zh-CN"/>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一体化托架 integrated bracket</w:t>
      </w:r>
    </w:p>
    <w:p>
      <w:pPr>
        <w:pStyle w:val="62"/>
        <w:rPr>
          <w:rFonts w:hint="default"/>
          <w:color w:val="auto"/>
          <w:lang w:val="en-US" w:eastAsia="zh-CN"/>
        </w:rPr>
      </w:pPr>
      <w:r>
        <w:rPr>
          <w:rFonts w:hint="eastAsia"/>
          <w:color w:val="auto"/>
          <w:lang w:val="en-US" w:eastAsia="zh-CN"/>
        </w:rPr>
        <w:t>用于承托盾构机的钢套筒下部结构。</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球铰基座 ball hinge base</w:t>
      </w:r>
    </w:p>
    <w:p>
      <w:pPr>
        <w:pStyle w:val="62"/>
        <w:rPr>
          <w:rFonts w:hint="eastAsia"/>
          <w:color w:val="auto"/>
          <w:lang w:val="en-US" w:eastAsia="zh-CN"/>
        </w:rPr>
      </w:pPr>
      <w:r>
        <w:rPr>
          <w:rFonts w:hint="eastAsia"/>
          <w:color w:val="auto"/>
          <w:lang w:val="en-US" w:eastAsia="zh-CN"/>
        </w:rPr>
        <w:t>安装在钢套筒一体化托架底部，用于完成盾构平移转体的装置。</w:t>
      </w:r>
    </w:p>
    <w:p>
      <w:pPr>
        <w:pStyle w:val="229"/>
        <w:ind w:left="420" w:hanging="420" w:hangingChars="200"/>
        <w:outlineLvl w:val="1"/>
        <w:rPr>
          <w:rFonts w:hint="default" w:ascii="黑体" w:hAnsi="黑体" w:eastAsia="黑体"/>
          <w:color w:val="auto"/>
          <w:lang w:val="en-US" w:eastAsia="zh-CN"/>
        </w:rPr>
      </w:pPr>
    </w:p>
    <w:p>
      <w:pPr>
        <w:pStyle w:val="62"/>
        <w:rPr>
          <w:rFonts w:hint="default"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延长钢环 extension steel ring</w:t>
      </w:r>
    </w:p>
    <w:p>
      <w:pPr>
        <w:pStyle w:val="62"/>
        <w:rPr>
          <w:rFonts w:hint="default"/>
          <w:color w:val="auto"/>
          <w:lang w:val="en-US" w:eastAsia="zh-CN"/>
        </w:rPr>
      </w:pPr>
      <w:r>
        <w:rPr>
          <w:rFonts w:hint="eastAsia"/>
          <w:color w:val="auto"/>
          <w:lang w:val="en-US" w:eastAsia="zh-CN"/>
        </w:rPr>
        <w:t>用于连接洞门预埋钢环与钢套筒筒体的环状结构。</w:t>
      </w:r>
    </w:p>
    <w:p>
      <w:pPr>
        <w:pStyle w:val="229"/>
        <w:ind w:left="420" w:hanging="420" w:hangingChars="200"/>
        <w:outlineLvl w:val="1"/>
        <w:rPr>
          <w:rFonts w:hint="eastAsia" w:ascii="黑体" w:hAnsi="黑体" w:eastAsia="黑体"/>
          <w:color w:val="auto"/>
          <w:lang w:val="en-US" w:eastAsia="zh-CN"/>
        </w:rPr>
      </w:pPr>
    </w:p>
    <w:p>
      <w:pPr>
        <w:pStyle w:val="62"/>
        <w:rPr>
          <w:rFonts w:hint="eastAsia" w:ascii="Times New Roman" w:hAnsi="Times New Roman" w:eastAsia="黑体" w:cs="Times New Roman"/>
          <w:sz w:val="21"/>
          <w:szCs w:val="22"/>
          <w:lang w:val="en-US" w:eastAsia="zh-CN" w:bidi="ar-SA"/>
        </w:rPr>
      </w:pPr>
      <w:r>
        <w:rPr>
          <w:rFonts w:hint="eastAsia" w:ascii="Times New Roman" w:hAnsi="Times New Roman" w:eastAsia="黑体" w:cs="Times New Roman"/>
          <w:sz w:val="21"/>
          <w:szCs w:val="22"/>
          <w:lang w:val="en-US" w:eastAsia="zh-CN" w:bidi="ar-SA"/>
        </w:rPr>
        <w:t>反力后座 reaction backing</w:t>
      </w:r>
    </w:p>
    <w:p>
      <w:pPr>
        <w:pStyle w:val="61"/>
        <w:rPr>
          <w:rFonts w:hint="eastAsia"/>
          <w:color w:val="auto"/>
          <w:szCs w:val="22"/>
        </w:rPr>
      </w:pPr>
      <w:r>
        <w:rPr>
          <w:rFonts w:hint="eastAsia"/>
          <w:color w:val="auto"/>
          <w:lang w:val="en-US" w:eastAsia="zh-CN"/>
        </w:rPr>
        <w:t>盾构平移转体过程中用来提供油缸反力的装置。</w:t>
      </w:r>
    </w:p>
    <w:p>
      <w:pPr>
        <w:pStyle w:val="110"/>
        <w:spacing w:before="312" w:after="312"/>
        <w:rPr>
          <w:rFonts w:hint="eastAsia" w:ascii="黑体" w:hAnsi="黑体" w:eastAsia="黑体"/>
          <w:color w:val="auto"/>
          <w:lang w:val="en-US" w:eastAsia="zh-CN"/>
        </w:rPr>
      </w:pPr>
      <w:bookmarkStart w:id="42" w:name="_Toc100142420"/>
      <w:bookmarkStart w:id="43" w:name="_Toc15465"/>
      <w:bookmarkStart w:id="44" w:name="_Toc100138091"/>
      <w:bookmarkStart w:id="45" w:name="_Toc474229846"/>
      <w:bookmarkStart w:id="46" w:name="_Toc100138099"/>
      <w:bookmarkStart w:id="47" w:name="_Toc299176952"/>
      <w:bookmarkStart w:id="48" w:name="_Toc298671236"/>
      <w:bookmarkStart w:id="49" w:name="_Toc322619518"/>
      <w:bookmarkStart w:id="50" w:name="_Toc472351306"/>
      <w:bookmarkStart w:id="51" w:name="_Toc472351214"/>
      <w:bookmarkStart w:id="52" w:name="_Toc339208961"/>
      <w:bookmarkStart w:id="53" w:name="_Toc298771805"/>
      <w:bookmarkStart w:id="54" w:name="_Toc484503871"/>
      <w:bookmarkStart w:id="55" w:name="_Toc299176901"/>
      <w:bookmarkStart w:id="56" w:name="_Toc97293152"/>
      <w:bookmarkStart w:id="57" w:name="_Toc458279612"/>
      <w:bookmarkStart w:id="58" w:name="_Toc298670687"/>
      <w:bookmarkStart w:id="59" w:name="OLE_LINK5"/>
      <w:bookmarkStart w:id="60" w:name="_Toc472961778"/>
      <w:bookmarkStart w:id="61" w:name="_Toc472961565"/>
      <w:bookmarkStart w:id="62" w:name="_Toc339213457"/>
      <w:r>
        <w:rPr>
          <w:color w:val="auto"/>
        </w:rPr>
        <w:t>基本规定</w:t>
      </w:r>
      <w:bookmarkEnd w:id="42"/>
      <w:bookmarkEnd w:id="43"/>
      <w:bookmarkEnd w:id="44"/>
    </w:p>
    <w:p>
      <w:pPr>
        <w:pStyle w:val="229"/>
        <w:ind w:left="420" w:hanging="420" w:hangingChars="200"/>
        <w:outlineLvl w:val="1"/>
        <w:rPr>
          <w:color w:val="auto"/>
        </w:rPr>
      </w:pPr>
      <w:r>
        <w:rPr>
          <w:rFonts w:hint="eastAsia"/>
          <w:color w:val="auto"/>
          <w:lang w:val="en-US" w:eastAsia="zh-CN"/>
        </w:rPr>
        <w:t>钢套筒功能设计应能满足盾构安全施工要求。</w:t>
      </w:r>
    </w:p>
    <w:p>
      <w:pPr>
        <w:pStyle w:val="229"/>
        <w:ind w:left="420" w:hanging="420" w:hangingChars="200"/>
        <w:outlineLvl w:val="1"/>
        <w:rPr>
          <w:rFonts w:hint="eastAsia"/>
          <w:color w:val="auto"/>
          <w:lang w:val="en-US" w:eastAsia="zh-CN"/>
        </w:rPr>
      </w:pPr>
      <w:r>
        <w:rPr>
          <w:rFonts w:hint="eastAsia"/>
          <w:color w:val="auto"/>
          <w:lang w:val="en-US" w:eastAsia="zh-CN"/>
        </w:rPr>
        <w:t>钢套筒结构设计前应明确盾构机和工作井尺寸，综合考虑确定具体参数，并根据盾构施工特点进行结构安全性验算，确保施工安全。</w:t>
      </w:r>
    </w:p>
    <w:p>
      <w:pPr>
        <w:pStyle w:val="229"/>
        <w:ind w:left="420" w:hanging="420" w:hangingChars="200"/>
        <w:outlineLvl w:val="1"/>
        <w:rPr>
          <w:rFonts w:hint="default"/>
          <w:color w:val="auto"/>
          <w:lang w:val="en-US" w:eastAsia="zh-CN"/>
        </w:rPr>
      </w:pPr>
      <w:r>
        <w:rPr>
          <w:rFonts w:hint="eastAsia"/>
          <w:color w:val="auto"/>
          <w:lang w:val="en-US" w:eastAsia="zh-CN"/>
        </w:rPr>
        <w:t>钢套筒生产应有保证生产质量要求的生产工艺、设施设备，及</w:t>
      </w:r>
      <w:r>
        <w:rPr>
          <w:rFonts w:hint="eastAsia"/>
          <w:color w:val="auto"/>
        </w:rPr>
        <w:t>相应的试验检测能力</w:t>
      </w:r>
      <w:r>
        <w:rPr>
          <w:rFonts w:hint="eastAsia"/>
          <w:color w:val="auto"/>
          <w:lang w:eastAsia="zh-CN"/>
        </w:rPr>
        <w:t>。</w:t>
      </w:r>
    </w:p>
    <w:p>
      <w:pPr>
        <w:pStyle w:val="229"/>
        <w:ind w:left="420" w:hanging="420" w:hangingChars="200"/>
        <w:outlineLvl w:val="1"/>
        <w:rPr>
          <w:rFonts w:hint="default"/>
          <w:color w:val="auto"/>
          <w:lang w:val="en-US" w:eastAsia="zh-CN"/>
        </w:rPr>
      </w:pPr>
      <w:r>
        <w:rPr>
          <w:rFonts w:hint="eastAsia"/>
          <w:color w:val="auto"/>
          <w:lang w:val="en-US" w:eastAsia="zh-CN"/>
        </w:rPr>
        <w:t>钢套筒生产所用原材料、半成品和成品进场应进行验收，质量合格后方可使用。</w:t>
      </w:r>
    </w:p>
    <w:p>
      <w:pPr>
        <w:pStyle w:val="229"/>
        <w:ind w:left="420" w:hanging="420" w:hangingChars="200"/>
        <w:outlineLvl w:val="1"/>
        <w:rPr>
          <w:rFonts w:hint="default"/>
          <w:color w:val="auto"/>
          <w:lang w:val="en-US" w:eastAsia="zh-CN"/>
        </w:rPr>
      </w:pPr>
      <w:r>
        <w:rPr>
          <w:rFonts w:hint="eastAsia"/>
          <w:color w:val="auto"/>
          <w:lang w:val="en-US" w:eastAsia="zh-CN"/>
        </w:rPr>
        <w:t>出厂前应对钢套筒部件进行验收，质量合格后方可运输。</w:t>
      </w:r>
    </w:p>
    <w:p>
      <w:pPr>
        <w:pStyle w:val="229"/>
        <w:ind w:left="420" w:hanging="420" w:hangingChars="200"/>
        <w:outlineLvl w:val="1"/>
        <w:rPr>
          <w:color w:val="auto"/>
        </w:rPr>
      </w:pPr>
      <w:r>
        <w:rPr>
          <w:rFonts w:hint="eastAsia"/>
          <w:color w:val="auto"/>
          <w:lang w:val="en-US" w:eastAsia="zh-CN"/>
        </w:rPr>
        <w:t>施工前应根据钢套筒辅助盾构施工特点、工程地质条件和工程实践编制专项施工方案和应急预案。</w:t>
      </w:r>
    </w:p>
    <w:p>
      <w:pPr>
        <w:pStyle w:val="229"/>
        <w:ind w:left="420" w:hanging="420" w:hangingChars="200"/>
        <w:outlineLvl w:val="1"/>
        <w:rPr>
          <w:rFonts w:hint="default" w:eastAsia="宋体"/>
          <w:color w:val="auto"/>
          <w:lang w:val="en-US" w:eastAsia="zh-CN"/>
        </w:rPr>
      </w:pPr>
      <w:r>
        <w:rPr>
          <w:rFonts w:hint="eastAsia"/>
          <w:color w:val="auto"/>
          <w:lang w:val="en-US" w:eastAsia="zh-CN"/>
        </w:rPr>
        <w:t>钢套筒吊装应符合行业标准JGJ 276的相关规定和要求。</w:t>
      </w:r>
    </w:p>
    <w:p>
      <w:pPr>
        <w:pStyle w:val="229"/>
        <w:ind w:left="420" w:hanging="420" w:hangingChars="200"/>
        <w:outlineLvl w:val="1"/>
        <w:rPr>
          <w:rFonts w:hint="default" w:eastAsia="宋体"/>
          <w:color w:val="auto"/>
          <w:lang w:val="en-US" w:eastAsia="zh-CN"/>
        </w:rPr>
      </w:pPr>
      <w:r>
        <w:rPr>
          <w:rFonts w:hint="eastAsia"/>
          <w:color w:val="auto"/>
          <w:lang w:val="en-US" w:eastAsia="zh-CN"/>
        </w:rPr>
        <w:t>钢套筒辅助盾构施工前应完成密闭性检验，密闭压力满足盾构施工要求。</w:t>
      </w:r>
    </w:p>
    <w:p>
      <w:pPr>
        <w:pStyle w:val="229"/>
        <w:ind w:left="420" w:hanging="420" w:hangingChars="200"/>
        <w:outlineLvl w:val="1"/>
        <w:rPr>
          <w:color w:val="auto"/>
        </w:rPr>
      </w:pPr>
      <w:r>
        <w:rPr>
          <w:rFonts w:hint="eastAsia"/>
          <w:color w:val="auto"/>
          <w:lang w:val="en-US" w:eastAsia="zh-CN"/>
        </w:rPr>
        <w:t>施工过程应对钢套筒、反力架结构进行监测，监测值应在允许范围内。</w:t>
      </w:r>
    </w:p>
    <w:p>
      <w:pPr>
        <w:pStyle w:val="110"/>
        <w:spacing w:before="312" w:after="312"/>
        <w:rPr>
          <w:rFonts w:hint="default"/>
          <w:color w:val="auto"/>
          <w:lang w:val="en-US" w:eastAsia="zh-CN"/>
        </w:rPr>
      </w:pPr>
      <w:bookmarkStart w:id="63" w:name="_Toc26194"/>
      <w:r>
        <w:rPr>
          <w:rFonts w:hint="eastAsia"/>
          <w:color w:val="auto"/>
        </w:rPr>
        <w:t>钢套筒及球铰基座</w:t>
      </w:r>
      <w:bookmarkEnd w:id="63"/>
    </w:p>
    <w:p>
      <w:pPr>
        <w:pStyle w:val="111"/>
        <w:bidi w:val="0"/>
        <w:ind w:left="0" w:leftChars="0" w:firstLine="0" w:firstLineChars="0"/>
        <w:rPr>
          <w:rFonts w:hint="eastAsia"/>
          <w:color w:val="auto"/>
          <w:lang w:val="en-US" w:eastAsia="zh-CN"/>
        </w:rPr>
      </w:pPr>
      <w:bookmarkStart w:id="64" w:name="_Toc10025"/>
      <w:r>
        <w:rPr>
          <w:rFonts w:hint="eastAsia"/>
          <w:color w:val="auto"/>
          <w:lang w:val="en-US" w:eastAsia="zh-CN"/>
        </w:rPr>
        <w:t>一般规定</w:t>
      </w:r>
      <w:bookmarkEnd w:id="64"/>
    </w:p>
    <w:p>
      <w:pPr>
        <w:pStyle w:val="171"/>
        <w:rPr>
          <w:color w:val="auto"/>
        </w:rPr>
      </w:pPr>
      <w:r>
        <w:rPr>
          <w:rFonts w:hint="eastAsia"/>
          <w:color w:val="auto"/>
          <w:lang w:val="en-US" w:eastAsia="zh-CN"/>
        </w:rPr>
        <w:t>钢套筒应根据项目实际需求进行针对性结构设计。</w:t>
      </w:r>
    </w:p>
    <w:p>
      <w:pPr>
        <w:pStyle w:val="171"/>
        <w:rPr>
          <w:color w:val="auto"/>
        </w:rPr>
      </w:pPr>
      <w:r>
        <w:rPr>
          <w:rFonts w:hint="eastAsia"/>
          <w:color w:val="auto"/>
          <w:lang w:val="en-US" w:eastAsia="zh-CN"/>
        </w:rPr>
        <w:t>筒体分块设计应综合考虑</w:t>
      </w:r>
      <w:r>
        <w:rPr>
          <w:rFonts w:hint="eastAsia"/>
          <w:color w:val="auto"/>
        </w:rPr>
        <w:t>钢套筒直径、分块重量、吊装工艺</w:t>
      </w:r>
      <w:r>
        <w:rPr>
          <w:rFonts w:hint="eastAsia"/>
          <w:color w:val="auto"/>
          <w:lang w:eastAsia="zh-CN"/>
        </w:rPr>
        <w:t>、</w:t>
      </w:r>
      <w:r>
        <w:rPr>
          <w:rFonts w:hint="eastAsia"/>
          <w:color w:val="auto"/>
        </w:rPr>
        <w:t>钢套筒受力</w:t>
      </w:r>
      <w:r>
        <w:rPr>
          <w:rFonts w:hint="eastAsia"/>
          <w:color w:val="auto"/>
          <w:lang w:eastAsia="zh-CN"/>
        </w:rPr>
        <w:t>、</w:t>
      </w:r>
      <w:r>
        <w:rPr>
          <w:rFonts w:hint="eastAsia"/>
          <w:color w:val="auto"/>
          <w:lang w:val="en-US" w:eastAsia="zh-CN"/>
        </w:rPr>
        <w:t>施工现场作业条件等因素。</w:t>
      </w:r>
    </w:p>
    <w:p>
      <w:pPr>
        <w:pStyle w:val="171"/>
        <w:rPr>
          <w:color w:val="auto"/>
        </w:rPr>
      </w:pPr>
      <w:r>
        <w:rPr>
          <w:rFonts w:hint="eastAsia"/>
          <w:color w:val="auto"/>
          <w:lang w:val="en-US" w:eastAsia="zh-CN"/>
        </w:rPr>
        <w:t>钢套筒加工前应根据设计图纸细化加工图，放样时考虑焊接变形和收缩余量。</w:t>
      </w:r>
    </w:p>
    <w:p>
      <w:pPr>
        <w:pStyle w:val="111"/>
        <w:bidi w:val="0"/>
        <w:ind w:left="0" w:leftChars="0" w:firstLine="0" w:firstLineChars="0"/>
        <w:rPr>
          <w:rFonts w:hint="eastAsia"/>
        </w:rPr>
      </w:pPr>
      <w:bookmarkStart w:id="65" w:name="_Toc23581"/>
      <w:r>
        <w:rPr>
          <w:rFonts w:hint="eastAsia"/>
          <w:color w:val="auto"/>
          <w:lang w:val="en-US" w:eastAsia="zh-CN"/>
        </w:rPr>
        <w:t>钢套筒构造</w:t>
      </w:r>
      <w:bookmarkEnd w:id="65"/>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钢套筒结构</w:t>
      </w:r>
    </w:p>
    <w:p>
      <w:pPr>
        <w:pStyle w:val="62"/>
        <w:ind w:firstLine="420"/>
        <w:rPr>
          <w:rFonts w:hint="eastAsia"/>
          <w:color w:val="auto"/>
          <w:lang w:val="en-US" w:eastAsia="zh-CN"/>
        </w:rPr>
      </w:pPr>
      <w:r>
        <w:rPr>
          <w:rFonts w:hint="default"/>
          <w:color w:val="auto"/>
          <w:lang w:val="en-US" w:eastAsia="zh-CN"/>
        </w:rPr>
        <w:t>a) 钢套筒结构分为延长钢环、</w:t>
      </w:r>
      <w:r>
        <w:rPr>
          <w:rFonts w:hint="eastAsia"/>
          <w:color w:val="auto"/>
          <w:lang w:val="en-US" w:eastAsia="zh-CN"/>
        </w:rPr>
        <w:t>筒体分块</w:t>
      </w:r>
      <w:r>
        <w:rPr>
          <w:rFonts w:hint="default"/>
          <w:color w:val="auto"/>
          <w:lang w:val="en-US" w:eastAsia="zh-CN"/>
        </w:rPr>
        <w:t>、一体化托架、端盖圆环、平底封盖组成。</w:t>
      </w:r>
    </w:p>
    <w:p>
      <w:pPr>
        <w:pStyle w:val="61"/>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color w:val="auto"/>
        </w:rPr>
      </w:pPr>
      <w:r>
        <w:rPr>
          <w:color w:val="auto"/>
        </w:rPr>
        <w:drawing>
          <wp:inline distT="0" distB="0" distL="114300" distR="114300">
            <wp:extent cx="4366895" cy="2376170"/>
            <wp:effectExtent l="0" t="0" r="14605" b="5080"/>
            <wp:docPr id="8" name="图片 14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42"/>
                    <pic:cNvPicPr>
                      <a:picLocks noChangeAspect="true"/>
                    </pic:cNvPicPr>
                  </pic:nvPicPr>
                  <pic:blipFill>
                    <a:blip r:embed="rId17">
                      <a:grayscl/>
                    </a:blip>
                    <a:stretch>
                      <a:fillRect/>
                    </a:stretch>
                  </pic:blipFill>
                  <pic:spPr>
                    <a:xfrm>
                      <a:off x="0" y="0"/>
                      <a:ext cx="4366895" cy="2376170"/>
                    </a:xfrm>
                    <a:prstGeom prst="rect">
                      <a:avLst/>
                    </a:prstGeom>
                    <a:noFill/>
                    <a:ln>
                      <a:noFill/>
                    </a:ln>
                  </pic:spPr>
                </pic:pic>
              </a:graphicData>
            </a:graphic>
          </wp:inline>
        </w:drawing>
      </w:r>
    </w:p>
    <w:p>
      <w:pPr>
        <w:pStyle w:val="62"/>
        <w:jc w:val="center"/>
        <w:rPr>
          <w:rFonts w:hint="eastAsia"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图1 钢套筒结构图</w:t>
      </w:r>
    </w:p>
    <w:p>
      <w:pPr>
        <w:pStyle w:val="62"/>
        <w:ind w:firstLine="420"/>
        <w:rPr>
          <w:rFonts w:hint="default"/>
          <w:color w:val="auto"/>
          <w:lang w:val="en-US" w:eastAsia="zh-CN"/>
        </w:rPr>
      </w:pPr>
      <w:r>
        <w:rPr>
          <w:rFonts w:hint="eastAsia"/>
          <w:color w:val="auto"/>
          <w:lang w:val="en-US" w:eastAsia="zh-CN"/>
        </w:rPr>
        <w:t>b</w:t>
      </w:r>
      <w:r>
        <w:rPr>
          <w:rFonts w:hint="default"/>
          <w:color w:val="auto"/>
          <w:lang w:val="en-US" w:eastAsia="zh-CN"/>
        </w:rPr>
        <w:t>)</w:t>
      </w:r>
      <w:r>
        <w:rPr>
          <w:rFonts w:hint="eastAsia"/>
          <w:color w:val="auto"/>
          <w:lang w:val="en-US" w:eastAsia="zh-CN"/>
        </w:rPr>
        <w:t xml:space="preserve"> </w:t>
      </w:r>
      <w:r>
        <w:rPr>
          <w:rFonts w:hint="default"/>
          <w:color w:val="auto"/>
          <w:lang w:val="en-US" w:eastAsia="zh-CN"/>
        </w:rPr>
        <w:t>钢套筒筒体长度根据盾构负环环数与盾构机整机长度进行设计。</w:t>
      </w:r>
    </w:p>
    <w:p>
      <w:pPr>
        <w:pStyle w:val="62"/>
        <w:ind w:firstLine="420"/>
        <w:rPr>
          <w:rFonts w:hint="default"/>
          <w:color w:val="auto"/>
          <w:lang w:val="en-US" w:eastAsia="zh-CN"/>
        </w:rPr>
      </w:pPr>
      <w:r>
        <w:rPr>
          <w:rFonts w:hint="default"/>
          <w:color w:val="auto"/>
          <w:lang w:val="en-US" w:eastAsia="zh-CN"/>
        </w:rPr>
        <w:t>c)</w:t>
      </w:r>
      <w:r>
        <w:rPr>
          <w:rFonts w:hint="eastAsia"/>
          <w:color w:val="auto"/>
          <w:lang w:val="en-US" w:eastAsia="zh-CN"/>
        </w:rPr>
        <w:t xml:space="preserve"> </w:t>
      </w:r>
      <w:r>
        <w:rPr>
          <w:rFonts w:hint="default"/>
          <w:color w:val="auto"/>
          <w:lang w:val="en-US" w:eastAsia="zh-CN"/>
        </w:rPr>
        <w:t>钢套筒环向分为90°底部基座块和9块30°分块扇块，</w:t>
      </w:r>
      <w:r>
        <w:rPr>
          <w:rFonts w:hint="eastAsia"/>
          <w:color w:val="auto"/>
          <w:lang w:val="en-US" w:eastAsia="zh-CN"/>
        </w:rPr>
        <w:t>分块采用法兰连接，设置O型橡胶圈密封。</w:t>
      </w:r>
    </w:p>
    <w:p>
      <w:pPr>
        <w:pStyle w:val="62"/>
        <w:ind w:firstLine="420"/>
        <w:rPr>
          <w:rFonts w:hint="eastAsia"/>
          <w:color w:val="auto"/>
          <w:lang w:val="en-US" w:eastAsia="zh-CN"/>
        </w:rPr>
      </w:pPr>
      <w:r>
        <w:rPr>
          <w:rFonts w:hint="eastAsia"/>
          <w:color w:val="auto"/>
          <w:lang w:val="en-US" w:eastAsia="zh-CN"/>
        </w:rPr>
        <w:t>d) 一体化托架分块连接应预留工作槽，进行盾体外部接缝焊接。</w:t>
      </w:r>
    </w:p>
    <w:p>
      <w:pPr>
        <w:pStyle w:val="62"/>
        <w:ind w:firstLine="420"/>
        <w:rPr>
          <w:rFonts w:hint="eastAsia"/>
          <w:color w:val="auto"/>
          <w:lang w:val="en-US" w:eastAsia="zh-CN"/>
        </w:rPr>
      </w:pPr>
      <w:r>
        <w:rPr>
          <w:rFonts w:hint="eastAsia"/>
          <w:color w:val="auto"/>
          <w:lang w:val="en-US" w:eastAsia="zh-CN"/>
        </w:rPr>
        <w:t>e) 一体化托架两侧设置油缸腔室，沿钢套筒长度方向左右对称均匀布置。</w:t>
      </w:r>
    </w:p>
    <w:p>
      <w:pPr>
        <w:pStyle w:val="6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r>
        <w:rPr>
          <w:color w:val="auto"/>
        </w:rPr>
        <w:drawing>
          <wp:inline distT="0" distB="0" distL="0" distR="0">
            <wp:extent cx="4521200" cy="2947035"/>
            <wp:effectExtent l="0" t="0" r="12700" b="5715"/>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pic:cNvPicPr>
                  </pic:nvPicPr>
                  <pic:blipFill>
                    <a:blip r:embed="rId18">
                      <a:grayscl/>
                    </a:blip>
                    <a:stretch>
                      <a:fillRect/>
                    </a:stretch>
                  </pic:blipFill>
                  <pic:spPr>
                    <a:xfrm>
                      <a:off x="0" y="0"/>
                      <a:ext cx="4521200" cy="2947035"/>
                    </a:xfrm>
                    <a:prstGeom prst="rect">
                      <a:avLst/>
                    </a:prstGeom>
                    <a:ln w="3175">
                      <a:noFill/>
                    </a:ln>
                  </pic:spPr>
                </pic:pic>
              </a:graphicData>
            </a:graphic>
          </wp:inline>
        </w:drawing>
      </w:r>
    </w:p>
    <w:p>
      <w:pPr>
        <w:pStyle w:val="62"/>
        <w:jc w:val="center"/>
        <w:rPr>
          <w:rFonts w:hint="default"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图2 工作槽及油缸工作舱布置</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筒体钢板应优先采用整块钢板卷制而成。</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钢套筒结构所用钢材强度应满足设计要求，并应结合盾构始发、接收荷载条件采用数值模拟软件对钢套筒整体结构验算，安全系数应盾构施工要求。</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highlight w:val="none"/>
        </w:rPr>
      </w:pPr>
      <w:r>
        <w:rPr>
          <w:rFonts w:hint="eastAsia"/>
          <w:color w:val="auto"/>
          <w:highlight w:val="none"/>
        </w:rPr>
        <w:t>钢套筒尺寸精度应符合下列要求：</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eastAsia="宋体"/>
          <w:color w:val="auto"/>
          <w:highlight w:val="none"/>
          <w:lang w:eastAsia="zh-CN"/>
        </w:rPr>
      </w:pPr>
      <w:r>
        <w:rPr>
          <w:rFonts w:hint="eastAsia"/>
          <w:color w:val="auto"/>
          <w:lang w:val="en-US" w:eastAsia="zh-CN"/>
        </w:rPr>
        <w:t>a)</w:t>
      </w:r>
      <w:r>
        <w:rPr>
          <w:rFonts w:hint="eastAsia"/>
          <w:color w:val="auto"/>
          <w:highlight w:val="none"/>
        </w:rPr>
        <w:t xml:space="preserve"> </w:t>
      </w:r>
      <w:r>
        <w:rPr>
          <w:rFonts w:hint="eastAsia"/>
          <w:color w:val="auto"/>
          <w:highlight w:val="none"/>
          <w:lang w:val="en-US" w:eastAsia="zh-CN"/>
        </w:rPr>
        <w:t>筒体</w:t>
      </w:r>
      <w:r>
        <w:rPr>
          <w:rFonts w:hint="eastAsia"/>
          <w:color w:val="auto"/>
          <w:highlight w:val="none"/>
        </w:rPr>
        <w:t>直径偏差应控制在±2mm以内，长度和宽度应控制在±</w:t>
      </w:r>
      <w:r>
        <w:rPr>
          <w:rFonts w:hint="eastAsia"/>
          <w:color w:val="auto"/>
          <w:highlight w:val="none"/>
          <w:lang w:val="en-US" w:eastAsia="zh-CN"/>
        </w:rPr>
        <w:t>3</w:t>
      </w:r>
      <w:r>
        <w:rPr>
          <w:rFonts w:hint="eastAsia"/>
          <w:color w:val="auto"/>
          <w:highlight w:val="none"/>
        </w:rPr>
        <w:t>mm以内</w:t>
      </w:r>
      <w:r>
        <w:rPr>
          <w:rFonts w:hint="eastAsia"/>
          <w:color w:val="auto"/>
          <w:highlight w:val="none"/>
          <w:lang w:eastAsia="zh-CN"/>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color w:val="auto"/>
          <w:highlight w:val="none"/>
          <w:lang w:eastAsia="zh-CN"/>
        </w:rPr>
      </w:pPr>
      <w:r>
        <w:rPr>
          <w:rFonts w:hint="eastAsia"/>
          <w:color w:val="auto"/>
          <w:lang w:val="en-US" w:eastAsia="zh-CN"/>
        </w:rPr>
        <w:t>b)</w:t>
      </w:r>
      <w:r>
        <w:rPr>
          <w:rFonts w:hint="eastAsia"/>
          <w:color w:val="auto"/>
          <w:highlight w:val="none"/>
        </w:rPr>
        <w:t xml:space="preserve"> 密封槽偏差应控制在±1mm内</w:t>
      </w:r>
      <w:r>
        <w:rPr>
          <w:rFonts w:hint="eastAsia"/>
          <w:color w:val="auto"/>
          <w:highlight w:val="none"/>
          <w:lang w:eastAsia="zh-CN"/>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color w:val="auto"/>
          <w:lang w:val="en-US" w:eastAsia="zh-CN"/>
        </w:rPr>
      </w:pPr>
      <w:r>
        <w:rPr>
          <w:rFonts w:hint="eastAsia"/>
          <w:color w:val="auto"/>
          <w:lang w:val="en-US" w:eastAsia="zh-CN"/>
        </w:rPr>
        <w:t>c) 连接法兰平整度偏差应控制在±1mm以内。</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钢套筒功能性设计方面应符合下列要求：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a) 钢套筒除满足盾构始发、接收功能外，可根据实际工程需求增加平移、转体功能。</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b) 采用钢套筒接收后需平移转体时，钢套筒下分块宜与接收基座一体化设计。</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eastAsia="zh-CN"/>
        </w:rPr>
      </w:pPr>
      <w:r>
        <w:rPr>
          <w:rFonts w:hint="eastAsia"/>
          <w:color w:val="auto"/>
          <w:lang w:val="en-US" w:eastAsia="zh-CN"/>
        </w:rPr>
        <w:t xml:space="preserve">c) </w:t>
      </w:r>
      <w:r>
        <w:rPr>
          <w:rFonts w:hint="eastAsia"/>
          <w:color w:val="auto"/>
        </w:rPr>
        <w:t>钢套筒密闭</w:t>
      </w:r>
      <w:r>
        <w:rPr>
          <w:rFonts w:hint="eastAsia"/>
          <w:color w:val="auto"/>
          <w:lang w:val="en-US" w:eastAsia="zh-CN"/>
        </w:rPr>
        <w:t>压力</w:t>
      </w:r>
      <w:r>
        <w:rPr>
          <w:rFonts w:hint="eastAsia"/>
          <w:color w:val="auto"/>
        </w:rPr>
        <w:t>应</w:t>
      </w:r>
      <w:r>
        <w:rPr>
          <w:rFonts w:hint="eastAsia"/>
          <w:color w:val="auto"/>
          <w:lang w:val="en-US" w:eastAsia="zh-CN"/>
        </w:rPr>
        <w:t>大于</w:t>
      </w:r>
      <w:r>
        <w:rPr>
          <w:rFonts w:hint="eastAsia"/>
          <w:color w:val="auto"/>
        </w:rPr>
        <w:t>盾构始发</w:t>
      </w:r>
      <w:r>
        <w:rPr>
          <w:rFonts w:hint="eastAsia"/>
          <w:color w:val="auto"/>
          <w:lang w:eastAsia="zh-CN"/>
        </w:rPr>
        <w:t>、</w:t>
      </w:r>
      <w:r>
        <w:rPr>
          <w:rFonts w:hint="eastAsia"/>
          <w:color w:val="auto"/>
        </w:rPr>
        <w:t>接收</w:t>
      </w:r>
      <w:r>
        <w:rPr>
          <w:rFonts w:hint="eastAsia"/>
          <w:color w:val="auto"/>
          <w:lang w:val="en-US" w:eastAsia="zh-CN"/>
        </w:rPr>
        <w:t>阶段最大切水水压，并留有一定余量</w:t>
      </w:r>
      <w:r>
        <w:rPr>
          <w:rFonts w:hint="eastAsia"/>
          <w:color w:val="auto"/>
          <w:lang w:eastAsia="zh-CN"/>
        </w:rPr>
        <w:t>。</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d) 钢套筒顶部应设置填料口、泄压口，用于向筒体内部填料建仓。</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e) 钢套筒辅助盾构接收时应设置压力调节装置。</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f) 钢套筒基座应设置至少两道工作槽，满足盾构组装、拆解要求。</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调坡系统</w:t>
      </w:r>
    </w:p>
    <w:p>
      <w:pPr>
        <w:pStyle w:val="62"/>
        <w:autoSpaceDE w:val="0"/>
        <w:autoSpaceDN w:val="0"/>
        <w:ind w:firstLine="420"/>
        <w:rPr>
          <w:rFonts w:hint="eastAsia"/>
          <w:color w:val="auto"/>
          <w:lang w:val="en-US" w:eastAsia="zh-CN"/>
        </w:rPr>
      </w:pPr>
      <w:r>
        <w:rPr>
          <w:rFonts w:hint="eastAsia"/>
          <w:color w:val="auto"/>
          <w:lang w:val="en-US" w:eastAsia="zh-CN"/>
        </w:rPr>
        <w:t>a) 调坡系统包含调坡支墩、弧形撑靴、液压油缸及PLC集成液压系统。</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b) 调坡支墩高度根据隧道始发和接收设计轴线坡度确定，采用C型拼接设计。</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c) 弧形撑靴采用钢板拼接而成，预留卡槽以供油缸活塞杆有效连接。</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d) 液压系统包含油箱、电机、液压泵各1台，设有压力、油位和油温报警，系统未工作时处于卸荷状态，工作时油压达到设定压力。</w:t>
      </w:r>
    </w:p>
    <w:p>
      <w:pPr>
        <w:pStyle w:val="171"/>
        <w:widowControl/>
        <w:adjustRightInd/>
        <w:snapToGrid/>
        <w:outlineLvl w:val="9"/>
        <w:rPr>
          <w:rFonts w:hint="eastAsia"/>
          <w:lang w:val="en-US" w:eastAsia="zh-CN"/>
        </w:rPr>
      </w:pPr>
      <w:r>
        <w:rPr>
          <w:rFonts w:hint="eastAsia"/>
          <w:lang w:val="en-US" w:eastAsia="zh-CN"/>
        </w:rPr>
        <w:t>反力架及支撑系统</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a) 钢套筒支撑系统由钢套筒内部临时支撑、钢套筒侧边支撑、反力架三部分组成。</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b) 钢套筒内部临时支撑和钢套筒侧边支撑均采用为型钢，焊接组合而成。</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c) 反力架应采用强度等级不低于Q235B的钢结构设计，整体结构包含立柱、横向钢梁、斜撑。</w:t>
      </w:r>
    </w:p>
    <w:p>
      <w:pPr>
        <w:pStyle w:val="6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黑体" w:hAnsi="黑体" w:eastAsia="黑体" w:cs="黑体"/>
          <w:color w:val="auto"/>
          <w:sz w:val="24"/>
          <w:szCs w:val="22"/>
        </w:rPr>
      </w:pPr>
      <w:r>
        <w:rPr>
          <w:rFonts w:hint="eastAsia" w:ascii="黑体" w:hAnsi="黑体" w:eastAsia="黑体" w:cs="黑体"/>
          <w:color w:val="auto"/>
          <w:sz w:val="24"/>
          <w:szCs w:val="22"/>
        </w:rPr>
        <w:drawing>
          <wp:inline distT="0" distB="0" distL="0" distR="0">
            <wp:extent cx="2739390" cy="2538095"/>
            <wp:effectExtent l="0" t="0" r="3810" b="14605"/>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noChangeArrowheads="true"/>
                    </pic:cNvPicPr>
                  </pic:nvPicPr>
                  <pic:blipFill>
                    <a:blip r:embed="rId19" cstate="print">
                      <a:grayscl/>
                      <a:extLst>
                        <a:ext uri="{28A0092B-C50C-407E-A947-70E740481C1C}">
                          <a14:useLocalDpi xmlns:a14="http://schemas.microsoft.com/office/drawing/2010/main" val="false"/>
                        </a:ext>
                      </a:extLst>
                    </a:blip>
                    <a:srcRect/>
                    <a:stretch>
                      <a:fillRect/>
                    </a:stretch>
                  </pic:blipFill>
                  <pic:spPr>
                    <a:xfrm>
                      <a:off x="0" y="0"/>
                      <a:ext cx="2739390" cy="2538095"/>
                    </a:xfrm>
                    <a:prstGeom prst="rect">
                      <a:avLst/>
                    </a:prstGeom>
                    <a:noFill/>
                    <a:ln>
                      <a:noFill/>
                    </a:ln>
                  </pic:spPr>
                </pic:pic>
              </a:graphicData>
            </a:graphic>
          </wp:inline>
        </w:drawing>
      </w:r>
    </w:p>
    <w:p>
      <w:pPr>
        <w:pStyle w:val="62"/>
        <w:jc w:val="center"/>
        <w:rPr>
          <w:rFonts w:hint="default"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图3 反力架结构</w:t>
      </w:r>
    </w:p>
    <w:p>
      <w:pPr>
        <w:pStyle w:val="111"/>
        <w:bidi w:val="0"/>
        <w:ind w:left="0" w:leftChars="0" w:firstLine="0" w:firstLineChars="0"/>
        <w:rPr>
          <w:rFonts w:hint="eastAsia"/>
          <w:color w:val="auto"/>
          <w:lang w:val="en-US" w:eastAsia="zh-CN"/>
        </w:rPr>
      </w:pPr>
      <w:bookmarkStart w:id="66" w:name="_Toc32077"/>
      <w:r>
        <w:rPr>
          <w:rFonts w:hint="eastAsia"/>
          <w:color w:val="auto"/>
          <w:lang w:val="en-US" w:eastAsia="zh-CN"/>
        </w:rPr>
        <w:t>球铰基座构造</w:t>
      </w:r>
      <w:bookmarkEnd w:id="66"/>
    </w:p>
    <w:p>
      <w:pPr>
        <w:pStyle w:val="171"/>
        <w:widowControl/>
        <w:rPr>
          <w:rFonts w:hint="eastAsia"/>
          <w:color w:val="auto"/>
        </w:rPr>
      </w:pPr>
      <w:r>
        <w:rPr>
          <w:rFonts w:hint="eastAsia"/>
          <w:color w:val="auto"/>
        </w:rPr>
        <w:t>盾构需进行平移转体施工，针对工作井狭小、缺乏起重吊装设备时宜选用球铰基座结构。</w:t>
      </w:r>
    </w:p>
    <w:p>
      <w:pPr>
        <w:pStyle w:val="171"/>
        <w:widowControl/>
        <w:rPr>
          <w:rFonts w:hint="eastAsia"/>
          <w:color w:val="auto"/>
        </w:rPr>
      </w:pPr>
      <w:r>
        <w:rPr>
          <w:rFonts w:hint="eastAsia"/>
          <w:color w:val="auto"/>
          <w:lang w:val="en-US" w:eastAsia="zh-CN"/>
        </w:rPr>
        <w:t>球铰基座结构设计应综合考虑盾构机尺寸重量、钢套筒尺寸重量，并进行结构强度验算。</w:t>
      </w:r>
    </w:p>
    <w:p>
      <w:pPr>
        <w:pStyle w:val="171"/>
        <w:widowControl/>
        <w:rPr>
          <w:rFonts w:hint="eastAsia"/>
          <w:color w:val="auto"/>
        </w:rPr>
      </w:pPr>
      <w:r>
        <w:rPr>
          <w:rFonts w:hint="eastAsia"/>
          <w:color w:val="auto"/>
        </w:rPr>
        <w:t>球铰基座结构应包含自调心顶座、防脱板、中间座、钢球防脱圈、钢球</w:t>
      </w:r>
      <w:r>
        <w:rPr>
          <w:rFonts w:hint="eastAsia"/>
          <w:color w:val="auto"/>
          <w:lang w:eastAsia="zh-CN"/>
        </w:rPr>
        <w:t>。</w:t>
      </w:r>
    </w:p>
    <w:p>
      <w:pPr>
        <w:pStyle w:val="238"/>
        <w:keepNext w:val="0"/>
        <w:keepLines w:val="0"/>
        <w:pageBreakBefore w:val="0"/>
        <w:widowControl w:val="0"/>
        <w:numPr>
          <w:ilvl w:val="-1"/>
          <w:numId w:val="0"/>
        </w:numPr>
        <w:kinsoku/>
        <w:wordWrap/>
        <w:overflowPunct/>
        <w:topLinePunct w:val="0"/>
        <w:autoSpaceDE/>
        <w:autoSpaceDN/>
        <w:bidi w:val="0"/>
        <w:adjustRightInd/>
        <w:snapToGrid/>
        <w:spacing w:line="276" w:lineRule="auto"/>
        <w:ind w:left="420" w:leftChars="0" w:firstLine="0" w:firstLineChars="0"/>
        <w:jc w:val="center"/>
        <w:textAlignment w:val="auto"/>
      </w:pPr>
      <w:r>
        <w:drawing>
          <wp:inline distT="0" distB="0" distL="114300" distR="114300">
            <wp:extent cx="2873375" cy="1800225"/>
            <wp:effectExtent l="0" t="0" r="3175" b="9525"/>
            <wp:docPr id="1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true"/>
                    </pic:cNvPicPr>
                  </pic:nvPicPr>
                  <pic:blipFill>
                    <a:blip r:embed="rId20"/>
                    <a:stretch>
                      <a:fillRect/>
                    </a:stretch>
                  </pic:blipFill>
                  <pic:spPr>
                    <a:xfrm>
                      <a:off x="0" y="0"/>
                      <a:ext cx="2873375" cy="1800225"/>
                    </a:xfrm>
                    <a:prstGeom prst="rect">
                      <a:avLst/>
                    </a:prstGeom>
                    <a:noFill/>
                    <a:ln>
                      <a:noFill/>
                    </a:ln>
                  </pic:spPr>
                </pic:pic>
              </a:graphicData>
            </a:graphic>
          </wp:inline>
        </w:drawing>
      </w:r>
      <w:r>
        <w:drawing>
          <wp:inline distT="0" distB="0" distL="114300" distR="114300">
            <wp:extent cx="2456815" cy="1800225"/>
            <wp:effectExtent l="0" t="0" r="635" b="9525"/>
            <wp:docPr id="1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true"/>
                    </pic:cNvPicPr>
                  </pic:nvPicPr>
                  <pic:blipFill>
                    <a:blip r:embed="rId21"/>
                    <a:stretch>
                      <a:fillRect/>
                    </a:stretch>
                  </pic:blipFill>
                  <pic:spPr>
                    <a:xfrm>
                      <a:off x="0" y="0"/>
                      <a:ext cx="2456815" cy="1800225"/>
                    </a:xfrm>
                    <a:prstGeom prst="rect">
                      <a:avLst/>
                    </a:prstGeom>
                    <a:noFill/>
                    <a:ln>
                      <a:noFill/>
                    </a:ln>
                  </pic:spPr>
                </pic:pic>
              </a:graphicData>
            </a:graphic>
          </wp:inline>
        </w:drawing>
      </w:r>
    </w:p>
    <w:p>
      <w:pPr>
        <w:pStyle w:val="62"/>
        <w:jc w:val="center"/>
        <w:rPr>
          <w:rFonts w:hint="eastAsia"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图4 球铰基座结构图</w:t>
      </w:r>
    </w:p>
    <w:p>
      <w:pPr>
        <w:pStyle w:val="171"/>
        <w:widowControl/>
        <w:rPr>
          <w:rFonts w:hint="eastAsia"/>
          <w:color w:val="auto"/>
        </w:rPr>
      </w:pPr>
      <w:r>
        <w:rPr>
          <w:rFonts w:hint="eastAsia"/>
          <w:color w:val="auto"/>
        </w:rPr>
        <w:t>防脱板、中间座、钢球防脱圈、钢球</w:t>
      </w:r>
      <w:r>
        <w:rPr>
          <w:rFonts w:hint="eastAsia"/>
          <w:color w:val="auto"/>
          <w:lang w:val="en-US" w:eastAsia="zh-CN"/>
        </w:rPr>
        <w:t>宜</w:t>
      </w:r>
      <w:r>
        <w:rPr>
          <w:rFonts w:hint="eastAsia"/>
          <w:color w:val="auto"/>
        </w:rPr>
        <w:t>在出厂前组装成套</w:t>
      </w:r>
      <w:r>
        <w:rPr>
          <w:rFonts w:hint="eastAsia"/>
          <w:color w:val="auto"/>
          <w:lang w:eastAsia="zh-CN"/>
        </w:rPr>
        <w:t>。</w:t>
      </w:r>
    </w:p>
    <w:p>
      <w:pPr>
        <w:pStyle w:val="171"/>
        <w:widowControl/>
        <w:rPr>
          <w:rFonts w:hint="eastAsia" w:eastAsia="宋体"/>
          <w:color w:val="auto"/>
          <w:lang w:eastAsia="zh-CN"/>
        </w:rPr>
      </w:pPr>
      <w:r>
        <w:rPr>
          <w:rFonts w:hint="eastAsia"/>
          <w:color w:val="auto"/>
        </w:rPr>
        <w:t>球铰基座数量应</w:t>
      </w:r>
      <w:r>
        <w:rPr>
          <w:rFonts w:hint="eastAsia"/>
          <w:color w:val="auto"/>
          <w:lang w:val="en-US" w:eastAsia="zh-CN"/>
        </w:rPr>
        <w:t>根据</w:t>
      </w:r>
      <w:r>
        <w:rPr>
          <w:rFonts w:hint="eastAsia"/>
          <w:color w:val="auto"/>
        </w:rPr>
        <w:t>盾构及钢套筒结构</w:t>
      </w:r>
      <w:r>
        <w:rPr>
          <w:rFonts w:hint="eastAsia"/>
          <w:color w:val="auto"/>
          <w:lang w:val="en-US" w:eastAsia="zh-CN"/>
        </w:rPr>
        <w:t>总重量</w:t>
      </w:r>
      <w:r>
        <w:rPr>
          <w:rFonts w:hint="eastAsia"/>
          <w:color w:val="auto"/>
        </w:rPr>
        <w:t>确定</w:t>
      </w:r>
      <w:r>
        <w:rPr>
          <w:rFonts w:hint="eastAsia"/>
          <w:color w:val="auto"/>
          <w:lang w:eastAsia="zh-CN"/>
        </w:rPr>
        <w:t>。</w:t>
      </w:r>
    </w:p>
    <w:p>
      <w:pPr>
        <w:pStyle w:val="171"/>
        <w:widowControl/>
        <w:rPr>
          <w:rFonts w:hint="eastAsia" w:eastAsia="宋体"/>
          <w:color w:val="auto"/>
          <w:lang w:eastAsia="zh-CN"/>
        </w:rPr>
      </w:pPr>
      <w:r>
        <w:rPr>
          <w:rFonts w:hint="eastAsia"/>
          <w:color w:val="auto"/>
          <w:lang w:val="en-US" w:eastAsia="zh-CN"/>
        </w:rPr>
        <w:t>球铰基座布置位置宜</w:t>
      </w:r>
      <w:r>
        <w:rPr>
          <w:rFonts w:hint="eastAsia"/>
          <w:color w:val="auto"/>
        </w:rPr>
        <w:t>考虑盾构机与钢套筒整体重力分布</w:t>
      </w:r>
      <w:r>
        <w:rPr>
          <w:rFonts w:hint="eastAsia"/>
          <w:color w:val="auto"/>
          <w:lang w:eastAsia="zh-CN"/>
        </w:rPr>
        <w:t>。</w:t>
      </w:r>
    </w:p>
    <w:p>
      <w:pPr>
        <w:pStyle w:val="171"/>
        <w:widowControl/>
        <w:rPr>
          <w:rFonts w:hint="eastAsia"/>
          <w:color w:val="auto"/>
        </w:rPr>
      </w:pPr>
      <w:r>
        <w:rPr>
          <w:rFonts w:hint="eastAsia"/>
          <w:color w:val="auto"/>
          <w:highlight w:val="none"/>
        </w:rPr>
        <w:t>自调心顶座</w:t>
      </w:r>
      <w:r>
        <w:rPr>
          <w:rFonts w:hint="eastAsia"/>
          <w:color w:val="auto"/>
          <w:highlight w:val="none"/>
          <w:lang w:eastAsia="zh-CN"/>
        </w:rPr>
        <w:t>、</w:t>
      </w:r>
      <w:r>
        <w:rPr>
          <w:rFonts w:hint="eastAsia"/>
          <w:color w:val="auto"/>
          <w:highlight w:val="none"/>
          <w:lang w:val="en-US" w:eastAsia="zh-CN"/>
        </w:rPr>
        <w:t>钢球材料及精度应满足国家标准</w:t>
      </w:r>
      <w:r>
        <w:rPr>
          <w:rFonts w:hint="eastAsia"/>
          <w:color w:val="auto"/>
          <w:lang w:val="en-US" w:eastAsia="zh-CN"/>
        </w:rPr>
        <w:t>GB/T 308相关要求。</w:t>
      </w:r>
    </w:p>
    <w:p>
      <w:pPr>
        <w:pStyle w:val="171"/>
        <w:widowControl/>
        <w:rPr>
          <w:rFonts w:hint="eastAsia"/>
          <w:color w:val="auto"/>
          <w:lang w:val="en-US" w:eastAsia="zh-CN"/>
        </w:rPr>
      </w:pPr>
      <w:r>
        <w:rPr>
          <w:rFonts w:hint="eastAsia"/>
          <w:color w:val="auto"/>
          <w:lang w:val="en-US" w:eastAsia="zh-CN"/>
        </w:rPr>
        <w:t>中间座凹槽精度控制在±0.5mm内。</w:t>
      </w:r>
    </w:p>
    <w:p>
      <w:pPr>
        <w:pStyle w:val="111"/>
        <w:bidi w:val="0"/>
        <w:ind w:left="0" w:leftChars="0" w:firstLine="0" w:firstLineChars="0"/>
        <w:rPr>
          <w:color w:val="auto"/>
        </w:rPr>
      </w:pPr>
      <w:bookmarkStart w:id="67" w:name="_Toc9802"/>
      <w:r>
        <w:rPr>
          <w:rFonts w:hint="eastAsia"/>
          <w:color w:val="auto"/>
          <w:lang w:val="en-US" w:eastAsia="zh-CN"/>
        </w:rPr>
        <w:t>验收与运输</w:t>
      </w:r>
      <w:bookmarkEnd w:id="67"/>
    </w:p>
    <w:p>
      <w:pPr>
        <w:pStyle w:val="171"/>
        <w:widowControl/>
        <w:outlineLvl w:val="9"/>
        <w:rPr>
          <w:rFonts w:hint="eastAsia"/>
          <w:b w:val="0"/>
          <w:bCs w:val="0"/>
          <w:color w:val="auto"/>
        </w:rPr>
      </w:pPr>
      <w:r>
        <w:rPr>
          <w:rFonts w:hint="eastAsia"/>
          <w:b w:val="0"/>
          <w:bCs w:val="0"/>
          <w:color w:val="auto"/>
          <w:lang w:val="en-US" w:eastAsia="zh-CN"/>
        </w:rPr>
        <w:t>钢套筒结构出厂前应进行</w:t>
      </w:r>
      <w:r>
        <w:rPr>
          <w:rFonts w:hint="eastAsia"/>
          <w:b w:val="0"/>
          <w:bCs w:val="0"/>
          <w:color w:val="auto"/>
        </w:rPr>
        <w:t>验收</w:t>
      </w:r>
      <w:r>
        <w:rPr>
          <w:rFonts w:hint="eastAsia"/>
          <w:b w:val="0"/>
          <w:bCs w:val="0"/>
          <w:color w:val="auto"/>
          <w:lang w:eastAsia="zh-CN"/>
        </w:rPr>
        <w:t>，</w:t>
      </w:r>
      <w:r>
        <w:rPr>
          <w:rFonts w:hint="eastAsia"/>
          <w:b w:val="0"/>
          <w:bCs w:val="0"/>
          <w:color w:val="auto"/>
          <w:lang w:val="en-US" w:eastAsia="zh-CN"/>
        </w:rPr>
        <w:t>验收时应满足以下要求：</w:t>
      </w:r>
    </w:p>
    <w:p>
      <w:pPr>
        <w:pStyle w:val="62"/>
        <w:widowControl/>
        <w:autoSpaceDE w:val="0"/>
        <w:autoSpaceDN w:val="0"/>
        <w:ind w:firstLine="420"/>
        <w:rPr>
          <w:color w:val="auto"/>
        </w:rPr>
      </w:pPr>
      <w:r>
        <w:rPr>
          <w:rFonts w:hint="eastAsia"/>
          <w:color w:val="auto"/>
          <w:lang w:val="en-US" w:eastAsia="zh-CN"/>
        </w:rPr>
        <w:t>a) 应对加工原材料进行质量验收。</w:t>
      </w:r>
    </w:p>
    <w:p>
      <w:pPr>
        <w:pStyle w:val="62"/>
        <w:widowControl/>
        <w:autoSpaceDE w:val="0"/>
        <w:autoSpaceDN w:val="0"/>
        <w:ind w:firstLine="420"/>
        <w:rPr>
          <w:color w:val="auto"/>
        </w:rPr>
      </w:pPr>
      <w:r>
        <w:rPr>
          <w:rFonts w:hint="eastAsia"/>
          <w:color w:val="auto"/>
          <w:lang w:val="en-US" w:eastAsia="zh-CN"/>
        </w:rPr>
        <w:t>b) 应采用超声波、磁粉探伤等方式检查环纵向加筋肋板、法兰与筒身等位置焊缝质量。</w:t>
      </w:r>
    </w:p>
    <w:p>
      <w:pPr>
        <w:pStyle w:val="62"/>
        <w:widowControl/>
        <w:autoSpaceDE w:val="0"/>
        <w:autoSpaceDN w:val="0"/>
        <w:ind w:firstLine="420"/>
        <w:rPr>
          <w:rFonts w:hint="eastAsia" w:eastAsia="宋体"/>
          <w:color w:val="auto"/>
          <w:lang w:eastAsia="zh-CN"/>
        </w:rPr>
      </w:pPr>
      <w:r>
        <w:rPr>
          <w:rFonts w:hint="eastAsia"/>
          <w:color w:val="auto"/>
          <w:lang w:val="en-US" w:eastAsia="zh-CN"/>
        </w:rPr>
        <w:t xml:space="preserve">c) </w:t>
      </w:r>
      <w:r>
        <w:rPr>
          <w:rFonts w:hint="eastAsia"/>
          <w:color w:val="auto"/>
        </w:rPr>
        <w:t>应对</w:t>
      </w:r>
      <w:r>
        <w:rPr>
          <w:rFonts w:hint="eastAsia"/>
          <w:color w:val="auto"/>
          <w:lang w:val="en-US" w:eastAsia="zh-CN"/>
        </w:rPr>
        <w:t>构件</w:t>
      </w:r>
      <w:r>
        <w:rPr>
          <w:rFonts w:hint="eastAsia"/>
          <w:color w:val="auto"/>
        </w:rPr>
        <w:t>加工尺寸、</w:t>
      </w:r>
      <w:r>
        <w:rPr>
          <w:rFonts w:hint="eastAsia"/>
          <w:color w:val="auto"/>
          <w:lang w:val="en-US" w:eastAsia="zh-CN"/>
        </w:rPr>
        <w:t>圆度、开孔位置及精度</w:t>
      </w:r>
      <w:r>
        <w:rPr>
          <w:rFonts w:hint="eastAsia"/>
          <w:color w:val="auto"/>
        </w:rPr>
        <w:t>等进行验收</w:t>
      </w:r>
      <w:r>
        <w:rPr>
          <w:rFonts w:hint="eastAsia"/>
          <w:color w:val="auto"/>
          <w:lang w:eastAsia="zh-CN"/>
        </w:rPr>
        <w:t>。</w:t>
      </w:r>
    </w:p>
    <w:p>
      <w:pPr>
        <w:pStyle w:val="62"/>
        <w:widowControl/>
        <w:autoSpaceDE w:val="0"/>
        <w:autoSpaceDN w:val="0"/>
        <w:ind w:firstLine="420"/>
        <w:rPr>
          <w:color w:val="auto"/>
        </w:rPr>
      </w:pPr>
      <w:r>
        <w:rPr>
          <w:rFonts w:hint="eastAsia"/>
          <w:color w:val="auto"/>
          <w:lang w:val="en-US" w:eastAsia="zh-CN"/>
        </w:rPr>
        <w:t>d) 应对钢套筒外观涂装验收，潮湿闷热地区应增加防锈涂层。</w:t>
      </w:r>
    </w:p>
    <w:p>
      <w:pPr>
        <w:pStyle w:val="62"/>
        <w:widowControl/>
        <w:autoSpaceDE w:val="0"/>
        <w:autoSpaceDN w:val="0"/>
        <w:ind w:firstLine="420"/>
        <w:rPr>
          <w:rFonts w:hint="eastAsia" w:eastAsia="宋体"/>
          <w:color w:val="auto"/>
          <w:lang w:eastAsia="zh-CN"/>
        </w:rPr>
      </w:pPr>
      <w:r>
        <w:rPr>
          <w:rFonts w:hint="eastAsia"/>
          <w:color w:val="auto"/>
          <w:lang w:val="en-US" w:eastAsia="zh-CN"/>
        </w:rPr>
        <w:t xml:space="preserve">e) </w:t>
      </w:r>
      <w:r>
        <w:rPr>
          <w:rFonts w:hint="eastAsia"/>
          <w:color w:val="auto"/>
        </w:rPr>
        <w:t>钢套筒尺寸验收完后应进行试拼装，确认安装位置法兰螺栓</w:t>
      </w:r>
      <w:r>
        <w:rPr>
          <w:rFonts w:hint="eastAsia"/>
          <w:color w:val="auto"/>
          <w:lang w:eastAsia="zh-CN"/>
        </w:rPr>
        <w:t>、</w:t>
      </w:r>
      <w:r>
        <w:rPr>
          <w:rFonts w:hint="eastAsia"/>
          <w:color w:val="auto"/>
        </w:rPr>
        <w:t>O型密封垫位置，套筒圆度、各组块拼装间隙，焊道空间设置</w:t>
      </w:r>
      <w:r>
        <w:rPr>
          <w:rFonts w:hint="eastAsia"/>
          <w:color w:val="auto"/>
          <w:lang w:val="en-US" w:eastAsia="zh-CN"/>
        </w:rPr>
        <w:t>等</w:t>
      </w:r>
      <w:r>
        <w:rPr>
          <w:rFonts w:hint="eastAsia"/>
          <w:color w:val="auto"/>
        </w:rPr>
        <w:t>情况</w:t>
      </w:r>
      <w:r>
        <w:rPr>
          <w:rFonts w:hint="eastAsia"/>
          <w:color w:val="auto"/>
          <w:lang w:eastAsia="zh-CN"/>
        </w:rPr>
        <w:t>。</w:t>
      </w:r>
    </w:p>
    <w:p>
      <w:pPr>
        <w:pStyle w:val="171"/>
        <w:widowControl/>
        <w:outlineLvl w:val="9"/>
        <w:rPr>
          <w:rFonts w:hint="eastAsia"/>
          <w:b w:val="0"/>
          <w:bCs w:val="0"/>
          <w:color w:val="auto"/>
        </w:rPr>
      </w:pPr>
      <w:r>
        <w:rPr>
          <w:rFonts w:hint="eastAsia"/>
          <w:b w:val="0"/>
          <w:bCs w:val="0"/>
          <w:color w:val="auto"/>
          <w:lang w:val="en-US" w:eastAsia="zh-CN"/>
        </w:rPr>
        <w:t>钢套筒运输过程应满足以下要求：</w:t>
      </w:r>
    </w:p>
    <w:p>
      <w:pPr>
        <w:pStyle w:val="62"/>
        <w:widowControl/>
        <w:autoSpaceDE w:val="0"/>
        <w:autoSpaceDN w:val="0"/>
        <w:ind w:firstLine="420"/>
        <w:outlineLvl w:val="9"/>
        <w:rPr>
          <w:color w:val="auto"/>
        </w:rPr>
      </w:pPr>
      <w:r>
        <w:rPr>
          <w:rFonts w:hint="eastAsia"/>
          <w:color w:val="auto"/>
          <w:lang w:val="en-US" w:eastAsia="zh-CN"/>
        </w:rPr>
        <w:t>a) 运输设备应根据筒体分块尺寸、重量合理选型。</w:t>
      </w:r>
    </w:p>
    <w:p>
      <w:pPr>
        <w:pStyle w:val="62"/>
        <w:widowControl/>
        <w:autoSpaceDE w:val="0"/>
        <w:autoSpaceDN w:val="0"/>
        <w:ind w:firstLine="420"/>
        <w:outlineLvl w:val="9"/>
        <w:rPr>
          <w:color w:val="auto"/>
        </w:rPr>
      </w:pPr>
      <w:r>
        <w:rPr>
          <w:rFonts w:hint="eastAsia"/>
          <w:color w:val="auto"/>
          <w:lang w:val="en-US" w:eastAsia="zh-CN"/>
        </w:rPr>
        <w:t>b) 筒体分块运输前宜在内部增设临时钢内撑，防止筒身结构变形。</w:t>
      </w:r>
    </w:p>
    <w:p>
      <w:pPr>
        <w:pStyle w:val="62"/>
        <w:autoSpaceDE w:val="0"/>
        <w:autoSpaceDN w:val="0"/>
        <w:ind w:firstLine="420"/>
        <w:rPr>
          <w:rFonts w:hint="eastAsia"/>
          <w:color w:val="auto"/>
          <w:lang w:eastAsia="zh-CN"/>
        </w:rPr>
      </w:pPr>
      <w:r>
        <w:rPr>
          <w:rFonts w:hint="eastAsia"/>
          <w:color w:val="auto"/>
          <w:lang w:val="en-US" w:eastAsia="zh-CN"/>
        </w:rPr>
        <w:t>c) 吊运时应</w:t>
      </w:r>
      <w:r>
        <w:rPr>
          <w:rFonts w:hint="eastAsia"/>
          <w:color w:val="auto"/>
        </w:rPr>
        <w:t>采用双点或多点起吊，</w:t>
      </w:r>
      <w:r>
        <w:rPr>
          <w:rFonts w:hint="eastAsia"/>
          <w:color w:val="auto"/>
          <w:lang w:val="en-US" w:eastAsia="zh-CN"/>
        </w:rPr>
        <w:t>防止吊装过程发生变形</w:t>
      </w:r>
      <w:r>
        <w:rPr>
          <w:rFonts w:hint="eastAsia"/>
          <w:color w:val="auto"/>
          <w:lang w:eastAsia="zh-CN"/>
        </w:rPr>
        <w:t>。</w:t>
      </w:r>
    </w:p>
    <w:p>
      <w:pPr>
        <w:pStyle w:val="110"/>
        <w:spacing w:before="312" w:after="312"/>
        <w:rPr>
          <w:rFonts w:hint="eastAsia"/>
          <w:color w:val="auto"/>
        </w:rPr>
      </w:pPr>
      <w:bookmarkStart w:id="68" w:name="_Toc24472"/>
      <w:r>
        <w:rPr>
          <w:rFonts w:hint="eastAsia"/>
          <w:color w:val="auto"/>
        </w:rPr>
        <w:t>钢套筒安拆</w:t>
      </w:r>
      <w:bookmarkEnd w:id="68"/>
    </w:p>
    <w:p>
      <w:pPr>
        <w:pStyle w:val="111"/>
        <w:spacing w:before="156" w:after="156"/>
        <w:rPr>
          <w:color w:val="auto"/>
        </w:rPr>
      </w:pPr>
      <w:bookmarkStart w:id="69" w:name="_Toc18700"/>
      <w:r>
        <w:rPr>
          <w:rFonts w:hint="eastAsia"/>
          <w:color w:val="auto"/>
        </w:rPr>
        <w:t>一般规定</w:t>
      </w:r>
      <w:bookmarkEnd w:id="69"/>
    </w:p>
    <w:p>
      <w:pPr>
        <w:pStyle w:val="171"/>
        <w:rPr>
          <w:color w:val="auto"/>
        </w:rPr>
      </w:pPr>
      <w:r>
        <w:rPr>
          <w:rFonts w:hint="eastAsia"/>
          <w:color w:val="auto"/>
        </w:rPr>
        <w:t>钢套筒安拆前应做条件验收，确保具备安拆条件。</w:t>
      </w:r>
    </w:p>
    <w:p>
      <w:pPr>
        <w:pStyle w:val="171"/>
        <w:rPr>
          <w:color w:val="auto"/>
        </w:rPr>
      </w:pPr>
      <w:r>
        <w:rPr>
          <w:rFonts w:hint="eastAsia"/>
          <w:color w:val="auto"/>
        </w:rPr>
        <w:t>钢套筒安拆施工前，应编制钢套筒安拆专项施工技术方案。</w:t>
      </w:r>
    </w:p>
    <w:p>
      <w:pPr>
        <w:pStyle w:val="171"/>
        <w:rPr>
          <w:color w:val="auto"/>
        </w:rPr>
      </w:pPr>
      <w:r>
        <w:rPr>
          <w:rFonts w:hint="eastAsia"/>
          <w:color w:val="auto"/>
        </w:rPr>
        <w:t>钢套筒安装施工时，分块螺栓紧固件、防水密封条的规格、质量应符合设计要求。</w:t>
      </w:r>
    </w:p>
    <w:p>
      <w:pPr>
        <w:pStyle w:val="171"/>
        <w:rPr>
          <w:color w:val="auto"/>
        </w:rPr>
      </w:pPr>
      <w:r>
        <w:rPr>
          <w:rFonts w:hint="eastAsia"/>
          <w:color w:val="auto"/>
        </w:rPr>
        <w:t>钢套筒安装施工时，必须保证钢套筒分块拼装精度在本规程允许范围偏差范围内。</w:t>
      </w:r>
    </w:p>
    <w:p>
      <w:pPr>
        <w:pStyle w:val="111"/>
        <w:spacing w:before="156" w:after="156"/>
        <w:rPr>
          <w:color w:val="auto"/>
        </w:rPr>
      </w:pPr>
      <w:bookmarkStart w:id="70" w:name="_Toc30220"/>
      <w:r>
        <w:rPr>
          <w:rFonts w:hint="eastAsia"/>
          <w:color w:val="auto"/>
        </w:rPr>
        <w:t>钢套筒组装</w:t>
      </w:r>
      <w:bookmarkEnd w:id="70"/>
    </w:p>
    <w:p>
      <w:pPr>
        <w:pStyle w:val="171"/>
        <w:rPr>
          <w:color w:val="auto"/>
        </w:rPr>
      </w:pPr>
      <w:r>
        <w:rPr>
          <w:rFonts w:hint="eastAsia"/>
          <w:color w:val="auto"/>
        </w:rPr>
        <w:t>应编制钢套筒组装专项施工方案，明确施工工艺及工序，起重设备、吊索吊具等内容；</w:t>
      </w:r>
    </w:p>
    <w:p>
      <w:pPr>
        <w:pStyle w:val="171"/>
        <w:rPr>
          <w:color w:val="auto"/>
        </w:rPr>
      </w:pPr>
      <w:r>
        <w:rPr>
          <w:rFonts w:hint="eastAsia"/>
          <w:color w:val="auto"/>
        </w:rPr>
        <w:t>钢套筒组装前应完成工作井净空复测、预埋钢环外部环梁的凿除和修整、预埋件的安装。</w:t>
      </w:r>
    </w:p>
    <w:p>
      <w:pPr>
        <w:pStyle w:val="171"/>
        <w:rPr>
          <w:color w:val="auto"/>
        </w:rPr>
      </w:pPr>
      <w:r>
        <w:rPr>
          <w:rFonts w:hint="eastAsia"/>
          <w:color w:val="auto"/>
        </w:rPr>
        <w:t xml:space="preserve">调坡支墩安装过程应符合下列要求： </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根据钢套筒基座位置及轴线高程需要确定调坡支墩型号和位置</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调坡支墩应在钢套筒基座下井前安装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color w:val="auto"/>
        </w:rPr>
        <w:t xml:space="preserve"> 调坡支墩位置安装精度应控制在±5mm以内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调坡支墩宜采用高强螺栓进行连接，螺栓等级不得低于M8.8级</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调坡支墩顶部与钢套筒基座间应焊接固定，并采用钢卡码进行加固</w:t>
      </w:r>
      <w:r>
        <w:rPr>
          <w:rFonts w:hint="eastAsia"/>
          <w:color w:val="auto"/>
          <w:lang w:eastAsia="zh-CN"/>
        </w:rPr>
        <w:t>。</w:t>
      </w:r>
    </w:p>
    <w:p>
      <w:pPr>
        <w:pStyle w:val="62"/>
        <w:ind w:firstLine="420"/>
        <w:rPr>
          <w:rFonts w:hint="default"/>
          <w:lang w:val="en-US"/>
        </w:rPr>
      </w:pPr>
      <w:r>
        <w:rPr>
          <w:rFonts w:hint="eastAsia"/>
          <w:color w:val="auto"/>
          <w:lang w:val="en-US" w:eastAsia="zh-CN"/>
        </w:rPr>
        <w:t>f) 调坡支墩底部与工作井底板预埋件进行焊接固定。</w:t>
      </w:r>
    </w:p>
    <w:p>
      <w:pPr>
        <w:pStyle w:val="62"/>
        <w:ind w:firstLine="420"/>
        <w:rPr>
          <w:color w:val="auto"/>
        </w:rPr>
      </w:pPr>
      <w:r>
        <w:rPr>
          <w:rFonts w:hint="eastAsia"/>
          <w:color w:val="auto"/>
          <w:lang w:val="en-US" w:eastAsia="zh-CN"/>
        </w:rPr>
        <w:t>g)</w:t>
      </w:r>
      <w:r>
        <w:rPr>
          <w:rFonts w:hint="eastAsia"/>
          <w:color w:val="auto"/>
        </w:rPr>
        <w:t xml:space="preserve"> 当调坡支墩高度不够时可采用加垫钢板的方式将其抬高。</w:t>
      </w:r>
    </w:p>
    <w:p>
      <w:pPr>
        <w:pStyle w:val="171"/>
        <w:rPr>
          <w:color w:val="auto"/>
        </w:rPr>
      </w:pPr>
      <w:r>
        <w:rPr>
          <w:rFonts w:hint="eastAsia"/>
          <w:color w:val="auto"/>
        </w:rPr>
        <w:t>钢套筒定位应满足下列要求：</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应根据隧道设计轴线，综合考虑钢套筒坡度及预埋钢环实际中心里程</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钢套筒基座宜采用短线匹配法定位安装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color w:val="auto"/>
        </w:rPr>
        <w:t xml:space="preserve"> 钢套筒安装应加强首块套筒基座安装精度控制</w:t>
      </w:r>
      <w:r>
        <w:rPr>
          <w:rFonts w:hint="eastAsia"/>
          <w:color w:val="auto"/>
          <w:lang w:eastAsia="zh-CN"/>
        </w:rPr>
        <w:t>。</w:t>
      </w:r>
    </w:p>
    <w:p>
      <w:pPr>
        <w:pStyle w:val="62"/>
        <w:ind w:firstLine="420"/>
        <w:rPr>
          <w:color w:val="auto"/>
        </w:rPr>
      </w:pPr>
      <w:r>
        <w:rPr>
          <w:rFonts w:hint="eastAsia"/>
          <w:color w:val="auto"/>
          <w:lang w:val="en-US" w:eastAsia="zh-CN"/>
        </w:rPr>
        <w:t>d)</w:t>
      </w:r>
      <w:r>
        <w:rPr>
          <w:rFonts w:hint="eastAsia"/>
          <w:color w:val="auto"/>
        </w:rPr>
        <w:t xml:space="preserve"> 筒体分块安装应确保法兰连接螺栓孔对应。</w:t>
      </w:r>
    </w:p>
    <w:p>
      <w:pPr>
        <w:pStyle w:val="171"/>
        <w:rPr>
          <w:color w:val="auto"/>
        </w:rPr>
      </w:pPr>
      <w:r>
        <w:rPr>
          <w:rFonts w:hint="eastAsia"/>
          <w:color w:val="auto"/>
        </w:rPr>
        <w:t>钢套筒组装过程应满足下列要求：</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钢套筒组装应首先进行钢套筒基座定位，基座安装完成后进行钢套筒筒体、端盖圆环和延长钢环安装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钢套筒底座从近洞门侧依次安装，以第一块基座为基准，采用短线匹配法安装剩余基座</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color w:val="auto"/>
        </w:rPr>
        <w:t xml:space="preserve"> 底座安装就位后，应进行盾构机导轨、端盖圆环下分块和延长钢环下分块安装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筒体分块拼装前应预先检查橡胶密封圈粘贴质量，脱落或粘结质量差部分重新粘贴</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筒体分块宜采用从下到上、左右交替方式依次安装，安装完成后采用高强螺栓拧紧，必要时可采用卡码焊接加固</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f)</w:t>
      </w:r>
      <w:r>
        <w:rPr>
          <w:rFonts w:hint="eastAsia"/>
          <w:color w:val="auto"/>
        </w:rPr>
        <w:t xml:space="preserve"> 端盖圆环、延长钢环、平板式封板（仅用于盾构机接收）左右侧分块应随钢套筒筒体分块安装依次进行</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g)</w:t>
      </w:r>
      <w:r>
        <w:rPr>
          <w:rFonts w:hint="eastAsia"/>
          <w:color w:val="auto"/>
        </w:rPr>
        <w:t xml:space="preserve"> 端盖圆环内液压油缸沿环向均匀分布，宜在吊装下井前完成油缸安装</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h)</w:t>
      </w:r>
      <w:r>
        <w:rPr>
          <w:rFonts w:hint="eastAsia"/>
          <w:color w:val="auto"/>
        </w:rPr>
        <w:t xml:space="preserve"> 钢套筒筒体分块拼装应连接紧密，拼缝张开量不大于3mm</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i)</w:t>
      </w:r>
      <w:r>
        <w:rPr>
          <w:rFonts w:hint="eastAsia"/>
          <w:color w:val="auto"/>
        </w:rPr>
        <w:t xml:space="preserve"> 钢套筒筒体组装完成后，通过焊接将筒身与洞门预埋钢环连接，进行延长钢环密封</w:t>
      </w:r>
      <w:r>
        <w:rPr>
          <w:rFonts w:hint="eastAsia"/>
          <w:color w:val="auto"/>
          <w:lang w:eastAsia="zh-CN"/>
        </w:rPr>
        <w:t>。</w:t>
      </w:r>
    </w:p>
    <w:p>
      <w:pPr>
        <w:pStyle w:val="62"/>
        <w:ind w:firstLine="420"/>
        <w:rPr>
          <w:color w:val="auto"/>
        </w:rPr>
      </w:pPr>
      <w:r>
        <w:rPr>
          <w:rFonts w:hint="eastAsia"/>
          <w:color w:val="auto"/>
          <w:lang w:val="en-US" w:eastAsia="zh-CN"/>
        </w:rPr>
        <w:t>j)</w:t>
      </w:r>
      <w:r>
        <w:rPr>
          <w:rFonts w:hint="eastAsia"/>
          <w:color w:val="auto"/>
        </w:rPr>
        <w:t xml:space="preserve"> 盾构接收为防止盾构啃轨宜采用素砼环形浇筑钢套筒下部区域，浇筑高度宜超过钢导轨5cm。</w:t>
      </w:r>
    </w:p>
    <w:p>
      <w:pPr>
        <w:pStyle w:val="111"/>
        <w:spacing w:before="156" w:after="156"/>
        <w:rPr>
          <w:color w:val="auto"/>
        </w:rPr>
      </w:pPr>
      <w:bookmarkStart w:id="71" w:name="_Toc30373"/>
      <w:r>
        <w:rPr>
          <w:rFonts w:hint="eastAsia"/>
          <w:color w:val="auto"/>
        </w:rPr>
        <w:t>反力架及支撑</w:t>
      </w:r>
      <w:bookmarkEnd w:id="71"/>
    </w:p>
    <w:p>
      <w:pPr>
        <w:pStyle w:val="171"/>
        <w:rPr>
          <w:color w:val="auto"/>
        </w:rPr>
      </w:pPr>
      <w:r>
        <w:rPr>
          <w:rFonts w:hint="eastAsia"/>
          <w:color w:val="auto"/>
        </w:rPr>
        <w:t>反力架系统组装应满足下列要求：</w:t>
      </w:r>
    </w:p>
    <w:p>
      <w:pPr>
        <w:pStyle w:val="62"/>
        <w:ind w:firstLine="420"/>
        <w:rPr>
          <w:rFonts w:hAnsi="Times New Roman"/>
          <w:color w:val="auto"/>
        </w:rPr>
      </w:pPr>
      <w:r>
        <w:rPr>
          <w:rFonts w:hint="eastAsia"/>
          <w:color w:val="auto"/>
          <w:lang w:val="en-US" w:eastAsia="zh-CN"/>
        </w:rPr>
        <w:t>a)</w:t>
      </w:r>
      <w:r>
        <w:rPr>
          <w:rFonts w:hint="eastAsia" w:hAnsi="Times New Roman"/>
          <w:color w:val="auto"/>
        </w:rPr>
        <w:t xml:space="preserve"> 反力架安装前应检查工作井底板预埋钢板，偏差过大位置应重新植筋并焊接钢板；</w:t>
      </w:r>
    </w:p>
    <w:p>
      <w:pPr>
        <w:pStyle w:val="62"/>
        <w:ind w:firstLine="420"/>
        <w:rPr>
          <w:color w:val="auto"/>
        </w:rPr>
      </w:pPr>
      <w:r>
        <w:rPr>
          <w:rFonts w:hint="eastAsia"/>
          <w:color w:val="auto"/>
          <w:lang w:val="en-US" w:eastAsia="zh-CN"/>
        </w:rPr>
        <w:t>b)</w:t>
      </w:r>
      <w:r>
        <w:rPr>
          <w:rFonts w:hint="eastAsia" w:hAnsi="Times New Roman"/>
          <w:color w:val="auto"/>
        </w:rPr>
        <w:t xml:space="preserve"> 反力架宜根据下横梁、竖梁、上横梁、背部支撑顺序安装；</w:t>
      </w:r>
    </w:p>
    <w:p>
      <w:pPr>
        <w:pStyle w:val="62"/>
        <w:ind w:firstLine="420"/>
        <w:rPr>
          <w:color w:val="auto"/>
        </w:rPr>
      </w:pPr>
      <w:r>
        <w:rPr>
          <w:rFonts w:hint="eastAsia"/>
          <w:color w:val="auto"/>
          <w:lang w:val="en-US" w:eastAsia="zh-CN"/>
        </w:rPr>
        <w:t>c)</w:t>
      </w:r>
      <w:r>
        <w:rPr>
          <w:rFonts w:hAnsi="Times New Roman"/>
          <w:color w:val="auto"/>
        </w:rPr>
        <w:t xml:space="preserve"> </w:t>
      </w:r>
      <w:r>
        <w:rPr>
          <w:rFonts w:hint="eastAsia" w:hAnsi="Times New Roman"/>
          <w:color w:val="auto"/>
        </w:rPr>
        <w:t>反力架安装位置应根据钢套筒实际位置和工作井空间进行确定；</w:t>
      </w:r>
    </w:p>
    <w:p>
      <w:pPr>
        <w:pStyle w:val="62"/>
        <w:ind w:firstLine="420"/>
        <w:rPr>
          <w:rFonts w:hint="eastAsia" w:hAnsi="Times New Roman"/>
          <w:color w:val="auto"/>
        </w:rPr>
      </w:pPr>
      <w:r>
        <w:rPr>
          <w:rFonts w:hint="eastAsia"/>
          <w:color w:val="auto"/>
          <w:lang w:val="en-US" w:eastAsia="zh-CN"/>
        </w:rPr>
        <w:t>d)</w:t>
      </w:r>
      <w:r>
        <w:rPr>
          <w:rFonts w:hint="eastAsia" w:hAnsi="Times New Roman"/>
          <w:color w:val="auto"/>
        </w:rPr>
        <w:t xml:space="preserve"> 反力架及支撑系统应与预埋件焊接牢固，焊接质量满足要求，确保无夹渣、虚焊等隐患。</w:t>
      </w:r>
    </w:p>
    <w:p>
      <w:pPr>
        <w:pStyle w:val="171"/>
        <w:rPr>
          <w:color w:val="auto"/>
        </w:rPr>
      </w:pPr>
      <w:r>
        <w:rPr>
          <w:rFonts w:hint="eastAsia"/>
          <w:color w:val="auto"/>
        </w:rPr>
        <w:t>钢套筒支撑安装时应符合下列要求：</w:t>
      </w:r>
    </w:p>
    <w:p>
      <w:pPr>
        <w:pStyle w:val="62"/>
        <w:ind w:firstLine="420"/>
        <w:rPr>
          <w:rFonts w:hint="eastAsia" w:hAnsi="Times New Roman" w:eastAsia="宋体"/>
          <w:color w:val="auto"/>
          <w:lang w:eastAsia="zh-CN"/>
        </w:rPr>
      </w:pPr>
      <w:r>
        <w:rPr>
          <w:rFonts w:hint="eastAsia"/>
          <w:color w:val="auto"/>
          <w:lang w:val="en-US" w:eastAsia="zh-CN"/>
        </w:rPr>
        <w:t>a)</w:t>
      </w:r>
      <w:r>
        <w:rPr>
          <w:rFonts w:hint="eastAsia" w:hAnsi="Times New Roman"/>
          <w:color w:val="auto"/>
        </w:rPr>
        <w:t xml:space="preserve"> 套筒内临时支撑安装应与筒体安装同时进行，左右交替，根据筒体长度及分块设置</w:t>
      </w:r>
      <w:r>
        <w:rPr>
          <w:rFonts w:hint="eastAsia" w:hAnsi="Times New Roman"/>
          <w:color w:val="auto"/>
          <w:lang w:eastAsia="zh-CN"/>
        </w:rPr>
        <w:t>。</w:t>
      </w:r>
    </w:p>
    <w:p>
      <w:pPr>
        <w:pStyle w:val="62"/>
        <w:ind w:firstLine="420"/>
        <w:rPr>
          <w:rFonts w:hint="eastAsia" w:hAnsi="Times New Roman" w:eastAsia="宋体"/>
          <w:color w:val="auto"/>
          <w:lang w:eastAsia="zh-CN"/>
        </w:rPr>
      </w:pPr>
      <w:r>
        <w:rPr>
          <w:rFonts w:hint="eastAsia"/>
          <w:color w:val="auto"/>
          <w:lang w:val="en-US" w:eastAsia="zh-CN"/>
        </w:rPr>
        <w:t>b)</w:t>
      </w:r>
      <w:r>
        <w:rPr>
          <w:rFonts w:hint="eastAsia" w:hAnsi="Times New Roman"/>
          <w:color w:val="auto"/>
        </w:rPr>
        <w:t xml:space="preserve"> 套筒内临时支撑应在筒身结构安装完成后拆除，并将焊接位置打磨光滑</w:t>
      </w:r>
      <w:r>
        <w:rPr>
          <w:rFonts w:hint="eastAsia" w:hAnsi="Times New Roman"/>
          <w:color w:val="auto"/>
          <w:lang w:eastAsia="zh-CN"/>
        </w:rPr>
        <w:t>。</w:t>
      </w:r>
    </w:p>
    <w:p>
      <w:pPr>
        <w:pStyle w:val="62"/>
        <w:ind w:firstLine="420"/>
        <w:rPr>
          <w:rFonts w:hint="eastAsia" w:hAnsi="Times New Roman" w:eastAsia="宋体"/>
          <w:color w:val="auto"/>
          <w:lang w:eastAsia="zh-CN"/>
        </w:rPr>
      </w:pPr>
      <w:r>
        <w:rPr>
          <w:rFonts w:hint="eastAsia"/>
          <w:color w:val="auto"/>
          <w:lang w:val="en-US" w:eastAsia="zh-CN"/>
        </w:rPr>
        <w:t>c)</w:t>
      </w:r>
      <w:r>
        <w:rPr>
          <w:rFonts w:hint="eastAsia" w:hAnsi="Times New Roman"/>
          <w:color w:val="auto"/>
        </w:rPr>
        <w:t xml:space="preserve"> 外部支撑宜布置在筒体受力较大位置</w:t>
      </w:r>
      <w:r>
        <w:rPr>
          <w:rFonts w:hint="eastAsia" w:hAnsi="Times New Roman"/>
          <w:color w:val="auto"/>
          <w:lang w:eastAsia="zh-CN"/>
        </w:rPr>
        <w:t>。</w:t>
      </w:r>
    </w:p>
    <w:p>
      <w:pPr>
        <w:pStyle w:val="62"/>
        <w:ind w:firstLine="420"/>
        <w:rPr>
          <w:rFonts w:hint="eastAsia" w:hAnsi="Times New Roman"/>
          <w:color w:val="auto"/>
        </w:rPr>
      </w:pPr>
      <w:r>
        <w:rPr>
          <w:rFonts w:hint="eastAsia"/>
          <w:color w:val="auto"/>
          <w:lang w:val="en-US" w:eastAsia="zh-CN"/>
        </w:rPr>
        <w:t>d)</w:t>
      </w:r>
      <w:r>
        <w:rPr>
          <w:rFonts w:hint="eastAsia" w:hAnsi="Times New Roman"/>
          <w:color w:val="auto"/>
        </w:rPr>
        <w:t xml:space="preserve"> 盾构接收阶段，应在平底封盖位置安装支撑，防止推力过大封盖产生变形。</w:t>
      </w:r>
    </w:p>
    <w:p>
      <w:pPr>
        <w:pStyle w:val="171"/>
        <w:rPr>
          <w:color w:val="auto"/>
        </w:rPr>
      </w:pPr>
      <w:r>
        <w:rPr>
          <w:rFonts w:hint="eastAsia"/>
          <w:color w:val="auto"/>
        </w:rPr>
        <w:t>钢套筒及支撑系统组装完成应进行检查，检查内容如下：</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应检查钢套筒各连接处拼接质量</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应检查钢套筒前端、后端和中下部受力最大处是否安装支撑</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color w:val="auto"/>
        </w:rPr>
        <w:t xml:space="preserve"> 应检查钢套筒底部导轨设置情况</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应检查盾体防扭装置设置情况</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应检查钢套筒应力、变形、压力等监测装置安装情况</w:t>
      </w:r>
      <w:r>
        <w:rPr>
          <w:rFonts w:hint="eastAsia"/>
          <w:color w:val="auto"/>
          <w:lang w:eastAsia="zh-CN"/>
        </w:rPr>
        <w:t>。</w:t>
      </w:r>
    </w:p>
    <w:p>
      <w:pPr>
        <w:pStyle w:val="62"/>
        <w:ind w:firstLine="420"/>
        <w:rPr>
          <w:color w:val="auto"/>
        </w:rPr>
      </w:pPr>
      <w:r>
        <w:rPr>
          <w:rFonts w:hint="eastAsia"/>
          <w:color w:val="auto"/>
          <w:lang w:val="en-US" w:eastAsia="zh-CN"/>
        </w:rPr>
        <w:t>f)</w:t>
      </w:r>
      <w:r>
        <w:rPr>
          <w:rFonts w:hint="eastAsia"/>
          <w:color w:val="auto"/>
        </w:rPr>
        <w:t xml:space="preserve"> 应测试钢套筒水密性及稳定性，密闭加压试验可参考下表：</w:t>
      </w:r>
    </w:p>
    <w:p>
      <w:pPr>
        <w:pStyle w:val="62"/>
        <w:jc w:val="center"/>
        <w:rPr>
          <w:rFonts w:hint="eastAsia"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表1 钢套筒密闭性试验参考表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2773"/>
        <w:gridCol w:w="2660"/>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序号</w:t>
            </w:r>
          </w:p>
        </w:tc>
        <w:tc>
          <w:tcPr>
            <w:tcW w:w="1449"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压力范围</w:t>
            </w:r>
          </w:p>
        </w:tc>
        <w:tc>
          <w:tcPr>
            <w:tcW w:w="1390"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加压时间</w:t>
            </w:r>
          </w:p>
        </w:tc>
        <w:tc>
          <w:tcPr>
            <w:tcW w:w="1651"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保压监测时间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w:t>
            </w:r>
          </w:p>
        </w:tc>
        <w:tc>
          <w:tcPr>
            <w:tcW w:w="1449"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0~0.1MPa</w:t>
            </w:r>
          </w:p>
        </w:tc>
        <w:tc>
          <w:tcPr>
            <w:tcW w:w="1390"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10min</w:t>
            </w:r>
          </w:p>
        </w:tc>
        <w:tc>
          <w:tcPr>
            <w:tcW w:w="1651"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10min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w:t>
            </w:r>
          </w:p>
        </w:tc>
        <w:tc>
          <w:tcPr>
            <w:tcW w:w="1449"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0.1~0.2MPa</w:t>
            </w:r>
          </w:p>
        </w:tc>
        <w:tc>
          <w:tcPr>
            <w:tcW w:w="1390"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15min</w:t>
            </w:r>
          </w:p>
        </w:tc>
        <w:tc>
          <w:tcPr>
            <w:tcW w:w="1651"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25min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3</w:t>
            </w:r>
          </w:p>
        </w:tc>
        <w:tc>
          <w:tcPr>
            <w:tcW w:w="1449"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0.2~0.25MPa</w:t>
            </w:r>
          </w:p>
        </w:tc>
        <w:tc>
          <w:tcPr>
            <w:tcW w:w="1390"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25min</w:t>
            </w:r>
          </w:p>
        </w:tc>
        <w:tc>
          <w:tcPr>
            <w:tcW w:w="1651"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45min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4</w:t>
            </w:r>
          </w:p>
        </w:tc>
        <w:tc>
          <w:tcPr>
            <w:tcW w:w="1449"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0.25~0.3MPa</w:t>
            </w:r>
          </w:p>
        </w:tc>
        <w:tc>
          <w:tcPr>
            <w:tcW w:w="1390"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45min</w:t>
            </w:r>
          </w:p>
        </w:tc>
        <w:tc>
          <w:tcPr>
            <w:tcW w:w="1651" w:type="pct"/>
            <w:shd w:val="clear" w:color="auto" w:fill="FFFFFF"/>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120min</w:t>
            </w:r>
          </w:p>
        </w:tc>
      </w:tr>
    </w:tbl>
    <w:p>
      <w:pPr>
        <w:pStyle w:val="61"/>
        <w:ind w:firstLine="420"/>
        <w:rPr>
          <w:color w:val="auto"/>
        </w:rPr>
      </w:pPr>
    </w:p>
    <w:p>
      <w:pPr>
        <w:pStyle w:val="111"/>
        <w:spacing w:before="156" w:after="156"/>
        <w:rPr>
          <w:color w:val="auto"/>
        </w:rPr>
      </w:pPr>
      <w:bookmarkStart w:id="72" w:name="_Toc21247"/>
      <w:r>
        <w:rPr>
          <w:rFonts w:hint="eastAsia"/>
          <w:color w:val="auto"/>
        </w:rPr>
        <w:t>球铰基座</w:t>
      </w:r>
      <w:bookmarkEnd w:id="72"/>
    </w:p>
    <w:p>
      <w:pPr>
        <w:pStyle w:val="171"/>
        <w:rPr>
          <w:color w:val="auto"/>
        </w:rPr>
      </w:pPr>
      <w:r>
        <w:rPr>
          <w:rFonts w:hint="eastAsia"/>
          <w:color w:val="auto"/>
        </w:rPr>
        <w:t>应根据钢套筒及盾构机总重量及重心分布确定球铰基座安装数量及安装位置。</w:t>
      </w:r>
    </w:p>
    <w:p>
      <w:pPr>
        <w:pStyle w:val="171"/>
        <w:rPr>
          <w:color w:val="auto"/>
        </w:rPr>
      </w:pPr>
      <w:r>
        <w:rPr>
          <w:rFonts w:hint="eastAsia"/>
          <w:color w:val="auto"/>
        </w:rPr>
        <w:t>安装前应检查球铰基座套装完整性，自调心顶座球头和钢球表面光滑度。</w:t>
      </w:r>
    </w:p>
    <w:p>
      <w:pPr>
        <w:pStyle w:val="171"/>
        <w:rPr>
          <w:color w:val="auto"/>
        </w:rPr>
      </w:pPr>
      <w:r>
        <w:rPr>
          <w:rFonts w:hint="eastAsia"/>
          <w:color w:val="auto"/>
        </w:rPr>
        <w:t>球铰基座安装过程要求：</w:t>
      </w:r>
    </w:p>
    <w:p>
      <w:pPr>
        <w:pStyle w:val="62"/>
        <w:ind w:firstLine="420"/>
        <w:rPr>
          <w:rFonts w:hint="eastAsia" w:eastAsia="宋体"/>
          <w:color w:val="auto"/>
          <w:lang w:eastAsia="zh-CN"/>
        </w:rPr>
      </w:pPr>
      <w:r>
        <w:rPr>
          <w:rFonts w:hint="eastAsia"/>
          <w:color w:val="auto"/>
          <w:lang w:val="en-US" w:eastAsia="zh-CN"/>
        </w:rPr>
        <w:t>a)</w:t>
      </w:r>
      <w:r>
        <w:rPr>
          <w:rFonts w:hint="eastAsia" w:hAnsi="Times New Roman"/>
          <w:color w:val="auto"/>
        </w:rPr>
        <w:t xml:space="preserve"> </w:t>
      </w:r>
      <w:r>
        <w:rPr>
          <w:rFonts w:hint="eastAsia"/>
          <w:color w:val="auto"/>
        </w:rPr>
        <w:t>应首先焊接一体化基座中间区域球铰基座，待钢套筒及盾构机整体调平后焊接两侧区域球铰基座</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w:t>
      </w:r>
      <w:r>
        <w:rPr>
          <w:rFonts w:hint="eastAsia" w:hAnsi="Times New Roman"/>
          <w:color w:val="auto"/>
        </w:rPr>
        <w:t>应控制自调心顶座焊接平整度，并保证同行列自调心顶座焊接位置准确</w:t>
      </w:r>
      <w:r>
        <w:rPr>
          <w:rFonts w:hint="eastAsia" w:hAnsi="Times New Roman"/>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hAnsi="Times New Roman"/>
          <w:color w:val="auto"/>
        </w:rPr>
        <w:t xml:space="preserve"> </w:t>
      </w:r>
      <w:r>
        <w:rPr>
          <w:rFonts w:hint="eastAsia"/>
          <w:color w:val="auto"/>
        </w:rPr>
        <w:t>钢球采用防脱圈进行卡位固定，保证钢球外各处间隙保持一致</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安装前应检查钢球是否转动平顺，并涂抹润滑油脂</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地面安装时中间座与自调心顶座间应设置防掉锁链并焊接钢筋固定，下井后割除钢筋</w:t>
      </w:r>
      <w:r>
        <w:rPr>
          <w:rFonts w:hint="eastAsia"/>
          <w:color w:val="auto"/>
          <w:lang w:eastAsia="zh-CN"/>
        </w:rPr>
        <w:t>。</w:t>
      </w:r>
    </w:p>
    <w:p>
      <w:pPr>
        <w:pStyle w:val="62"/>
        <w:ind w:firstLine="420"/>
        <w:rPr>
          <w:color w:val="auto"/>
        </w:rPr>
      </w:pPr>
      <w:r>
        <w:rPr>
          <w:rFonts w:hint="eastAsia"/>
          <w:color w:val="auto"/>
          <w:lang w:val="en-US" w:eastAsia="zh-CN"/>
        </w:rPr>
        <w:t>f)</w:t>
      </w:r>
      <w:r>
        <w:rPr>
          <w:rFonts w:hint="eastAsia"/>
          <w:color w:val="auto"/>
        </w:rPr>
        <w:t xml:space="preserve"> 自调心顶座与中间座接触面应保持清洁，严禁杂物进入球铰相对滑动位置。</w:t>
      </w:r>
    </w:p>
    <w:p>
      <w:pPr>
        <w:pStyle w:val="111"/>
        <w:spacing w:before="156" w:after="156"/>
        <w:rPr>
          <w:color w:val="auto"/>
        </w:rPr>
      </w:pPr>
      <w:bookmarkStart w:id="73" w:name="_Toc1197"/>
      <w:r>
        <w:rPr>
          <w:rFonts w:hint="eastAsia"/>
          <w:color w:val="auto"/>
        </w:rPr>
        <w:t>拆除</w:t>
      </w:r>
      <w:bookmarkEnd w:id="73"/>
    </w:p>
    <w:p>
      <w:pPr>
        <w:pStyle w:val="171"/>
        <w:rPr>
          <w:color w:val="auto"/>
        </w:rPr>
      </w:pPr>
      <w:r>
        <w:rPr>
          <w:rFonts w:hint="eastAsia"/>
          <w:color w:val="auto"/>
        </w:rPr>
        <w:t>始发钢套筒拆除前应确保已拼装成环隧道衬砌能提供足够反力</w:t>
      </w:r>
      <w:r>
        <w:rPr>
          <w:rFonts w:hint="eastAsia"/>
          <w:color w:val="auto"/>
          <w:lang w:eastAsia="zh-CN"/>
        </w:rPr>
        <w:t>。</w:t>
      </w:r>
    </w:p>
    <w:p>
      <w:pPr>
        <w:pStyle w:val="171"/>
        <w:rPr>
          <w:color w:val="auto"/>
        </w:rPr>
      </w:pPr>
      <w:r>
        <w:rPr>
          <w:rFonts w:hint="eastAsia"/>
          <w:color w:val="auto"/>
        </w:rPr>
        <w:t>应制定详细拆除方案，钢套筒、反力架、支撑体系及负环管片应同步交叉拆除</w:t>
      </w:r>
      <w:r>
        <w:rPr>
          <w:rFonts w:hint="eastAsia"/>
          <w:color w:val="auto"/>
          <w:lang w:eastAsia="zh-CN"/>
        </w:rPr>
        <w:t>。</w:t>
      </w:r>
    </w:p>
    <w:p>
      <w:pPr>
        <w:pStyle w:val="171"/>
        <w:rPr>
          <w:color w:val="auto"/>
        </w:rPr>
      </w:pPr>
      <w:r>
        <w:rPr>
          <w:rFonts w:hint="eastAsia"/>
          <w:color w:val="auto"/>
        </w:rPr>
        <w:t>钢套筒拆除前准备工作应包含以下内容：</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钢套筒拆除前宜完成端头井降水施工，并对降水效果进行检验</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拆除前对洞门附近管片进行壁后补偿注浆，并对注浆效果进行检查</w:t>
      </w:r>
      <w:r>
        <w:rPr>
          <w:rFonts w:hint="eastAsia"/>
          <w:color w:val="auto"/>
          <w:lang w:eastAsia="zh-CN"/>
        </w:rPr>
        <w:t>。</w:t>
      </w:r>
    </w:p>
    <w:p>
      <w:pPr>
        <w:pStyle w:val="62"/>
        <w:ind w:firstLine="420"/>
        <w:rPr>
          <w:color w:val="auto"/>
        </w:rPr>
      </w:pPr>
      <w:r>
        <w:rPr>
          <w:rFonts w:hint="eastAsia"/>
          <w:color w:val="auto"/>
          <w:lang w:val="en-US" w:eastAsia="zh-CN"/>
        </w:rPr>
        <w:t>c)</w:t>
      </w:r>
      <w:r>
        <w:rPr>
          <w:rFonts w:hint="eastAsia"/>
          <w:color w:val="auto"/>
        </w:rPr>
        <w:t xml:space="preserve"> 应提前缩回端盖圆环内千斤顶油缸，释放预紧力，将油缸及其配套泵站系统移除</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应提前对监测元器件、扇块间卡码等进行拆除</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对筒身连接环向、纵向螺栓进行松动</w:t>
      </w:r>
      <w:r>
        <w:rPr>
          <w:rFonts w:hint="eastAsia"/>
          <w:color w:val="auto"/>
          <w:lang w:eastAsia="zh-CN"/>
        </w:rPr>
        <w:t>。</w:t>
      </w:r>
    </w:p>
    <w:p>
      <w:pPr>
        <w:pStyle w:val="62"/>
        <w:ind w:firstLine="420"/>
        <w:rPr>
          <w:color w:val="auto"/>
        </w:rPr>
      </w:pPr>
      <w:r>
        <w:rPr>
          <w:rFonts w:hint="eastAsia"/>
          <w:color w:val="auto"/>
          <w:lang w:val="en-US" w:eastAsia="zh-CN"/>
        </w:rPr>
        <w:t>f)</w:t>
      </w:r>
      <w:r>
        <w:rPr>
          <w:rFonts w:hint="eastAsia"/>
          <w:color w:val="auto"/>
        </w:rPr>
        <w:t xml:space="preserve"> 首先拆除钢套筒延长钢环，宜按照自上而下顺序依次拆除，拆除时应采用立焊钢板封堵洞门。</w:t>
      </w:r>
    </w:p>
    <w:p>
      <w:pPr>
        <w:pStyle w:val="171"/>
        <w:rPr>
          <w:color w:val="auto"/>
        </w:rPr>
      </w:pPr>
      <w:r>
        <w:rPr>
          <w:rFonts w:hint="eastAsia"/>
          <w:color w:val="auto"/>
        </w:rPr>
        <w:t>反力架支撑系统与钢套筒拆除同步进行，拆除时应满足以下要求：</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应从上至下，左右交替依次拆除各分块</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腰线以上拆除时，应对两侧支撑进行检查，确保安全前提下先拆除支撑再拆盖板</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rFonts w:hint="eastAsia"/>
          <w:color w:val="auto"/>
        </w:rPr>
        <w:t xml:space="preserve"> 对腰线以下盖板拆除时，应先设置简易支撑再拆除盖板，防止螺栓拆除时盖板弹出</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d)</w:t>
      </w:r>
      <w:r>
        <w:rPr>
          <w:rFonts w:hint="eastAsia"/>
          <w:color w:val="auto"/>
        </w:rPr>
        <w:t xml:space="preserve"> 反力架上横梁拆除宜在套筒泄压、洞门二次密封完成后进行</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e)</w:t>
      </w:r>
      <w:r>
        <w:rPr>
          <w:rFonts w:hint="eastAsia"/>
          <w:color w:val="auto"/>
        </w:rPr>
        <w:t xml:space="preserve"> 上横梁拆除前用吊机预拉，待吊索绷紧后拆除上横梁与立柱连接螺栓，吊出工作井</w:t>
      </w:r>
      <w:r>
        <w:rPr>
          <w:rFonts w:hint="eastAsia"/>
          <w:color w:val="auto"/>
          <w:lang w:eastAsia="zh-CN"/>
        </w:rPr>
        <w:t>。</w:t>
      </w:r>
    </w:p>
    <w:p>
      <w:pPr>
        <w:pStyle w:val="62"/>
        <w:ind w:firstLine="420"/>
        <w:rPr>
          <w:color w:val="auto"/>
        </w:rPr>
      </w:pPr>
      <w:r>
        <w:rPr>
          <w:rFonts w:hint="eastAsia"/>
          <w:color w:val="auto"/>
          <w:lang w:val="en-US" w:eastAsia="zh-CN"/>
        </w:rPr>
        <w:t>f)</w:t>
      </w:r>
      <w:r>
        <w:rPr>
          <w:rFonts w:hint="eastAsia"/>
          <w:color w:val="auto"/>
        </w:rPr>
        <w:t xml:space="preserve"> 负环拆除完成后方可进行反力架立柱、下横梁拆除。</w:t>
      </w:r>
    </w:p>
    <w:p>
      <w:pPr>
        <w:pStyle w:val="171"/>
        <w:rPr>
          <w:color w:val="auto"/>
        </w:rPr>
      </w:pPr>
      <w:r>
        <w:rPr>
          <w:rFonts w:hint="eastAsia"/>
          <w:color w:val="auto"/>
        </w:rPr>
        <w:t>始发钢套筒拆除时应同步对套筒范围负环管片进行拆除，负环管片拆除时应满足以下要求：</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应按照从后至前、从上到下原则依次拆除，结合现场实际情况制定每环管片拆除计划</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采用门机或汽车吊拖吊管片后方可解除当片管片环、纵缝螺栓，割除连接钢棒</w:t>
      </w:r>
      <w:r>
        <w:rPr>
          <w:rFonts w:hint="eastAsia"/>
          <w:color w:val="auto"/>
          <w:lang w:eastAsia="zh-CN"/>
        </w:rPr>
        <w:t>。</w:t>
      </w:r>
    </w:p>
    <w:p>
      <w:pPr>
        <w:pStyle w:val="171"/>
        <w:rPr>
          <w:rFonts w:hint="eastAsia"/>
          <w:color w:val="auto"/>
        </w:rPr>
      </w:pPr>
      <w:r>
        <w:rPr>
          <w:rFonts w:hint="eastAsia"/>
          <w:color w:val="auto"/>
        </w:rPr>
        <w:t>拆除钢套筒底座及调坡支墩时，应先拆除支撑，割除与调坡支墩焊接点，解除螺栓约束并割除导轨，最后起吊出井。</w:t>
      </w:r>
    </w:p>
    <w:p>
      <w:pPr>
        <w:pStyle w:val="110"/>
        <w:spacing w:before="312" w:after="312"/>
        <w:rPr>
          <w:color w:val="auto"/>
        </w:rPr>
      </w:pPr>
      <w:bookmarkStart w:id="74" w:name="_Toc14304"/>
      <w:r>
        <w:rPr>
          <w:rFonts w:hint="eastAsia"/>
          <w:color w:val="auto"/>
        </w:rPr>
        <w:t>钢套筒辅助盾构始发</w:t>
      </w:r>
      <w:bookmarkEnd w:id="74"/>
    </w:p>
    <w:p>
      <w:pPr>
        <w:pStyle w:val="111"/>
        <w:spacing w:before="156" w:after="156"/>
        <w:rPr>
          <w:color w:val="auto"/>
        </w:rPr>
      </w:pPr>
      <w:bookmarkStart w:id="75" w:name="_Toc12357"/>
      <w:r>
        <w:rPr>
          <w:rFonts w:hint="eastAsia"/>
          <w:color w:val="auto"/>
        </w:rPr>
        <w:t>一般规定</w:t>
      </w:r>
      <w:bookmarkEnd w:id="75"/>
      <w:r>
        <w:rPr>
          <w:rFonts w:hint="eastAsia"/>
          <w:color w:val="auto"/>
        </w:rPr>
        <w:t xml:space="preserve"> </w:t>
      </w:r>
    </w:p>
    <w:p>
      <w:pPr>
        <w:pStyle w:val="171"/>
        <w:rPr>
          <w:color w:val="auto"/>
        </w:rPr>
      </w:pPr>
      <w:r>
        <w:rPr>
          <w:rFonts w:hint="eastAsia"/>
          <w:color w:val="auto"/>
        </w:rPr>
        <w:t>盾构机组装前应踏勘现场，查看吊机布置位置、场区内运输路径、地面硬化等条件。</w:t>
      </w:r>
    </w:p>
    <w:p>
      <w:pPr>
        <w:pStyle w:val="171"/>
        <w:rPr>
          <w:color w:val="auto"/>
        </w:rPr>
      </w:pPr>
      <w:r>
        <w:rPr>
          <w:rFonts w:hint="eastAsia"/>
          <w:color w:val="auto"/>
        </w:rPr>
        <w:t>钢套筒辅助盾构始发施工前，应编制盾构机组装、盾构始发专项施工技术方案。</w:t>
      </w:r>
    </w:p>
    <w:p>
      <w:pPr>
        <w:pStyle w:val="171"/>
        <w:rPr>
          <w:color w:val="auto"/>
        </w:rPr>
      </w:pPr>
      <w:r>
        <w:rPr>
          <w:rFonts w:hint="eastAsia"/>
          <w:color w:val="auto"/>
        </w:rPr>
        <w:t>在盾构始发过程中，钢套筒的结构和功能应满足设计要求。</w:t>
      </w:r>
    </w:p>
    <w:p>
      <w:pPr>
        <w:pStyle w:val="171"/>
        <w:rPr>
          <w:color w:val="auto"/>
        </w:rPr>
      </w:pPr>
      <w:r>
        <w:rPr>
          <w:rFonts w:hint="eastAsia"/>
          <w:color w:val="auto"/>
        </w:rPr>
        <w:t>钢套筒上部结构及反力架支撑系统应在盾构机组装完成后安装。</w:t>
      </w:r>
    </w:p>
    <w:p>
      <w:pPr>
        <w:pStyle w:val="111"/>
        <w:spacing w:before="156" w:after="156"/>
        <w:rPr>
          <w:color w:val="auto"/>
        </w:rPr>
      </w:pPr>
      <w:bookmarkStart w:id="76" w:name="_Toc4362"/>
      <w:r>
        <w:rPr>
          <w:rFonts w:hint="eastAsia"/>
          <w:color w:val="auto"/>
        </w:rPr>
        <w:t>洞门凿除</w:t>
      </w:r>
      <w:bookmarkEnd w:id="76"/>
    </w:p>
    <w:p>
      <w:pPr>
        <w:pStyle w:val="171"/>
        <w:rPr>
          <w:color w:val="auto"/>
        </w:rPr>
      </w:pPr>
      <w:r>
        <w:rPr>
          <w:rFonts w:hint="eastAsia"/>
          <w:color w:val="auto"/>
        </w:rPr>
        <w:t>洞门凿除前应进行条件验收</w:t>
      </w:r>
      <w:r>
        <w:rPr>
          <w:rFonts w:hint="eastAsia"/>
          <w:color w:val="auto"/>
          <w:lang w:eastAsia="zh-CN"/>
        </w:rPr>
        <w:t>，验收项目包含：盾构机安装及调试、端头加固效果检验、钢套筒密闭性检查</w:t>
      </w:r>
      <w:r>
        <w:rPr>
          <w:rFonts w:hint="eastAsia"/>
          <w:color w:val="auto"/>
        </w:rPr>
        <w:t>。</w:t>
      </w:r>
    </w:p>
    <w:p>
      <w:pPr>
        <w:pStyle w:val="171"/>
        <w:rPr>
          <w:color w:val="auto"/>
        </w:rPr>
      </w:pPr>
      <w:r>
        <w:rPr>
          <w:rFonts w:hint="eastAsia"/>
          <w:color w:val="auto"/>
        </w:rPr>
        <w:t>在钢套筒内进行洞门凿除应满足以下要求:</w:t>
      </w:r>
    </w:p>
    <w:p>
      <w:pPr>
        <w:pStyle w:val="62"/>
        <w:ind w:firstLine="420"/>
        <w:rPr>
          <w:rFonts w:hint="eastAsia" w:eastAsia="宋体"/>
          <w:color w:val="auto"/>
          <w:lang w:eastAsia="zh-CN"/>
        </w:rPr>
      </w:pPr>
      <w:r>
        <w:rPr>
          <w:rFonts w:hint="eastAsia"/>
          <w:color w:val="auto"/>
          <w:lang w:val="en-US" w:eastAsia="zh-CN"/>
        </w:rPr>
        <w:t>a)</w:t>
      </w:r>
      <w:r>
        <w:rPr>
          <w:color w:val="auto"/>
        </w:rPr>
        <w:t xml:space="preserve"> </w:t>
      </w:r>
      <w:r>
        <w:rPr>
          <w:rFonts w:hint="eastAsia"/>
          <w:color w:val="auto"/>
        </w:rPr>
        <w:t>洞门凿除用脚手架应满足承载力设计要求，施工前完成专项设计计算</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color w:val="auto"/>
        </w:rPr>
        <w:t xml:space="preserve"> </w:t>
      </w:r>
      <w:r>
        <w:rPr>
          <w:rFonts w:hint="eastAsia"/>
          <w:color w:val="auto"/>
        </w:rPr>
        <w:t>洞门凿除前应进行结构变形专项计算，明确凿除厚度及凿除方式</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c)</w:t>
      </w:r>
      <w:r>
        <w:rPr>
          <w:color w:val="auto"/>
        </w:rPr>
        <w:t xml:space="preserve"> </w:t>
      </w:r>
      <w:r>
        <w:rPr>
          <w:rFonts w:hint="eastAsia"/>
          <w:color w:val="auto"/>
        </w:rPr>
        <w:t>洞门凿除施工作业应连续进行，从上至下、由两边向中间分区进行凿除，严禁超限</w:t>
      </w:r>
      <w:r>
        <w:rPr>
          <w:rFonts w:hint="eastAsia"/>
          <w:color w:val="auto"/>
          <w:lang w:eastAsia="zh-CN"/>
        </w:rPr>
        <w:t>。</w:t>
      </w:r>
    </w:p>
    <w:p>
      <w:pPr>
        <w:pStyle w:val="171"/>
        <w:rPr>
          <w:color w:val="auto"/>
        </w:rPr>
      </w:pPr>
      <w:r>
        <w:rPr>
          <w:rFonts w:hint="eastAsia"/>
          <w:color w:val="auto"/>
        </w:rPr>
        <w:t>洞门结构凿除完成后，应及时拆除脚手架并清理废渣，封闭钢套筒。</w:t>
      </w:r>
    </w:p>
    <w:p>
      <w:pPr>
        <w:pStyle w:val="111"/>
        <w:spacing w:before="156" w:after="156"/>
        <w:rPr>
          <w:color w:val="auto"/>
        </w:rPr>
      </w:pPr>
      <w:bookmarkStart w:id="77" w:name="_Toc20755"/>
      <w:r>
        <w:rPr>
          <w:rFonts w:hint="eastAsia"/>
          <w:color w:val="auto"/>
        </w:rPr>
        <w:t>负环管片拼装</w:t>
      </w:r>
      <w:bookmarkEnd w:id="77"/>
    </w:p>
    <w:p>
      <w:pPr>
        <w:pStyle w:val="171"/>
        <w:rPr>
          <w:color w:val="auto"/>
        </w:rPr>
      </w:pPr>
      <w:r>
        <w:rPr>
          <w:rFonts w:hint="eastAsia"/>
          <w:color w:val="auto"/>
        </w:rPr>
        <w:t>负环管片应进行特殊设计，在内弧面增加预埋钢板。</w:t>
      </w:r>
    </w:p>
    <w:p>
      <w:pPr>
        <w:pStyle w:val="171"/>
        <w:rPr>
          <w:color w:val="auto"/>
        </w:rPr>
      </w:pPr>
      <w:r>
        <w:rPr>
          <w:rFonts w:hint="eastAsia"/>
          <w:color w:val="auto"/>
        </w:rPr>
        <w:t>零环管片外弧面应额外增加预埋钢板，方便洞门封堵。</w:t>
      </w:r>
    </w:p>
    <w:p>
      <w:pPr>
        <w:pStyle w:val="171"/>
        <w:rPr>
          <w:color w:val="auto"/>
        </w:rPr>
      </w:pPr>
      <w:r>
        <w:rPr>
          <w:rFonts w:hint="eastAsia"/>
          <w:color w:val="auto"/>
        </w:rPr>
        <w:t>钢套筒端盖圆环与负环管片断面接触范围应粘贴防水衬垫。</w:t>
      </w:r>
    </w:p>
    <w:p>
      <w:pPr>
        <w:pStyle w:val="171"/>
        <w:rPr>
          <w:color w:val="auto"/>
        </w:rPr>
      </w:pPr>
      <w:r>
        <w:rPr>
          <w:rFonts w:hint="eastAsia"/>
          <w:color w:val="auto"/>
        </w:rPr>
        <w:t>靠近反力架两环管片拼装完成后，应利用盾构油缸将两环管片推至钢套筒端盖圆环，盾构机空推至掌子面，使钢套筒、盾构机、管片与开挖面形成密闭空间腔体。</w:t>
      </w:r>
    </w:p>
    <w:p>
      <w:pPr>
        <w:pStyle w:val="171"/>
        <w:rPr>
          <w:color w:val="auto"/>
        </w:rPr>
      </w:pPr>
      <w:r>
        <w:rPr>
          <w:rFonts w:hint="eastAsia"/>
          <w:color w:val="auto"/>
        </w:rPr>
        <w:t>拼装成环管片应及时焊接拉紧，增强负环整体性。</w:t>
      </w:r>
    </w:p>
    <w:p>
      <w:pPr>
        <w:pStyle w:val="171"/>
        <w:rPr>
          <w:color w:val="auto"/>
        </w:rPr>
      </w:pPr>
      <w:r>
        <w:rPr>
          <w:rFonts w:hint="eastAsia"/>
          <w:color w:val="auto"/>
        </w:rPr>
        <w:t>钢套筒端盖圆环应与负环管片内弧面预埋钢板进行焊接，负环管片与钢套筒间隙采用刚性物体支垫，防止负环管片上浮。</w:t>
      </w:r>
    </w:p>
    <w:p>
      <w:pPr>
        <w:pStyle w:val="171"/>
        <w:rPr>
          <w:color w:val="auto"/>
        </w:rPr>
      </w:pPr>
      <w:r>
        <w:rPr>
          <w:rFonts w:hint="eastAsia"/>
          <w:color w:val="auto"/>
        </w:rPr>
        <w:t>盾构始发试掘进中应关注脱出盾尾负环管片姿态，必要时通过钢套筒注入孔进行二次补偿注浆。</w:t>
      </w:r>
    </w:p>
    <w:p>
      <w:pPr>
        <w:pStyle w:val="111"/>
        <w:spacing w:before="156" w:after="156"/>
        <w:rPr>
          <w:color w:val="auto"/>
        </w:rPr>
      </w:pPr>
      <w:bookmarkStart w:id="78" w:name="_Toc26971"/>
      <w:r>
        <w:rPr>
          <w:rFonts w:hint="eastAsia"/>
          <w:color w:val="auto"/>
        </w:rPr>
        <w:t>盾构始发</w:t>
      </w:r>
      <w:bookmarkEnd w:id="78"/>
    </w:p>
    <w:p>
      <w:pPr>
        <w:pStyle w:val="171"/>
        <w:rPr>
          <w:color w:val="auto"/>
        </w:rPr>
      </w:pPr>
      <w:r>
        <w:rPr>
          <w:rFonts w:hint="eastAsia"/>
          <w:color w:val="auto"/>
        </w:rPr>
        <w:t>盾构始发掘进前应保证泥水站、砂浆站、物料运输系统运行正常。</w:t>
      </w:r>
    </w:p>
    <w:p>
      <w:pPr>
        <w:pStyle w:val="171"/>
        <w:rPr>
          <w:color w:val="auto"/>
        </w:rPr>
      </w:pPr>
      <w:r>
        <w:rPr>
          <w:rFonts w:hint="eastAsia"/>
          <w:color w:val="auto"/>
        </w:rPr>
        <w:t>盾构始发前应进行钢套筒内填砂、注水或泥浆，建立初始仓压，套筒内填砂、注水宜分步进行：</w:t>
      </w:r>
    </w:p>
    <w:p>
      <w:pPr>
        <w:pStyle w:val="62"/>
        <w:ind w:firstLine="420"/>
        <w:rPr>
          <w:rFonts w:hint="eastAsia"/>
          <w:color w:val="auto"/>
          <w:lang w:val="en-US" w:eastAsia="zh-CN"/>
        </w:rPr>
      </w:pPr>
      <w:r>
        <w:rPr>
          <w:rFonts w:hint="eastAsia"/>
          <w:color w:val="auto"/>
          <w:lang w:val="en-US" w:eastAsia="zh-CN"/>
        </w:rPr>
        <w:t>a) 盾构机盾体下井前在钢套筒底座轨道间填砂，填筑时钢套筒分块边缘用沙袋堆填，中部填充细砂并用水冲密实，填砂高度应高于轨面50mm。</w:t>
      </w:r>
    </w:p>
    <w:p>
      <w:pPr>
        <w:pStyle w:val="62"/>
        <w:ind w:firstLine="420"/>
        <w:rPr>
          <w:rFonts w:hint="eastAsia"/>
          <w:color w:val="auto"/>
          <w:lang w:val="en-US" w:eastAsia="zh-CN"/>
        </w:rPr>
      </w:pPr>
      <w:r>
        <w:rPr>
          <w:rFonts w:hint="eastAsia"/>
          <w:color w:val="auto"/>
          <w:lang w:val="en-US" w:eastAsia="zh-CN"/>
        </w:rPr>
        <w:t>b) 刀盘抵至洞门地连墙后通过套筒顶板预留填料口填砂，填砂顺着填料管进入钢套筒内部，通过理论方量控制填料放量。</w:t>
      </w:r>
    </w:p>
    <w:p>
      <w:pPr>
        <w:pStyle w:val="62"/>
        <w:ind w:firstLine="420"/>
        <w:rPr>
          <w:rFonts w:hint="eastAsia"/>
          <w:color w:val="auto"/>
          <w:lang w:val="en-US" w:eastAsia="zh-CN"/>
        </w:rPr>
      </w:pPr>
      <w:r>
        <w:rPr>
          <w:rFonts w:hint="eastAsia"/>
          <w:color w:val="auto"/>
          <w:lang w:val="en-US" w:eastAsia="zh-CN"/>
        </w:rPr>
        <w:t>c) 填料后应密封钢套筒填料口，然后输送泥浆至盾构机泥水仓和掌子面，建立泥水平衡的初始仓压。</w:t>
      </w:r>
    </w:p>
    <w:p>
      <w:pPr>
        <w:pStyle w:val="171"/>
        <w:rPr>
          <w:color w:val="auto"/>
        </w:rPr>
      </w:pPr>
      <w:r>
        <w:rPr>
          <w:rFonts w:hint="eastAsia"/>
          <w:color w:val="auto"/>
        </w:rPr>
        <w:t>根据套筒耐压强度，以及套筒与管片理论间隙方量控制注浆量和注浆压力。</w:t>
      </w:r>
    </w:p>
    <w:p>
      <w:pPr>
        <w:pStyle w:val="171"/>
        <w:rPr>
          <w:rFonts w:hint="eastAsia"/>
          <w:color w:val="auto"/>
        </w:rPr>
      </w:pPr>
      <w:r>
        <w:rPr>
          <w:rFonts w:hint="eastAsia"/>
          <w:color w:val="auto"/>
        </w:rPr>
        <w:t>盾构在套筒内掘进时，宜</w:t>
      </w:r>
      <w:r>
        <w:rPr>
          <w:rFonts w:hint="eastAsia"/>
          <w:color w:val="auto"/>
          <w:lang w:val="en-US" w:eastAsia="zh-CN"/>
        </w:rPr>
        <w:t>利用钢套筒顶部分块球阀</w:t>
      </w:r>
      <w:r>
        <w:rPr>
          <w:rFonts w:hint="eastAsia"/>
          <w:color w:val="auto"/>
        </w:rPr>
        <w:t>注入双液浆快速稳固负环管片，注浆位置应与盾尾刷间隔1～2环管片宽度。</w:t>
      </w:r>
    </w:p>
    <w:p>
      <w:pPr>
        <w:pStyle w:val="111"/>
        <w:spacing w:before="156" w:after="156"/>
        <w:rPr>
          <w:color w:val="auto"/>
        </w:rPr>
      </w:pPr>
      <w:bookmarkStart w:id="79" w:name="_Toc22790"/>
      <w:r>
        <w:rPr>
          <w:rFonts w:hint="eastAsia"/>
          <w:color w:val="auto"/>
        </w:rPr>
        <w:t>洞门封堵施工</w:t>
      </w:r>
      <w:bookmarkEnd w:id="79"/>
    </w:p>
    <w:p>
      <w:pPr>
        <w:pStyle w:val="171"/>
        <w:rPr>
          <w:color w:val="auto"/>
        </w:rPr>
      </w:pPr>
      <w:r>
        <w:rPr>
          <w:rFonts w:hint="eastAsia"/>
          <w:color w:val="auto"/>
        </w:rPr>
        <w:t>富水地层拆除钢套筒及洞门封堵前宜降水作业。</w:t>
      </w:r>
    </w:p>
    <w:p>
      <w:pPr>
        <w:pStyle w:val="171"/>
        <w:rPr>
          <w:rFonts w:ascii="Times New Roman"/>
          <w:color w:val="auto"/>
        </w:rPr>
      </w:pPr>
      <w:r>
        <w:rPr>
          <w:rFonts w:hint="eastAsia"/>
          <w:color w:val="auto"/>
        </w:rPr>
        <w:t>通过洞门预埋钢环及0～5环管片上预留注浆孔进行注浆，注浆材料宜采用水泥、水玻璃双液浆。</w:t>
      </w:r>
    </w:p>
    <w:p>
      <w:pPr>
        <w:pStyle w:val="171"/>
        <w:rPr>
          <w:color w:val="auto"/>
        </w:rPr>
      </w:pPr>
      <w:r>
        <w:rPr>
          <w:rFonts w:hint="eastAsia"/>
          <w:color w:val="auto"/>
        </w:rPr>
        <w:t>洞门封堵前应通过二次注浆孔检查洞门注浆封堵效果，如出现渗漏时则重新进行注浆，直至无水渗漏时方可作业。</w:t>
      </w:r>
    </w:p>
    <w:p>
      <w:pPr>
        <w:pStyle w:val="171"/>
        <w:rPr>
          <w:color w:val="auto"/>
        </w:rPr>
      </w:pPr>
      <w:r>
        <w:rPr>
          <w:rFonts w:hint="eastAsia"/>
          <w:color w:val="auto"/>
        </w:rPr>
        <w:t>洞门封堵宜采用弧形钢板将预埋钢环与零环管片焊接形成密封。</w:t>
      </w:r>
    </w:p>
    <w:p>
      <w:pPr>
        <w:pStyle w:val="171"/>
        <w:rPr>
          <w:color w:val="auto"/>
        </w:rPr>
      </w:pPr>
      <w:r>
        <w:rPr>
          <w:rFonts w:hint="eastAsia"/>
          <w:color w:val="auto"/>
        </w:rPr>
        <w:t>弧形钢板尺寸应考虑加工、运输、安装等因素，宜在钢板两侧焊接把手，间隔设置二次注浆球阀。</w:t>
      </w:r>
    </w:p>
    <w:p>
      <w:pPr>
        <w:pStyle w:val="171"/>
        <w:rPr>
          <w:color w:val="auto"/>
        </w:rPr>
      </w:pPr>
      <w:r>
        <w:rPr>
          <w:rFonts w:hint="eastAsia"/>
          <w:color w:val="auto"/>
        </w:rPr>
        <w:t>延长钢环拆除顺序应自上而下、左右交替进行。</w:t>
      </w:r>
    </w:p>
    <w:p>
      <w:pPr>
        <w:pStyle w:val="171"/>
        <w:rPr>
          <w:color w:val="auto"/>
        </w:rPr>
      </w:pPr>
      <w:r>
        <w:rPr>
          <w:rFonts w:hint="eastAsia"/>
          <w:color w:val="auto"/>
        </w:rPr>
        <w:t>洞门封堵宜与套筒延长钢环拆除同步进行，拆一段延长钢环应立即封堵一段洞门。</w:t>
      </w:r>
    </w:p>
    <w:p>
      <w:pPr>
        <w:pStyle w:val="171"/>
        <w:rPr>
          <w:color w:val="auto"/>
        </w:rPr>
      </w:pPr>
      <w:r>
        <w:rPr>
          <w:rFonts w:hint="eastAsia"/>
          <w:color w:val="auto"/>
        </w:rPr>
        <w:t>洞门立焊钢板封堵施工作业时应满足以下要求：</w:t>
      </w:r>
    </w:p>
    <w:p>
      <w:pPr>
        <w:pStyle w:val="62"/>
        <w:ind w:firstLine="420"/>
        <w:rPr>
          <w:rFonts w:hint="eastAsia" w:eastAsia="宋体"/>
          <w:color w:val="auto"/>
          <w:lang w:eastAsia="zh-CN"/>
        </w:rPr>
      </w:pPr>
      <w:r>
        <w:rPr>
          <w:rFonts w:hint="eastAsia"/>
          <w:color w:val="auto"/>
          <w:lang w:val="en-US" w:eastAsia="zh-CN"/>
        </w:rPr>
        <w:t>a)</w:t>
      </w:r>
      <w:r>
        <w:rPr>
          <w:rFonts w:hint="eastAsia"/>
          <w:color w:val="auto"/>
        </w:rPr>
        <w:t xml:space="preserve"> 弧形钢板应保证与管片外弧面垂直，密贴洞门预埋钢环</w:t>
      </w:r>
      <w:r>
        <w:rPr>
          <w:rFonts w:hint="eastAsia"/>
          <w:color w:val="auto"/>
          <w:lang w:eastAsia="zh-CN"/>
        </w:rPr>
        <w:t>。</w:t>
      </w:r>
    </w:p>
    <w:p>
      <w:pPr>
        <w:pStyle w:val="62"/>
        <w:ind w:firstLine="420"/>
        <w:rPr>
          <w:rFonts w:hint="eastAsia" w:eastAsia="宋体"/>
          <w:color w:val="auto"/>
          <w:lang w:eastAsia="zh-CN"/>
        </w:rPr>
      </w:pPr>
      <w:r>
        <w:rPr>
          <w:rFonts w:hint="eastAsia"/>
          <w:color w:val="auto"/>
          <w:lang w:val="en-US" w:eastAsia="zh-CN"/>
        </w:rPr>
        <w:t>b)</w:t>
      </w:r>
      <w:r>
        <w:rPr>
          <w:rFonts w:hint="eastAsia"/>
          <w:color w:val="auto"/>
        </w:rPr>
        <w:t xml:space="preserve"> 钢板焊接应连续进行，确保焊缝饱满，不虚焊、不漏焊</w:t>
      </w:r>
      <w:r>
        <w:rPr>
          <w:rFonts w:hint="eastAsia"/>
          <w:color w:val="auto"/>
          <w:lang w:eastAsia="zh-CN"/>
        </w:rPr>
        <w:t>。</w:t>
      </w:r>
    </w:p>
    <w:p>
      <w:pPr>
        <w:pStyle w:val="62"/>
        <w:ind w:firstLine="420"/>
        <w:rPr>
          <w:color w:val="auto"/>
        </w:rPr>
      </w:pPr>
      <w:r>
        <w:rPr>
          <w:rFonts w:hint="eastAsia"/>
          <w:color w:val="auto"/>
          <w:lang w:val="en-US" w:eastAsia="zh-CN"/>
        </w:rPr>
        <w:t>c)</w:t>
      </w:r>
      <w:r>
        <w:rPr>
          <w:rFonts w:hint="eastAsia"/>
          <w:color w:val="auto"/>
        </w:rPr>
        <w:t xml:space="preserve"> 弧形钢板间不宜有较大错位，错位量应控制在±5mm内。</w:t>
      </w:r>
    </w:p>
    <w:p>
      <w:pPr>
        <w:pStyle w:val="110"/>
        <w:spacing w:before="312" w:after="312"/>
        <w:rPr>
          <w:color w:val="auto"/>
        </w:rPr>
      </w:pPr>
      <w:bookmarkStart w:id="80" w:name="_Toc23409"/>
      <w:r>
        <w:rPr>
          <w:rFonts w:hint="eastAsia"/>
          <w:color w:val="auto"/>
        </w:rPr>
        <w:t>钢套筒辅助盾构接收</w:t>
      </w:r>
      <w:bookmarkEnd w:id="80"/>
    </w:p>
    <w:p>
      <w:pPr>
        <w:pStyle w:val="111"/>
        <w:spacing w:before="156" w:after="156"/>
        <w:rPr>
          <w:color w:val="auto"/>
        </w:rPr>
      </w:pPr>
      <w:bookmarkStart w:id="81" w:name="_Toc12065"/>
      <w:r>
        <w:rPr>
          <w:rFonts w:hint="eastAsia"/>
          <w:color w:val="auto"/>
        </w:rPr>
        <w:t>一般规定</w:t>
      </w:r>
      <w:bookmarkEnd w:id="81"/>
    </w:p>
    <w:p>
      <w:pPr>
        <w:pStyle w:val="171"/>
        <w:rPr>
          <w:rFonts w:hint="eastAsia"/>
          <w:color w:val="auto"/>
        </w:rPr>
      </w:pPr>
      <w:r>
        <w:rPr>
          <w:rFonts w:hint="eastAsia"/>
          <w:color w:val="auto"/>
        </w:rPr>
        <w:t>施工前应编制钢套筒辅助盾构接收专项施工技术方案，并</w:t>
      </w:r>
      <w:r>
        <w:rPr>
          <w:rFonts w:hint="eastAsia"/>
          <w:color w:val="auto"/>
          <w:lang w:val="en-US" w:eastAsia="zh-CN"/>
        </w:rPr>
        <w:t>进行审批</w:t>
      </w:r>
      <w:r>
        <w:rPr>
          <w:rFonts w:hint="eastAsia"/>
          <w:color w:val="auto"/>
        </w:rPr>
        <w:t>。</w:t>
      </w:r>
    </w:p>
    <w:p>
      <w:pPr>
        <w:pStyle w:val="171"/>
        <w:rPr>
          <w:rFonts w:hint="eastAsia"/>
          <w:color w:val="auto"/>
        </w:rPr>
      </w:pPr>
      <w:r>
        <w:rPr>
          <w:rFonts w:hint="eastAsia"/>
          <w:color w:val="auto"/>
        </w:rPr>
        <w:t>施工前应根据工程水文地质条件、现场施工条件、周围环境等因素，进行安全风险评估</w:t>
      </w:r>
      <w:r>
        <w:rPr>
          <w:rFonts w:hint="eastAsia"/>
          <w:color w:val="auto"/>
          <w:lang w:eastAsia="zh-CN"/>
        </w:rPr>
        <w:t>，</w:t>
      </w:r>
      <w:r>
        <w:rPr>
          <w:rFonts w:hint="eastAsia"/>
          <w:color w:val="auto"/>
          <w:lang w:val="en-US" w:eastAsia="zh-CN"/>
        </w:rPr>
        <w:t>制定安全技术措施及应急预案，配备应急物资</w:t>
      </w:r>
      <w:r>
        <w:rPr>
          <w:rFonts w:hint="eastAsia"/>
          <w:color w:val="auto"/>
        </w:rPr>
        <w:t>。</w:t>
      </w:r>
    </w:p>
    <w:p>
      <w:pPr>
        <w:pStyle w:val="171"/>
        <w:rPr>
          <w:color w:val="auto"/>
        </w:rPr>
      </w:pPr>
      <w:r>
        <w:rPr>
          <w:rFonts w:hint="eastAsia"/>
          <w:color w:val="auto"/>
          <w:lang w:val="en-US" w:eastAsia="zh-CN"/>
        </w:rPr>
        <w:t>最后50环</w:t>
      </w:r>
      <w:r>
        <w:rPr>
          <w:rFonts w:hint="eastAsia"/>
          <w:color w:val="auto"/>
        </w:rPr>
        <w:t>应</w:t>
      </w:r>
      <w:r>
        <w:rPr>
          <w:rFonts w:hint="eastAsia"/>
          <w:color w:val="auto"/>
          <w:lang w:val="en-US" w:eastAsia="zh-CN"/>
        </w:rPr>
        <w:t>加强</w:t>
      </w:r>
      <w:r>
        <w:rPr>
          <w:rFonts w:hint="eastAsia"/>
          <w:color w:val="auto"/>
        </w:rPr>
        <w:t>盾构姿态、管片姿态复测，确保盾构机</w:t>
      </w:r>
      <w:r>
        <w:rPr>
          <w:rFonts w:hint="eastAsia"/>
          <w:color w:val="auto"/>
          <w:lang w:val="en-US" w:eastAsia="zh-CN"/>
        </w:rPr>
        <w:t>顺利</w:t>
      </w:r>
      <w:r>
        <w:rPr>
          <w:rFonts w:hint="eastAsia"/>
          <w:color w:val="auto"/>
        </w:rPr>
        <w:t>进入钢套筒。</w:t>
      </w:r>
    </w:p>
    <w:p>
      <w:pPr>
        <w:pStyle w:val="171"/>
        <w:rPr>
          <w:color w:val="auto"/>
        </w:rPr>
      </w:pPr>
      <w:r>
        <w:rPr>
          <w:rFonts w:hint="eastAsia"/>
          <w:color w:val="auto"/>
          <w:lang w:val="en-US" w:eastAsia="zh-CN"/>
        </w:rPr>
        <w:t>接收临近洞门5环应采用增设注浆孔管片。</w:t>
      </w:r>
    </w:p>
    <w:p>
      <w:pPr>
        <w:pStyle w:val="111"/>
        <w:spacing w:before="156" w:after="156"/>
        <w:rPr>
          <w:color w:val="auto"/>
        </w:rPr>
      </w:pPr>
      <w:bookmarkStart w:id="82" w:name="_Toc30121"/>
      <w:r>
        <w:rPr>
          <w:rFonts w:hint="eastAsia"/>
          <w:color w:val="auto"/>
        </w:rPr>
        <w:t>填料建仓施工</w:t>
      </w:r>
      <w:bookmarkEnd w:id="82"/>
    </w:p>
    <w:p>
      <w:pPr>
        <w:pStyle w:val="171"/>
        <w:rPr>
          <w:color w:val="auto"/>
        </w:rPr>
      </w:pPr>
      <w:r>
        <w:rPr>
          <w:rFonts w:hint="eastAsia"/>
          <w:color w:val="auto"/>
        </w:rPr>
        <w:t>填料建仓前应完成洞门地连墙结构凿除，凿除</w:t>
      </w:r>
      <w:r>
        <w:rPr>
          <w:rFonts w:hint="eastAsia"/>
          <w:color w:val="auto"/>
          <w:lang w:val="en-US" w:eastAsia="zh-CN"/>
        </w:rPr>
        <w:t>具体</w:t>
      </w:r>
      <w:r>
        <w:rPr>
          <w:rFonts w:hint="eastAsia"/>
          <w:color w:val="auto"/>
        </w:rPr>
        <w:t>要求见7.</w:t>
      </w:r>
      <w:r>
        <w:rPr>
          <w:rFonts w:hint="eastAsia"/>
          <w:color w:val="auto"/>
          <w:lang w:val="en-US" w:eastAsia="zh-CN"/>
        </w:rPr>
        <w:t>2节</w:t>
      </w:r>
      <w:r>
        <w:rPr>
          <w:rFonts w:hint="eastAsia"/>
          <w:color w:val="auto"/>
        </w:rPr>
        <w:t>。</w:t>
      </w:r>
    </w:p>
    <w:p>
      <w:pPr>
        <w:pStyle w:val="171"/>
        <w:rPr>
          <w:color w:val="auto"/>
        </w:rPr>
      </w:pPr>
      <w:r>
        <w:rPr>
          <w:rFonts w:hint="eastAsia"/>
          <w:color w:val="auto"/>
        </w:rPr>
        <w:t>洞门凿除后</w:t>
      </w:r>
      <w:r>
        <w:rPr>
          <w:rFonts w:hint="eastAsia"/>
          <w:color w:val="auto"/>
          <w:lang w:val="en-US" w:eastAsia="zh-CN"/>
        </w:rPr>
        <w:t>应</w:t>
      </w:r>
      <w:r>
        <w:rPr>
          <w:rFonts w:hint="eastAsia"/>
          <w:color w:val="auto"/>
        </w:rPr>
        <w:t>在洞门钢环与延长钢环底部填铺砖渣混凝土过渡斜坡。</w:t>
      </w:r>
    </w:p>
    <w:p>
      <w:pPr>
        <w:pStyle w:val="171"/>
        <w:rPr>
          <w:color w:val="auto"/>
        </w:rPr>
      </w:pPr>
      <w:r>
        <w:rPr>
          <w:rFonts w:hint="eastAsia"/>
          <w:color w:val="auto"/>
        </w:rPr>
        <w:t>接收</w:t>
      </w:r>
      <w:r>
        <w:rPr>
          <w:rFonts w:hint="eastAsia"/>
          <w:color w:val="auto"/>
          <w:lang w:val="en-US" w:eastAsia="zh-CN"/>
        </w:rPr>
        <w:t>套筒内填料能给盾构</w:t>
      </w:r>
      <w:r>
        <w:rPr>
          <w:rFonts w:hint="eastAsia"/>
          <w:color w:val="auto"/>
        </w:rPr>
        <w:t>提供反力</w:t>
      </w:r>
      <w:r>
        <w:rPr>
          <w:rFonts w:hint="eastAsia"/>
          <w:color w:val="auto"/>
          <w:lang w:eastAsia="zh-CN"/>
        </w:rPr>
        <w:t>，</w:t>
      </w:r>
      <w:r>
        <w:rPr>
          <w:rFonts w:hint="eastAsia"/>
          <w:color w:val="auto"/>
        </w:rPr>
        <w:t>填料高度可根据</w:t>
      </w:r>
      <w:r>
        <w:rPr>
          <w:rFonts w:hint="eastAsia"/>
          <w:color w:val="auto"/>
          <w:lang w:val="en-US" w:eastAsia="zh-CN"/>
        </w:rPr>
        <w:t>隧道埋深、水压、地层等因素</w:t>
      </w:r>
      <w:r>
        <w:rPr>
          <w:rFonts w:hint="eastAsia"/>
          <w:color w:val="auto"/>
        </w:rPr>
        <w:t>确定。</w:t>
      </w:r>
    </w:p>
    <w:p>
      <w:pPr>
        <w:pStyle w:val="171"/>
        <w:rPr>
          <w:color w:val="auto"/>
        </w:rPr>
      </w:pPr>
      <w:r>
        <w:rPr>
          <w:rFonts w:hint="eastAsia"/>
          <w:color w:val="auto"/>
        </w:rPr>
        <w:t>填料宜选用中粗砂和膨润土混合料，在地面混合</w:t>
      </w:r>
      <w:r>
        <w:rPr>
          <w:rFonts w:hint="eastAsia"/>
          <w:color w:val="auto"/>
          <w:lang w:val="en-US" w:eastAsia="zh-CN"/>
        </w:rPr>
        <w:t>均匀。</w:t>
      </w:r>
    </w:p>
    <w:p>
      <w:pPr>
        <w:pStyle w:val="171"/>
        <w:rPr>
          <w:color w:val="auto"/>
        </w:rPr>
      </w:pPr>
      <w:r>
        <w:rPr>
          <w:rFonts w:hint="eastAsia"/>
          <w:color w:val="auto"/>
          <w:lang w:val="en-US" w:eastAsia="zh-CN"/>
        </w:rPr>
        <w:t>钢套筒顶板宜在套筒填料完成后安装。</w:t>
      </w:r>
    </w:p>
    <w:p>
      <w:pPr>
        <w:pStyle w:val="171"/>
        <w:rPr>
          <w:color w:val="auto"/>
        </w:rPr>
      </w:pPr>
      <w:r>
        <w:rPr>
          <w:rFonts w:hint="eastAsia"/>
          <w:color w:val="auto"/>
        </w:rPr>
        <w:t>套筒顶部卸料口</w:t>
      </w:r>
      <w:r>
        <w:rPr>
          <w:rFonts w:hint="eastAsia"/>
          <w:color w:val="auto"/>
          <w:lang w:val="en-US" w:eastAsia="zh-CN"/>
        </w:rPr>
        <w:t>宜</w:t>
      </w:r>
      <w:r>
        <w:rPr>
          <w:rFonts w:hint="eastAsia"/>
          <w:color w:val="auto"/>
        </w:rPr>
        <w:t>安装增压管和透明管</w:t>
      </w:r>
      <w:r>
        <w:rPr>
          <w:rFonts w:hint="eastAsia"/>
          <w:color w:val="auto"/>
          <w:lang w:eastAsia="zh-CN"/>
        </w:rPr>
        <w:t>，</w:t>
      </w:r>
      <w:r>
        <w:rPr>
          <w:rFonts w:hint="eastAsia"/>
          <w:color w:val="auto"/>
        </w:rPr>
        <w:t>增压管顶口高于地下水位</w:t>
      </w:r>
      <w:r>
        <w:rPr>
          <w:rFonts w:hint="eastAsia"/>
          <w:color w:val="auto"/>
          <w:lang w:val="en-US" w:eastAsia="zh-CN"/>
        </w:rPr>
        <w:t>线</w:t>
      </w:r>
      <w:r>
        <w:rPr>
          <w:rFonts w:hint="eastAsia"/>
          <w:color w:val="auto"/>
        </w:rPr>
        <w:t>，</w:t>
      </w:r>
      <w:r>
        <w:rPr>
          <w:rFonts w:hint="eastAsia"/>
          <w:color w:val="auto"/>
          <w:lang w:val="en-US" w:eastAsia="zh-CN"/>
        </w:rPr>
        <w:t>透明管用以观测套筒水位</w:t>
      </w:r>
      <w:r>
        <w:rPr>
          <w:rFonts w:hint="eastAsia"/>
          <w:color w:val="auto"/>
        </w:rPr>
        <w:t>。</w:t>
      </w:r>
    </w:p>
    <w:p>
      <w:pPr>
        <w:pStyle w:val="171"/>
        <w:rPr>
          <w:rFonts w:hint="eastAsia"/>
          <w:color w:val="auto"/>
          <w:szCs w:val="20"/>
        </w:rPr>
      </w:pPr>
      <w:r>
        <w:rPr>
          <w:rFonts w:hint="eastAsia"/>
          <w:color w:val="auto"/>
          <w:lang w:val="en-US" w:eastAsia="zh-CN"/>
        </w:rPr>
        <w:t>接收前</w:t>
      </w:r>
      <w:r>
        <w:rPr>
          <w:rFonts w:hint="eastAsia"/>
          <w:color w:val="auto"/>
        </w:rPr>
        <w:t>套筒</w:t>
      </w:r>
      <w:r>
        <w:rPr>
          <w:rFonts w:hint="eastAsia"/>
          <w:color w:val="auto"/>
          <w:lang w:val="en-US" w:eastAsia="zh-CN"/>
        </w:rPr>
        <w:t>水位高度宜在</w:t>
      </w:r>
      <w:r>
        <w:rPr>
          <w:rFonts w:hint="eastAsia"/>
          <w:color w:val="auto"/>
        </w:rPr>
        <w:t>增压管顶口位置</w:t>
      </w:r>
      <w:r>
        <w:rPr>
          <w:rFonts w:hint="eastAsia"/>
          <w:color w:val="auto"/>
          <w:szCs w:val="20"/>
        </w:rPr>
        <w:t>。</w:t>
      </w:r>
    </w:p>
    <w:p>
      <w:pPr>
        <w:pStyle w:val="111"/>
        <w:spacing w:before="156" w:after="156"/>
        <w:rPr>
          <w:color w:val="auto"/>
        </w:rPr>
      </w:pPr>
      <w:bookmarkStart w:id="83" w:name="_Toc9715"/>
      <w:r>
        <w:rPr>
          <w:rFonts w:hint="eastAsia"/>
          <w:color w:val="auto"/>
        </w:rPr>
        <w:t>盾构机接收</w:t>
      </w:r>
      <w:bookmarkEnd w:id="83"/>
    </w:p>
    <w:p>
      <w:pPr>
        <w:pStyle w:val="171"/>
        <w:rPr>
          <w:color w:val="auto"/>
        </w:rPr>
      </w:pPr>
      <w:r>
        <w:rPr>
          <w:rFonts w:hint="eastAsia"/>
          <w:color w:val="auto"/>
        </w:rPr>
        <w:t>盾构磨削地连墙时，应降低贯入</w:t>
      </w:r>
      <w:r>
        <w:rPr>
          <w:rFonts w:hint="eastAsia"/>
          <w:color w:val="auto"/>
          <w:lang w:val="en-US" w:eastAsia="zh-CN"/>
        </w:rPr>
        <w:t>度</w:t>
      </w:r>
      <w:r>
        <w:rPr>
          <w:rFonts w:hint="eastAsia"/>
          <w:color w:val="auto"/>
        </w:rPr>
        <w:t>充分研磨，避免大块掉落随盾构机前推</w:t>
      </w:r>
      <w:r>
        <w:rPr>
          <w:rFonts w:hint="eastAsia"/>
          <w:color w:val="auto"/>
          <w:lang w:val="en-US" w:eastAsia="zh-CN"/>
        </w:rPr>
        <w:t>挤压</w:t>
      </w:r>
      <w:r>
        <w:rPr>
          <w:rFonts w:hint="eastAsia"/>
          <w:color w:val="auto"/>
        </w:rPr>
        <w:t>钢套筒端盖圆环。</w:t>
      </w:r>
    </w:p>
    <w:p>
      <w:pPr>
        <w:pStyle w:val="171"/>
        <w:rPr>
          <w:color w:val="auto"/>
        </w:rPr>
      </w:pPr>
      <w:r>
        <w:rPr>
          <w:rFonts w:hint="eastAsia"/>
          <w:color w:val="auto"/>
        </w:rPr>
        <w:t>应根据洞门凿除后的端墙实际里程、轨道起始里程以及盾构掘进参数，综合判断刀盘磨穿地连墙时机，并及时停止刀盘转动。</w:t>
      </w:r>
    </w:p>
    <w:p>
      <w:pPr>
        <w:pStyle w:val="171"/>
        <w:rPr>
          <w:color w:val="auto"/>
        </w:rPr>
      </w:pPr>
      <w:r>
        <w:rPr>
          <w:rFonts w:hint="eastAsia"/>
          <w:color w:val="auto"/>
        </w:rPr>
        <w:t>盾构同步注浆</w:t>
      </w:r>
      <w:r>
        <w:rPr>
          <w:rFonts w:hint="eastAsia"/>
          <w:color w:val="auto"/>
          <w:lang w:val="en-US" w:eastAsia="zh-CN"/>
        </w:rPr>
        <w:t>宜采用抗水分散</w:t>
      </w:r>
      <w:r>
        <w:rPr>
          <w:rFonts w:hint="eastAsia"/>
          <w:color w:val="auto"/>
        </w:rPr>
        <w:t>浆液。</w:t>
      </w:r>
    </w:p>
    <w:p>
      <w:pPr>
        <w:pStyle w:val="171"/>
        <w:rPr>
          <w:color w:val="auto"/>
        </w:rPr>
      </w:pPr>
      <w:r>
        <w:rPr>
          <w:rFonts w:hint="eastAsia"/>
          <w:color w:val="auto"/>
        </w:rPr>
        <w:t>接收段</w:t>
      </w:r>
      <w:r>
        <w:rPr>
          <w:rFonts w:hint="eastAsia"/>
          <w:color w:val="auto"/>
          <w:lang w:val="en-US" w:eastAsia="zh-CN"/>
        </w:rPr>
        <w:t>管片</w:t>
      </w:r>
      <w:r>
        <w:rPr>
          <w:rFonts w:hint="eastAsia"/>
          <w:color w:val="auto"/>
        </w:rPr>
        <w:t>脱出盾尾</w:t>
      </w:r>
      <w:r>
        <w:rPr>
          <w:rFonts w:hint="eastAsia"/>
          <w:color w:val="auto"/>
          <w:lang w:val="en-US" w:eastAsia="zh-CN"/>
        </w:rPr>
        <w:t>后</w:t>
      </w:r>
      <w:r>
        <w:rPr>
          <w:rFonts w:hint="eastAsia"/>
          <w:color w:val="auto"/>
        </w:rPr>
        <w:t>应及时</w:t>
      </w:r>
      <w:r>
        <w:rPr>
          <w:rFonts w:hint="eastAsia"/>
          <w:color w:val="auto"/>
          <w:lang w:val="en-US" w:eastAsia="zh-CN"/>
        </w:rPr>
        <w:t>拉紧</w:t>
      </w:r>
      <w:r>
        <w:rPr>
          <w:rFonts w:hint="eastAsia"/>
          <w:color w:val="auto"/>
        </w:rPr>
        <w:t>，增强隧道稳定性。</w:t>
      </w:r>
    </w:p>
    <w:p>
      <w:pPr>
        <w:pStyle w:val="171"/>
        <w:rPr>
          <w:color w:val="auto"/>
        </w:rPr>
      </w:pPr>
      <w:r>
        <w:rPr>
          <w:rFonts w:hint="eastAsia"/>
          <w:color w:val="auto"/>
        </w:rPr>
        <w:t>应根据钢套筒长度、盾体长度进行管片超拼，确保盾构爬升至指定位置。</w:t>
      </w:r>
    </w:p>
    <w:p>
      <w:pPr>
        <w:pStyle w:val="111"/>
        <w:spacing w:before="156" w:after="156"/>
        <w:rPr>
          <w:color w:val="auto"/>
        </w:rPr>
      </w:pPr>
      <w:bookmarkStart w:id="84" w:name="_Toc28515"/>
      <w:r>
        <w:rPr>
          <w:rFonts w:hint="eastAsia"/>
          <w:color w:val="auto"/>
        </w:rPr>
        <w:t>洞门封堵施工</w:t>
      </w:r>
      <w:bookmarkEnd w:id="84"/>
    </w:p>
    <w:p>
      <w:pPr>
        <w:pStyle w:val="171"/>
        <w:rPr>
          <w:color w:val="auto"/>
        </w:rPr>
      </w:pPr>
      <w:r>
        <w:rPr>
          <w:rFonts w:hint="eastAsia"/>
          <w:color w:val="auto"/>
        </w:rPr>
        <w:t>盾构在钢套筒内</w:t>
      </w:r>
      <w:r>
        <w:rPr>
          <w:rFonts w:hint="eastAsia"/>
          <w:color w:val="auto"/>
          <w:lang w:val="en-US" w:eastAsia="zh-CN"/>
        </w:rPr>
        <w:t>爬升推进时</w:t>
      </w:r>
      <w:r>
        <w:rPr>
          <w:rFonts w:hint="eastAsia"/>
          <w:color w:val="auto"/>
        </w:rPr>
        <w:t>，应通过同步注浆、二次注浆和延长钢环预留孔</w:t>
      </w:r>
      <w:r>
        <w:rPr>
          <w:rFonts w:hint="eastAsia"/>
          <w:color w:val="auto"/>
          <w:lang w:val="en-US" w:eastAsia="zh-CN"/>
        </w:rPr>
        <w:t>注浆</w:t>
      </w:r>
      <w:r>
        <w:rPr>
          <w:rFonts w:hint="eastAsia"/>
          <w:color w:val="auto"/>
        </w:rPr>
        <w:t>，</w:t>
      </w:r>
      <w:r>
        <w:rPr>
          <w:rFonts w:hint="eastAsia"/>
          <w:color w:val="auto"/>
          <w:lang w:val="en-US" w:eastAsia="zh-CN"/>
        </w:rPr>
        <w:t>快速封闭</w:t>
      </w:r>
      <w:r>
        <w:rPr>
          <w:rFonts w:hint="eastAsia"/>
          <w:color w:val="auto"/>
        </w:rPr>
        <w:t>延长钢环和管片外壁间</w:t>
      </w:r>
      <w:r>
        <w:rPr>
          <w:rFonts w:hint="eastAsia"/>
          <w:color w:val="auto"/>
          <w:lang w:val="en-US" w:eastAsia="zh-CN"/>
        </w:rPr>
        <w:t>空隙</w:t>
      </w:r>
      <w:r>
        <w:rPr>
          <w:rFonts w:hint="eastAsia"/>
          <w:color w:val="auto"/>
        </w:rPr>
        <w:t>。</w:t>
      </w:r>
    </w:p>
    <w:p>
      <w:pPr>
        <w:pStyle w:val="171"/>
        <w:rPr>
          <w:color w:val="auto"/>
        </w:rPr>
      </w:pPr>
      <w:r>
        <w:rPr>
          <w:rFonts w:hint="eastAsia"/>
          <w:color w:val="auto"/>
          <w:lang w:val="en-US" w:eastAsia="zh-CN"/>
        </w:rPr>
        <w:t>盾构机至接收位置后</w:t>
      </w:r>
      <w:r>
        <w:rPr>
          <w:rFonts w:hint="eastAsia"/>
          <w:color w:val="auto"/>
        </w:rPr>
        <w:t>，应</w:t>
      </w:r>
      <w:r>
        <w:rPr>
          <w:rFonts w:hint="eastAsia"/>
          <w:color w:val="auto"/>
          <w:lang w:val="en-US" w:eastAsia="zh-CN"/>
        </w:rPr>
        <w:t>对洞门进行注浆封堵，</w:t>
      </w:r>
      <w:r>
        <w:rPr>
          <w:rFonts w:hint="eastAsia"/>
          <w:color w:val="auto"/>
        </w:rPr>
        <w:t>注浆压力宜</w:t>
      </w:r>
      <w:r>
        <w:rPr>
          <w:rFonts w:hint="eastAsia"/>
          <w:color w:val="auto"/>
          <w:lang w:val="en-US" w:eastAsia="zh-CN"/>
        </w:rPr>
        <w:t>小于</w:t>
      </w:r>
      <w:r>
        <w:rPr>
          <w:rFonts w:hint="eastAsia"/>
          <w:color w:val="auto"/>
        </w:rPr>
        <w:t>0.</w:t>
      </w:r>
      <w:r>
        <w:rPr>
          <w:rFonts w:hint="eastAsia"/>
          <w:color w:val="auto"/>
          <w:lang w:val="en-US" w:eastAsia="zh-CN"/>
        </w:rPr>
        <w:t>5</w:t>
      </w:r>
      <w:r>
        <w:rPr>
          <w:rFonts w:hint="eastAsia"/>
          <w:color w:val="auto"/>
        </w:rPr>
        <w:t>M</w:t>
      </w:r>
      <w:r>
        <w:rPr>
          <w:rFonts w:hint="eastAsia"/>
          <w:color w:val="auto"/>
          <w:lang w:val="en-US" w:eastAsia="zh-CN"/>
        </w:rPr>
        <w:t>P</w:t>
      </w:r>
      <w:r>
        <w:rPr>
          <w:rFonts w:hint="eastAsia"/>
          <w:color w:val="auto"/>
        </w:rPr>
        <w:t>a。</w:t>
      </w:r>
    </w:p>
    <w:p>
      <w:pPr>
        <w:pStyle w:val="171"/>
        <w:rPr>
          <w:rFonts w:ascii="Times New Roman"/>
          <w:color w:val="auto"/>
        </w:rPr>
      </w:pPr>
      <w:r>
        <w:rPr>
          <w:rFonts w:hint="eastAsia" w:ascii="Times New Roman"/>
          <w:color w:val="auto"/>
          <w:lang w:val="en-US" w:eastAsia="zh-CN"/>
        </w:rPr>
        <w:t>宜通过降低液位、打开二次注浆孔等方式检查注浆质量，不满足要求时应重新进行封堵施工</w:t>
      </w:r>
      <w:r>
        <w:rPr>
          <w:rFonts w:hint="eastAsia"/>
          <w:color w:val="auto"/>
        </w:rPr>
        <w:t>。</w:t>
      </w:r>
    </w:p>
    <w:p>
      <w:pPr>
        <w:pStyle w:val="171"/>
        <w:numPr>
          <w:ilvl w:val="-1"/>
          <w:numId w:val="0"/>
        </w:numPr>
        <w:rPr>
          <w:rFonts w:ascii="Times New Roman"/>
          <w:color w:val="auto"/>
        </w:rPr>
      </w:pPr>
    </w:p>
    <w:p>
      <w:pPr>
        <w:pStyle w:val="111"/>
        <w:spacing w:before="156" w:after="156"/>
        <w:rPr>
          <w:color w:val="auto"/>
        </w:rPr>
      </w:pPr>
      <w:bookmarkStart w:id="85" w:name="_Toc4696"/>
      <w:r>
        <w:rPr>
          <w:rFonts w:hint="eastAsia"/>
          <w:color w:val="auto"/>
        </w:rPr>
        <w:t>钢套筒拆除及清理</w:t>
      </w:r>
      <w:bookmarkEnd w:id="85"/>
    </w:p>
    <w:p>
      <w:pPr>
        <w:pStyle w:val="171"/>
        <w:keepNext w:val="0"/>
        <w:keepLines w:val="0"/>
        <w:pageBreakBefore w:val="0"/>
        <w:widowControl/>
        <w:numPr>
          <w:ilvl w:val="3"/>
          <w:numId w:val="33"/>
        </w:numPr>
        <w:kinsoku/>
        <w:wordWrap/>
        <w:overflowPunct/>
        <w:topLinePunct w:val="0"/>
        <w:autoSpaceDE/>
        <w:autoSpaceDN/>
        <w:bidi w:val="0"/>
        <w:adjustRightInd/>
        <w:snapToGrid/>
        <w:textAlignment w:val="auto"/>
        <w:outlineLvl w:val="9"/>
        <w:rPr>
          <w:rFonts w:hint="eastAsia" w:ascii="宋体"/>
          <w:color w:val="auto"/>
        </w:rPr>
      </w:pPr>
      <w:r>
        <w:rPr>
          <w:rFonts w:hint="eastAsia" w:ascii="宋体"/>
          <w:color w:val="auto"/>
        </w:rPr>
        <w:t>套筒内填料及渣浆宜通过盾构</w:t>
      </w:r>
      <w:r>
        <w:rPr>
          <w:rFonts w:hint="eastAsia"/>
          <w:color w:val="auto"/>
          <w:lang w:val="en-US" w:eastAsia="zh-CN"/>
        </w:rPr>
        <w:t>机</w:t>
      </w:r>
      <w:r>
        <w:rPr>
          <w:rFonts w:hint="eastAsia" w:ascii="宋体"/>
          <w:color w:val="auto"/>
        </w:rPr>
        <w:t>泥水循环系统</w:t>
      </w:r>
      <w:r>
        <w:rPr>
          <w:rFonts w:hint="eastAsia"/>
          <w:color w:val="auto"/>
          <w:lang w:val="en-US" w:eastAsia="zh-CN"/>
        </w:rPr>
        <w:t>排出</w:t>
      </w:r>
      <w:r>
        <w:rPr>
          <w:rFonts w:hint="eastAsia"/>
          <w:color w:val="auto"/>
          <w:lang w:eastAsia="zh-CN"/>
        </w:rPr>
        <w:t>；</w:t>
      </w:r>
      <w:r>
        <w:rPr>
          <w:rFonts w:hint="eastAsia" w:ascii="宋体"/>
          <w:color w:val="auto"/>
        </w:rPr>
        <w:t>剩余</w:t>
      </w:r>
      <w:r>
        <w:rPr>
          <w:rFonts w:hint="eastAsia"/>
          <w:color w:val="auto"/>
          <w:lang w:val="en-US" w:eastAsia="zh-CN"/>
        </w:rPr>
        <w:t>无法排出</w:t>
      </w:r>
      <w:r>
        <w:rPr>
          <w:rFonts w:hint="eastAsia" w:ascii="宋体"/>
          <w:color w:val="auto"/>
        </w:rPr>
        <w:t>渣浆</w:t>
      </w:r>
      <w:r>
        <w:rPr>
          <w:rFonts w:hint="eastAsia"/>
          <w:color w:val="auto"/>
          <w:lang w:val="en-US" w:eastAsia="zh-CN"/>
        </w:rPr>
        <w:t>宜</w:t>
      </w:r>
      <w:r>
        <w:rPr>
          <w:rFonts w:hint="eastAsia" w:ascii="宋体"/>
          <w:color w:val="auto"/>
        </w:rPr>
        <w:t>通过套筒泄压孔清理。</w:t>
      </w:r>
    </w:p>
    <w:p>
      <w:pPr>
        <w:pStyle w:val="171"/>
        <w:keepNext w:val="0"/>
        <w:keepLines w:val="0"/>
        <w:pageBreakBefore w:val="0"/>
        <w:widowControl/>
        <w:numPr>
          <w:ilvl w:val="3"/>
          <w:numId w:val="33"/>
        </w:numPr>
        <w:kinsoku/>
        <w:wordWrap/>
        <w:overflowPunct/>
        <w:topLinePunct w:val="0"/>
        <w:autoSpaceDE/>
        <w:autoSpaceDN/>
        <w:bidi w:val="0"/>
        <w:adjustRightInd/>
        <w:snapToGrid/>
        <w:textAlignment w:val="auto"/>
        <w:outlineLvl w:val="9"/>
        <w:rPr>
          <w:rFonts w:hint="eastAsia" w:ascii="宋体"/>
          <w:color w:val="auto"/>
        </w:rPr>
      </w:pPr>
      <w:r>
        <w:rPr>
          <w:rFonts w:hint="eastAsia"/>
          <w:color w:val="auto"/>
          <w:lang w:val="en-US" w:eastAsia="zh-CN"/>
        </w:rPr>
        <w:t>应在</w:t>
      </w:r>
      <w:r>
        <w:rPr>
          <w:rFonts w:hint="eastAsia" w:ascii="宋体"/>
          <w:color w:val="auto"/>
        </w:rPr>
        <w:t>洞门立焊钢板封堵施工完成</w:t>
      </w:r>
      <w:r>
        <w:rPr>
          <w:rFonts w:hint="eastAsia"/>
          <w:color w:val="auto"/>
          <w:lang w:val="en-US" w:eastAsia="zh-CN"/>
        </w:rPr>
        <w:t>后</w:t>
      </w:r>
      <w:r>
        <w:rPr>
          <w:rFonts w:hint="eastAsia" w:ascii="宋体"/>
          <w:color w:val="auto"/>
        </w:rPr>
        <w:t>进行套筒支撑体系、平底封盖、超拼管片拆除。</w:t>
      </w:r>
    </w:p>
    <w:p>
      <w:pPr>
        <w:pStyle w:val="110"/>
        <w:spacing w:before="312" w:after="312"/>
        <w:rPr>
          <w:color w:val="auto"/>
        </w:rPr>
      </w:pPr>
      <w:bookmarkStart w:id="86" w:name="_Toc16662"/>
      <w:r>
        <w:rPr>
          <w:rFonts w:hint="eastAsia"/>
          <w:color w:val="auto"/>
        </w:rPr>
        <w:t>钢套筒辅助盾构平移转体</w:t>
      </w:r>
      <w:bookmarkEnd w:id="86"/>
    </w:p>
    <w:p>
      <w:pPr>
        <w:pStyle w:val="111"/>
        <w:spacing w:before="156" w:after="156"/>
        <w:rPr>
          <w:color w:val="auto"/>
        </w:rPr>
      </w:pPr>
      <w:bookmarkStart w:id="87" w:name="_Toc28090"/>
      <w:r>
        <w:rPr>
          <w:rFonts w:hint="eastAsia"/>
          <w:color w:val="auto"/>
          <w:lang w:val="en-US" w:eastAsia="zh-CN"/>
        </w:rPr>
        <w:t>一般规定</w:t>
      </w:r>
      <w:bookmarkEnd w:id="87"/>
    </w:p>
    <w:p>
      <w:pPr>
        <w:pStyle w:val="171"/>
        <w:rPr>
          <w:rFonts w:ascii="Times New Roman"/>
          <w:color w:val="auto"/>
        </w:rPr>
      </w:pPr>
      <w:r>
        <w:rPr>
          <w:rFonts w:hint="eastAsia" w:ascii="Times New Roman"/>
          <w:color w:val="auto"/>
          <w:lang w:val="en-US" w:eastAsia="zh-CN"/>
        </w:rPr>
        <w:t>应根据盾构平动转动需求、现场作业条件等规划盾构平移转体路径。</w:t>
      </w:r>
    </w:p>
    <w:p>
      <w:pPr>
        <w:pStyle w:val="171"/>
        <w:rPr>
          <w:rFonts w:ascii="Times New Roman"/>
          <w:color w:val="auto"/>
        </w:rPr>
      </w:pPr>
      <w:r>
        <w:rPr>
          <w:rFonts w:hint="eastAsia"/>
          <w:color w:val="auto"/>
        </w:rPr>
        <w:t>盾构平移转体空间应根据盾构</w:t>
      </w:r>
      <w:r>
        <w:rPr>
          <w:rFonts w:hint="eastAsia"/>
          <w:color w:val="auto"/>
          <w:lang w:val="en-US" w:eastAsia="zh-CN"/>
        </w:rPr>
        <w:t>机</w:t>
      </w:r>
      <w:r>
        <w:rPr>
          <w:rFonts w:hint="eastAsia"/>
          <w:color w:val="auto"/>
        </w:rPr>
        <w:t>及套筒最大外径、工作井内衬墙最小间距确定。</w:t>
      </w:r>
    </w:p>
    <w:p>
      <w:pPr>
        <w:pStyle w:val="171"/>
        <w:rPr>
          <w:color w:val="auto"/>
        </w:rPr>
      </w:pPr>
      <w:r>
        <w:rPr>
          <w:rFonts w:hint="eastAsia"/>
          <w:strike w:val="0"/>
          <w:color w:val="auto"/>
        </w:rPr>
        <w:t>应在接收</w:t>
      </w:r>
      <w:r>
        <w:rPr>
          <w:rFonts w:hint="eastAsia"/>
          <w:strike w:val="0"/>
          <w:color w:val="auto"/>
          <w:lang w:val="en-US" w:eastAsia="zh-CN"/>
        </w:rPr>
        <w:t>钢套筒上</w:t>
      </w:r>
      <w:r>
        <w:rPr>
          <w:rFonts w:hint="eastAsia"/>
          <w:strike w:val="0"/>
          <w:color w:val="auto"/>
        </w:rPr>
        <w:t>安装球铰基座</w:t>
      </w:r>
      <w:r>
        <w:rPr>
          <w:rFonts w:hint="eastAsia"/>
          <w:color w:val="auto"/>
        </w:rPr>
        <w:t>，安装工艺参考6.</w:t>
      </w:r>
      <w:r>
        <w:rPr>
          <w:rFonts w:hint="eastAsia"/>
          <w:color w:val="auto"/>
          <w:lang w:val="en-US" w:eastAsia="zh-CN"/>
        </w:rPr>
        <w:t>4</w:t>
      </w:r>
      <w:r>
        <w:rPr>
          <w:rFonts w:hint="eastAsia"/>
          <w:color w:val="auto"/>
        </w:rPr>
        <w:t>节。</w:t>
      </w:r>
    </w:p>
    <w:p>
      <w:pPr>
        <w:pStyle w:val="111"/>
        <w:spacing w:before="156" w:after="156"/>
        <w:rPr>
          <w:color w:val="auto"/>
        </w:rPr>
      </w:pPr>
      <w:bookmarkStart w:id="88" w:name="_Toc32299"/>
      <w:r>
        <w:rPr>
          <w:rFonts w:hint="eastAsia"/>
          <w:color w:val="auto"/>
        </w:rPr>
        <w:t>工作井基面处理</w:t>
      </w:r>
      <w:bookmarkEnd w:id="88"/>
    </w:p>
    <w:p>
      <w:pPr>
        <w:pStyle w:val="171"/>
        <w:rPr>
          <w:color w:val="auto"/>
        </w:rPr>
      </w:pPr>
      <w:r>
        <w:rPr>
          <w:rFonts w:hint="eastAsia"/>
          <w:color w:val="auto"/>
        </w:rPr>
        <w:t>应根据盾构</w:t>
      </w:r>
      <w:r>
        <w:rPr>
          <w:rFonts w:hint="eastAsia"/>
          <w:color w:val="auto"/>
          <w:lang w:val="en-US" w:eastAsia="zh-CN"/>
        </w:rPr>
        <w:t>机平移转体</w:t>
      </w:r>
      <w:r>
        <w:rPr>
          <w:rFonts w:hint="eastAsia"/>
          <w:color w:val="auto"/>
        </w:rPr>
        <w:t>空间需求</w:t>
      </w:r>
      <w:r>
        <w:rPr>
          <w:rFonts w:hint="eastAsia"/>
          <w:color w:val="auto"/>
          <w:lang w:val="en-US" w:eastAsia="zh-CN"/>
        </w:rPr>
        <w:t>对工作井内侵限围护结构进行凿除。</w:t>
      </w:r>
    </w:p>
    <w:p>
      <w:pPr>
        <w:pStyle w:val="171"/>
        <w:outlineLvl w:val="9"/>
        <w:rPr>
          <w:strike w:val="0"/>
          <w:color w:val="auto"/>
        </w:rPr>
      </w:pPr>
      <w:r>
        <w:rPr>
          <w:rFonts w:hint="eastAsia"/>
          <w:strike w:val="0"/>
          <w:color w:val="auto"/>
          <w:lang w:val="en-US" w:eastAsia="zh-CN"/>
        </w:rPr>
        <w:t>工作井底板宜铺设钢板，在</w:t>
      </w:r>
      <w:r>
        <w:rPr>
          <w:rFonts w:hint="eastAsia"/>
          <w:strike w:val="0"/>
          <w:color w:val="auto"/>
        </w:rPr>
        <w:t>接收钢套筒组装前完成底板处理。</w:t>
      </w:r>
    </w:p>
    <w:p>
      <w:pPr>
        <w:pStyle w:val="171"/>
        <w:rPr>
          <w:rFonts w:ascii="Times New Roman"/>
          <w:color w:val="auto"/>
        </w:rPr>
      </w:pPr>
      <w:r>
        <w:rPr>
          <w:rFonts w:hint="eastAsia"/>
          <w:color w:val="auto"/>
          <w:lang w:val="en-US" w:eastAsia="zh-CN"/>
        </w:rPr>
        <w:t>钢板铺设后应打磨处理，</w:t>
      </w:r>
      <w:r>
        <w:rPr>
          <w:rFonts w:hint="eastAsia"/>
          <w:color w:val="auto"/>
        </w:rPr>
        <w:t>打磨</w:t>
      </w:r>
      <w:r>
        <w:rPr>
          <w:rFonts w:hint="eastAsia"/>
          <w:color w:val="auto"/>
          <w:lang w:val="en-US" w:eastAsia="zh-CN"/>
        </w:rPr>
        <w:t>后</w:t>
      </w:r>
      <w:r>
        <w:rPr>
          <w:rFonts w:hint="eastAsia"/>
          <w:color w:val="auto"/>
        </w:rPr>
        <w:t>高差不</w:t>
      </w:r>
      <w:r>
        <w:rPr>
          <w:rFonts w:hint="eastAsia"/>
          <w:color w:val="auto"/>
          <w:lang w:val="en-US" w:eastAsia="zh-CN"/>
        </w:rPr>
        <w:t>宜</w:t>
      </w:r>
      <w:r>
        <w:rPr>
          <w:rFonts w:hint="eastAsia"/>
          <w:color w:val="auto"/>
        </w:rPr>
        <w:t>超过5mm/m</w:t>
      </w:r>
      <w:r>
        <w:rPr>
          <w:rFonts w:hint="eastAsia"/>
          <w:color w:val="auto"/>
          <w:vertAlign w:val="superscript"/>
        </w:rPr>
        <w:t>2</w:t>
      </w:r>
      <w:r>
        <w:rPr>
          <w:rFonts w:hint="eastAsia"/>
          <w:color w:val="auto"/>
        </w:rPr>
        <w:t>。</w:t>
      </w:r>
    </w:p>
    <w:p>
      <w:pPr>
        <w:pStyle w:val="111"/>
        <w:spacing w:before="156" w:after="156"/>
        <w:rPr>
          <w:color w:val="auto"/>
        </w:rPr>
      </w:pPr>
      <w:bookmarkStart w:id="89" w:name="_Toc1774"/>
      <w:r>
        <w:rPr>
          <w:rFonts w:hint="eastAsia"/>
          <w:color w:val="auto"/>
        </w:rPr>
        <w:t>盾构机管路整理</w:t>
      </w:r>
      <w:bookmarkEnd w:id="89"/>
    </w:p>
    <w:p>
      <w:pPr>
        <w:pStyle w:val="171"/>
        <w:rPr>
          <w:rFonts w:ascii="Times New Roman"/>
          <w:color w:val="auto"/>
        </w:rPr>
      </w:pPr>
      <w:r>
        <w:rPr>
          <w:rFonts w:hint="eastAsia" w:ascii="Times New Roman"/>
          <w:color w:val="auto"/>
        </w:rPr>
        <w:t>利用盾构机牵引铰接油缸反向顶推后配套台车，形成空间后回缩牵引油缸。</w:t>
      </w:r>
    </w:p>
    <w:p>
      <w:pPr>
        <w:pStyle w:val="171"/>
        <w:rPr>
          <w:rFonts w:ascii="Times New Roman"/>
          <w:color w:val="auto"/>
        </w:rPr>
      </w:pPr>
      <w:r>
        <w:rPr>
          <w:rFonts w:hint="eastAsia" w:ascii="Times New Roman"/>
          <w:color w:val="auto"/>
        </w:rPr>
        <w:t>应解除首节台车与盾构机间牵引油缸等约束</w:t>
      </w:r>
      <w:r>
        <w:rPr>
          <w:rFonts w:hint="eastAsia" w:ascii="Times New Roman"/>
          <w:color w:val="auto"/>
          <w:lang w:eastAsia="zh-CN"/>
        </w:rPr>
        <w:t>。</w:t>
      </w:r>
    </w:p>
    <w:p>
      <w:pPr>
        <w:pStyle w:val="171"/>
        <w:rPr>
          <w:rFonts w:ascii="Times New Roman"/>
          <w:color w:val="auto"/>
        </w:rPr>
      </w:pPr>
      <w:r>
        <w:rPr>
          <w:rFonts w:hint="eastAsia" w:ascii="Times New Roman"/>
          <w:color w:val="auto"/>
        </w:rPr>
        <w:t>首节台车负载</w:t>
      </w:r>
      <w:r>
        <w:rPr>
          <w:rFonts w:hint="eastAsia" w:ascii="Times New Roman"/>
          <w:color w:val="auto"/>
          <w:lang w:val="en-US" w:eastAsia="zh-CN"/>
        </w:rPr>
        <w:t>拆除后的</w:t>
      </w:r>
      <w:r>
        <w:rPr>
          <w:rFonts w:hint="eastAsia" w:ascii="Times New Roman"/>
          <w:color w:val="auto"/>
        </w:rPr>
        <w:t>泥水管路、机电液管路和线缆</w:t>
      </w:r>
      <w:r>
        <w:rPr>
          <w:rFonts w:hint="eastAsia" w:ascii="Times New Roman"/>
          <w:color w:val="auto"/>
          <w:lang w:eastAsia="zh-CN"/>
        </w:rPr>
        <w:t>。</w:t>
      </w:r>
    </w:p>
    <w:p>
      <w:pPr>
        <w:pStyle w:val="171"/>
        <w:rPr>
          <w:rFonts w:ascii="Times New Roman"/>
          <w:color w:val="auto"/>
        </w:rPr>
      </w:pPr>
      <w:r>
        <w:rPr>
          <w:rFonts w:hint="eastAsia" w:ascii="Times New Roman"/>
          <w:color w:val="auto"/>
          <w:lang w:val="en-US" w:eastAsia="zh-CN"/>
        </w:rPr>
        <w:t>拼装机应固定在行进梁前端。</w:t>
      </w:r>
    </w:p>
    <w:p>
      <w:pPr>
        <w:pStyle w:val="111"/>
        <w:spacing w:before="156" w:after="156"/>
        <w:rPr>
          <w:color w:val="auto"/>
        </w:rPr>
      </w:pPr>
      <w:bookmarkStart w:id="90" w:name="_Toc1743"/>
      <w:r>
        <w:rPr>
          <w:rFonts w:hint="eastAsia"/>
          <w:color w:val="auto"/>
        </w:rPr>
        <w:t>平移转体路径</w:t>
      </w:r>
      <w:bookmarkEnd w:id="90"/>
    </w:p>
    <w:p>
      <w:pPr>
        <w:pStyle w:val="171"/>
        <w:rPr>
          <w:color w:val="auto"/>
        </w:rPr>
      </w:pPr>
      <w:r>
        <w:rPr>
          <w:rFonts w:hint="eastAsia"/>
          <w:color w:val="auto"/>
        </w:rPr>
        <w:t>盾构机平移转体根据现场施工要求分为纵向平移、横向平移和原位转体三个阶段：</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color w:val="auto"/>
        </w:rPr>
      </w:pPr>
      <w:r>
        <w:rPr>
          <w:rFonts w:hint="eastAsia"/>
          <w:color w:val="auto"/>
          <w:lang w:val="en-US" w:eastAsia="zh-CN"/>
        </w:rPr>
        <w:t>a)</w:t>
      </w:r>
      <w:r>
        <w:rPr>
          <w:rFonts w:hint="eastAsia"/>
          <w:color w:val="auto"/>
        </w:rPr>
        <w:t xml:space="preserve"> 第一阶段应使钢套筒与隧道洞门分离，平移至工作井横向中线与接收隧道中线交点。</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color w:val="auto"/>
        </w:rPr>
      </w:pPr>
      <w:r>
        <w:rPr>
          <w:rFonts w:hint="eastAsia"/>
          <w:color w:val="auto"/>
          <w:lang w:val="en-US" w:eastAsia="zh-CN"/>
        </w:rPr>
        <w:t>b)</w:t>
      </w:r>
      <w:r>
        <w:rPr>
          <w:rFonts w:hint="eastAsia"/>
          <w:color w:val="auto"/>
        </w:rPr>
        <w:t xml:space="preserve"> 第二阶段为钢套筒与盾构整体横向平移，沿工作井水平方向（由接收洞门至始发洞门方向）平移盾构机及钢套筒，到达设定的转体中心（横向中线与接收隧道中线交点）。</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color w:val="auto"/>
        </w:rPr>
      </w:pPr>
      <w:r>
        <w:rPr>
          <w:rFonts w:hint="eastAsia"/>
          <w:color w:val="auto"/>
          <w:lang w:val="en-US" w:eastAsia="zh-CN"/>
        </w:rPr>
        <w:t>c)</w:t>
      </w:r>
      <w:r>
        <w:rPr>
          <w:rFonts w:hint="eastAsia"/>
          <w:color w:val="auto"/>
        </w:rPr>
        <w:t xml:space="preserve"> </w:t>
      </w:r>
      <w:r>
        <w:rPr>
          <w:rFonts w:hint="eastAsia"/>
          <w:color w:val="auto"/>
          <w:lang w:val="en-US" w:eastAsia="zh-CN"/>
        </w:rPr>
        <w:t>第三阶段为</w:t>
      </w:r>
      <w:r>
        <w:rPr>
          <w:rFonts w:hint="eastAsia"/>
          <w:color w:val="auto"/>
        </w:rPr>
        <w:t>钢套筒与盾构机在二次始发工作井中心180°调头。</w:t>
      </w:r>
    </w:p>
    <w:p>
      <w:pPr>
        <w:pStyle w:val="171"/>
        <w:rPr>
          <w:color w:val="auto"/>
        </w:rPr>
      </w:pPr>
      <w:r>
        <w:rPr>
          <w:rFonts w:hint="eastAsia"/>
          <w:color w:val="auto"/>
        </w:rPr>
        <w:t>盾构平移转体前，应提前在工作井底板精准绘制平移转体轮廓线、控制线，并用不同颜色标注。</w:t>
      </w:r>
    </w:p>
    <w:p>
      <w:pPr>
        <w:pStyle w:val="111"/>
        <w:keepNext w:val="0"/>
        <w:keepLines w:val="0"/>
        <w:pageBreakBefore w:val="0"/>
        <w:widowControl/>
        <w:kinsoku/>
        <w:wordWrap/>
        <w:overflowPunct/>
        <w:topLinePunct w:val="0"/>
        <w:autoSpaceDE/>
        <w:autoSpaceDN/>
        <w:bidi w:val="0"/>
        <w:adjustRightInd/>
        <w:snapToGrid/>
        <w:spacing w:before="156" w:after="156"/>
        <w:textAlignment w:val="auto"/>
        <w:outlineLvl w:val="1"/>
        <w:rPr>
          <w:color w:val="auto"/>
        </w:rPr>
      </w:pPr>
      <w:bookmarkStart w:id="91" w:name="_Toc8029"/>
      <w:r>
        <w:rPr>
          <w:rFonts w:hint="eastAsia"/>
          <w:color w:val="auto"/>
        </w:rPr>
        <w:t>盾构及钢套筒调平</w:t>
      </w:r>
      <w:bookmarkEnd w:id="91"/>
    </w:p>
    <w:p>
      <w:pPr>
        <w:pStyle w:val="171"/>
        <w:spacing w:before="0" w:after="0"/>
        <w:rPr>
          <w:rFonts w:hint="eastAsia"/>
          <w:color w:val="auto"/>
        </w:rPr>
      </w:pPr>
      <w:r>
        <w:rPr>
          <w:rFonts w:hint="eastAsia"/>
          <w:color w:val="auto"/>
          <w:lang w:val="en-US" w:eastAsia="zh-CN"/>
        </w:rPr>
        <w:t>调坡</w:t>
      </w:r>
      <w:r>
        <w:rPr>
          <w:rFonts w:hint="eastAsia"/>
          <w:color w:val="auto"/>
        </w:rPr>
        <w:t>液压控制系统</w:t>
      </w:r>
      <w:r>
        <w:rPr>
          <w:rFonts w:hint="eastAsia"/>
          <w:color w:val="auto"/>
          <w:lang w:val="en-US" w:eastAsia="zh-CN"/>
        </w:rPr>
        <w:t xml:space="preserve">应满足下列要求： </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color w:val="auto"/>
        </w:rPr>
      </w:pPr>
      <w:r>
        <w:rPr>
          <w:rFonts w:hint="eastAsia"/>
          <w:color w:val="auto"/>
          <w:lang w:val="en-US" w:eastAsia="zh-CN"/>
        </w:rPr>
        <w:t xml:space="preserve">a) </w:t>
      </w:r>
      <w:r>
        <w:rPr>
          <w:rFonts w:hint="eastAsia"/>
          <w:color w:val="auto"/>
        </w:rPr>
        <w:t>液压控制系统</w:t>
      </w:r>
      <w:r>
        <w:rPr>
          <w:rFonts w:hint="eastAsia"/>
          <w:color w:val="auto"/>
          <w:lang w:val="en-US" w:eastAsia="zh-CN"/>
        </w:rPr>
        <w:t>宜采用</w:t>
      </w:r>
      <w:r>
        <w:rPr>
          <w:rFonts w:hint="eastAsia"/>
          <w:color w:val="auto"/>
        </w:rPr>
        <w:t>PLC自动控制系统，</w:t>
      </w:r>
      <w:r>
        <w:rPr>
          <w:rFonts w:hint="eastAsia"/>
          <w:color w:val="auto"/>
          <w:lang w:val="en-US" w:eastAsia="zh-CN"/>
        </w:rPr>
        <w:t>具有</w:t>
      </w:r>
      <w:r>
        <w:rPr>
          <w:rFonts w:hint="eastAsia"/>
          <w:color w:val="auto"/>
        </w:rPr>
        <w:t>异步协同</w:t>
      </w:r>
      <w:r>
        <w:rPr>
          <w:rFonts w:hint="eastAsia"/>
          <w:color w:val="auto"/>
          <w:lang w:val="en-US" w:eastAsia="zh-CN"/>
        </w:rPr>
        <w:t>调坡功能</w:t>
      </w:r>
      <w:r>
        <w:rPr>
          <w:rFonts w:hint="eastAsia"/>
          <w:color w:val="auto"/>
        </w:rPr>
        <w:t>。</w:t>
      </w:r>
    </w:p>
    <w:p>
      <w:pPr>
        <w:pStyle w:val="62"/>
        <w:keepNext w:val="0"/>
        <w:keepLines w:val="0"/>
        <w:pageBreakBefore w:val="0"/>
        <w:widowControl/>
        <w:kinsoku/>
        <w:wordWrap/>
        <w:overflowPunct/>
        <w:topLinePunct w:val="0"/>
        <w:bidi w:val="0"/>
        <w:ind w:firstLine="420"/>
        <w:textAlignment w:val="auto"/>
        <w:outlineLvl w:val="9"/>
        <w:rPr>
          <w:rFonts w:hint="eastAsia" w:eastAsia="宋体"/>
          <w:color w:val="auto"/>
          <w:lang w:eastAsia="zh-CN"/>
        </w:rPr>
      </w:pPr>
      <w:r>
        <w:rPr>
          <w:rFonts w:hint="eastAsia"/>
          <w:color w:val="auto"/>
          <w:lang w:val="en-US" w:eastAsia="zh-CN"/>
        </w:rPr>
        <w:t xml:space="preserve">b) </w:t>
      </w:r>
      <w:r>
        <w:rPr>
          <w:rFonts w:hint="eastAsia"/>
          <w:color w:val="auto"/>
        </w:rPr>
        <w:t>千斤顶规格和数量应根据钢套筒及盾构总重、平移转体最大摩擦力确定</w:t>
      </w:r>
      <w:r>
        <w:rPr>
          <w:rFonts w:hint="eastAsia"/>
          <w:color w:val="auto"/>
          <w:lang w:val="en-US" w:eastAsia="zh-CN"/>
        </w:rPr>
        <w:t>.</w:t>
      </w:r>
    </w:p>
    <w:p>
      <w:pPr>
        <w:pStyle w:val="62"/>
        <w:widowControl/>
        <w:ind w:firstLine="420"/>
        <w:outlineLvl w:val="9"/>
        <w:rPr>
          <w:rFonts w:hint="eastAsia"/>
          <w:color w:val="auto"/>
        </w:rPr>
      </w:pPr>
      <w:r>
        <w:rPr>
          <w:rFonts w:hint="eastAsia"/>
          <w:color w:val="auto"/>
          <w:lang w:val="en-US" w:eastAsia="zh-CN"/>
        </w:rPr>
        <w:t xml:space="preserve">c) </w:t>
      </w:r>
      <w:r>
        <w:rPr>
          <w:rFonts w:hint="eastAsia"/>
          <w:color w:val="auto"/>
        </w:rPr>
        <w:t>现场调试时首先</w:t>
      </w:r>
      <w:r>
        <w:rPr>
          <w:rFonts w:hint="eastAsia"/>
          <w:color w:val="auto"/>
          <w:lang w:val="en-US" w:eastAsia="zh-CN"/>
        </w:rPr>
        <w:t>应</w:t>
      </w:r>
      <w:r>
        <w:rPr>
          <w:rFonts w:hint="eastAsia"/>
          <w:color w:val="auto"/>
        </w:rPr>
        <w:t>进行单个系统调试，然后进行系统联调联试。</w:t>
      </w:r>
    </w:p>
    <w:p>
      <w:pPr>
        <w:pStyle w:val="171"/>
        <w:rPr>
          <w:color w:val="auto"/>
        </w:rPr>
      </w:pPr>
      <w:r>
        <w:rPr>
          <w:rFonts w:hint="eastAsia"/>
          <w:color w:val="auto"/>
        </w:rPr>
        <w:t>液压顶升油缸宜安装在钢套筒基座侧边预留油缸箱内，并在外侧焊接固定装置。</w:t>
      </w:r>
    </w:p>
    <w:p>
      <w:pPr>
        <w:pStyle w:val="171"/>
        <w:rPr>
          <w:color w:val="auto"/>
        </w:rPr>
      </w:pPr>
      <w:r>
        <w:rPr>
          <w:rFonts w:hint="eastAsia"/>
          <w:color w:val="auto"/>
        </w:rPr>
        <w:t>油缸活塞杆下方调坡支墩内部安装弧形撑靴，</w:t>
      </w:r>
      <w:r>
        <w:rPr>
          <w:rFonts w:hint="eastAsia"/>
          <w:color w:val="auto"/>
          <w:lang w:val="en-US" w:eastAsia="zh-CN"/>
        </w:rPr>
        <w:t>在基面</w:t>
      </w:r>
      <w:r>
        <w:rPr>
          <w:rFonts w:hint="eastAsia"/>
          <w:color w:val="auto"/>
        </w:rPr>
        <w:t>不平或有坡度时的自行调</w:t>
      </w:r>
      <w:r>
        <w:rPr>
          <w:rFonts w:hint="eastAsia"/>
          <w:color w:val="auto"/>
          <w:lang w:val="en-US" w:eastAsia="zh-CN"/>
        </w:rPr>
        <w:t>平</w:t>
      </w:r>
      <w:r>
        <w:rPr>
          <w:rFonts w:hint="eastAsia"/>
          <w:color w:val="auto"/>
        </w:rPr>
        <w:t>。</w:t>
      </w:r>
    </w:p>
    <w:p>
      <w:pPr>
        <w:pStyle w:val="171"/>
        <w:rPr>
          <w:color w:val="auto"/>
        </w:rPr>
      </w:pPr>
      <w:r>
        <w:rPr>
          <w:rFonts w:hint="eastAsia"/>
          <w:color w:val="auto"/>
        </w:rPr>
        <w:t>顶升油缸宜选用双作用</w:t>
      </w:r>
      <w:r>
        <w:rPr>
          <w:rFonts w:hint="eastAsia"/>
          <w:color w:val="auto"/>
          <w:lang w:val="en-US" w:eastAsia="zh-CN"/>
        </w:rPr>
        <w:t>油</w:t>
      </w:r>
      <w:r>
        <w:rPr>
          <w:rFonts w:hint="eastAsia"/>
          <w:color w:val="auto"/>
        </w:rPr>
        <w:t>缸</w:t>
      </w:r>
      <w:r>
        <w:rPr>
          <w:rFonts w:hint="eastAsia"/>
          <w:color w:val="auto"/>
          <w:lang w:eastAsia="zh-CN"/>
        </w:rPr>
        <w:t>，</w:t>
      </w:r>
      <w:r>
        <w:rPr>
          <w:rFonts w:hint="eastAsia"/>
          <w:color w:val="auto"/>
        </w:rPr>
        <w:t>油缸组应配置位移传感器和位移开关，设置压力检测</w:t>
      </w:r>
      <w:r>
        <w:rPr>
          <w:rFonts w:hint="eastAsia"/>
          <w:color w:val="auto"/>
          <w:lang w:val="en-US" w:eastAsia="zh-CN"/>
        </w:rPr>
        <w:t>装置</w:t>
      </w:r>
      <w:r>
        <w:rPr>
          <w:rFonts w:hint="eastAsia"/>
          <w:color w:val="auto"/>
        </w:rPr>
        <w:t>。</w:t>
      </w:r>
    </w:p>
    <w:p>
      <w:pPr>
        <w:pStyle w:val="171"/>
        <w:rPr>
          <w:color w:val="auto"/>
        </w:rPr>
      </w:pPr>
      <w:r>
        <w:rPr>
          <w:rFonts w:hint="eastAsia"/>
          <w:color w:val="auto"/>
          <w:lang w:val="en-US" w:eastAsia="zh-CN"/>
        </w:rPr>
        <w:t>基座中间球铰基座宜在地面进行安装，两侧球铰基座宜在调坡支墩拆除后安装。</w:t>
      </w:r>
    </w:p>
    <w:p>
      <w:pPr>
        <w:pStyle w:val="171"/>
        <w:rPr>
          <w:color w:val="auto"/>
        </w:rPr>
      </w:pPr>
      <w:r>
        <w:rPr>
          <w:rFonts w:hint="eastAsia"/>
          <w:color w:val="auto"/>
        </w:rPr>
        <w:t>应涂抹润滑球铰基座和工作井底板，减小</w:t>
      </w:r>
      <w:r>
        <w:rPr>
          <w:rFonts w:hint="eastAsia"/>
          <w:color w:val="auto"/>
          <w:lang w:val="en-US" w:eastAsia="zh-CN"/>
        </w:rPr>
        <w:t>运动</w:t>
      </w:r>
      <w:r>
        <w:rPr>
          <w:rFonts w:hint="eastAsia"/>
          <w:color w:val="auto"/>
        </w:rPr>
        <w:t>阻力。</w:t>
      </w:r>
    </w:p>
    <w:p>
      <w:pPr>
        <w:pStyle w:val="111"/>
        <w:keepNext w:val="0"/>
        <w:keepLines w:val="0"/>
        <w:pageBreakBefore w:val="0"/>
        <w:widowControl/>
        <w:kinsoku/>
        <w:wordWrap/>
        <w:overflowPunct/>
        <w:topLinePunct w:val="0"/>
        <w:autoSpaceDE/>
        <w:autoSpaceDN/>
        <w:bidi w:val="0"/>
        <w:adjustRightInd/>
        <w:snapToGrid/>
        <w:spacing w:before="156" w:after="156"/>
        <w:textAlignment w:val="auto"/>
        <w:outlineLvl w:val="1"/>
        <w:rPr>
          <w:color w:val="auto"/>
        </w:rPr>
      </w:pPr>
      <w:bookmarkStart w:id="92" w:name="_Toc6414"/>
      <w:r>
        <w:rPr>
          <w:rFonts w:hint="eastAsia"/>
          <w:color w:val="auto"/>
        </w:rPr>
        <w:t>盾构及钢套筒平移</w:t>
      </w:r>
      <w:bookmarkEnd w:id="92"/>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平移油缸应安装在钢套筒</w:t>
      </w:r>
      <w:r>
        <w:rPr>
          <w:rFonts w:hint="eastAsia"/>
          <w:color w:val="auto"/>
          <w:lang w:val="en-US" w:eastAsia="zh-CN"/>
        </w:rPr>
        <w:t>平移反方向侧</w:t>
      </w:r>
      <w:r>
        <w:rPr>
          <w:rFonts w:hint="eastAsia"/>
          <w:color w:val="auto"/>
        </w:rPr>
        <w:t>，</w:t>
      </w:r>
      <w:r>
        <w:rPr>
          <w:rFonts w:hint="eastAsia"/>
          <w:color w:val="auto"/>
          <w:lang w:val="en-US" w:eastAsia="zh-CN"/>
        </w:rPr>
        <w:t>布置位置应考虑盾构机重量分布</w:t>
      </w:r>
      <w:r>
        <w:rPr>
          <w:rFonts w:hint="eastAsia"/>
          <w:color w:val="auto"/>
        </w:rPr>
        <w:t>。</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应焊接铰接</w:t>
      </w:r>
      <w:r>
        <w:rPr>
          <w:rFonts w:hint="eastAsia"/>
          <w:color w:val="auto"/>
          <w:lang w:val="en-US" w:eastAsia="zh-CN"/>
        </w:rPr>
        <w:t>将</w:t>
      </w:r>
      <w:r>
        <w:rPr>
          <w:rFonts w:hint="eastAsia"/>
          <w:color w:val="auto"/>
        </w:rPr>
        <w:t>套筒基座与平移油缸活塞杆连接。</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采用厚钢板焊接反力靠山。</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反力靠山数量应与工作井底板焊接连接</w:t>
      </w:r>
      <w:r>
        <w:rPr>
          <w:rFonts w:hint="eastAsia"/>
          <w:color w:val="auto"/>
          <w:lang w:eastAsia="zh-CN"/>
        </w:rPr>
        <w:t>，</w:t>
      </w:r>
      <w:r>
        <w:rPr>
          <w:rFonts w:hint="eastAsia"/>
          <w:color w:val="auto"/>
        </w:rPr>
        <w:t>根据盾构平移位置及时进行</w:t>
      </w:r>
      <w:r>
        <w:rPr>
          <w:rFonts w:hint="eastAsia"/>
          <w:color w:val="auto"/>
          <w:lang w:val="en-US" w:eastAsia="zh-CN"/>
        </w:rPr>
        <w:t>移位</w:t>
      </w:r>
      <w:r>
        <w:rPr>
          <w:rFonts w:hint="eastAsia"/>
          <w:color w:val="auto"/>
        </w:rPr>
        <w:t>。</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反力靠山，焊缝应饱满连续。</w:t>
      </w:r>
    </w:p>
    <w:p>
      <w:pPr>
        <w:pStyle w:val="171"/>
        <w:keepNext w:val="0"/>
        <w:keepLines w:val="0"/>
        <w:pageBreakBefore w:val="0"/>
        <w:widowControl/>
        <w:kinsoku/>
        <w:wordWrap/>
        <w:overflowPunct/>
        <w:topLinePunct w:val="0"/>
        <w:autoSpaceDE/>
        <w:autoSpaceDN/>
        <w:bidi w:val="0"/>
        <w:adjustRightInd/>
        <w:snapToGrid/>
        <w:textAlignment w:val="auto"/>
        <w:outlineLvl w:val="9"/>
        <w:rPr>
          <w:color w:val="auto"/>
        </w:rPr>
      </w:pPr>
      <w:r>
        <w:rPr>
          <w:rFonts w:hint="eastAsia"/>
          <w:color w:val="auto"/>
        </w:rPr>
        <w:t>盾构</w:t>
      </w:r>
      <w:r>
        <w:rPr>
          <w:rFonts w:hint="eastAsia"/>
          <w:color w:val="auto"/>
          <w:lang w:val="en-US" w:eastAsia="zh-CN"/>
        </w:rPr>
        <w:t>机</w:t>
      </w:r>
      <w:r>
        <w:rPr>
          <w:rFonts w:hint="eastAsia"/>
          <w:color w:val="auto"/>
        </w:rPr>
        <w:t>及钢套筒单次平移距离应不大于油缸活塞杆长度。</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盾构</w:t>
      </w:r>
      <w:r>
        <w:rPr>
          <w:rFonts w:hint="eastAsia"/>
          <w:color w:val="auto"/>
          <w:lang w:val="en-US" w:eastAsia="zh-CN"/>
        </w:rPr>
        <w:t>机</w:t>
      </w:r>
      <w:r>
        <w:rPr>
          <w:rFonts w:hint="eastAsia"/>
          <w:color w:val="auto"/>
        </w:rPr>
        <w:t>及钢套筒平移精度及纠偏控制</w:t>
      </w:r>
      <w:r>
        <w:rPr>
          <w:rFonts w:hint="eastAsia"/>
          <w:color w:val="auto"/>
          <w:lang w:val="en-US" w:eastAsia="zh-CN"/>
        </w:rPr>
        <w:t>要点</w:t>
      </w:r>
      <w:r>
        <w:rPr>
          <w:rFonts w:hint="eastAsia"/>
          <w:color w:val="auto"/>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eastAsia="宋体"/>
          <w:color w:val="auto"/>
          <w:lang w:eastAsia="zh-CN"/>
        </w:rPr>
      </w:pPr>
      <w:r>
        <w:rPr>
          <w:rFonts w:hint="eastAsia"/>
          <w:color w:val="auto"/>
          <w:lang w:val="en-US" w:eastAsia="zh-CN"/>
        </w:rPr>
        <w:t>a)</w:t>
      </w:r>
      <w:r>
        <w:rPr>
          <w:rFonts w:hint="eastAsia"/>
          <w:color w:val="auto"/>
        </w:rPr>
        <w:t xml:space="preserve"> 平移过程应重点关注盾构</w:t>
      </w:r>
      <w:r>
        <w:rPr>
          <w:rFonts w:hint="eastAsia"/>
          <w:color w:val="auto"/>
          <w:lang w:val="en-US" w:eastAsia="zh-CN"/>
        </w:rPr>
        <w:t>机及</w:t>
      </w:r>
      <w:r>
        <w:rPr>
          <w:rFonts w:hint="eastAsia"/>
          <w:color w:val="auto"/>
        </w:rPr>
        <w:t>钢套筒平移轴线，以油缸活塞杆最大行程为一个循环</w:t>
      </w:r>
      <w:r>
        <w:rPr>
          <w:rFonts w:hint="eastAsia"/>
          <w:color w:val="auto"/>
          <w:lang w:eastAsia="zh-CN"/>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eastAsia="宋体"/>
          <w:color w:val="auto"/>
          <w:lang w:eastAsia="zh-CN"/>
        </w:rPr>
      </w:pPr>
      <w:r>
        <w:rPr>
          <w:rFonts w:hint="eastAsia"/>
          <w:color w:val="auto"/>
          <w:lang w:val="en-US" w:eastAsia="zh-CN"/>
        </w:rPr>
        <w:t>b)</w:t>
      </w:r>
      <w:r>
        <w:rPr>
          <w:rFonts w:hint="eastAsia"/>
          <w:color w:val="auto"/>
        </w:rPr>
        <w:t xml:space="preserve"> 平移过程中应增加测量频率，每推进</w:t>
      </w:r>
      <w:r>
        <w:rPr>
          <w:rFonts w:hint="eastAsia"/>
          <w:color w:val="auto"/>
          <w:lang w:val="en-US" w:eastAsia="zh-CN"/>
        </w:rPr>
        <w:t>一段距离宜</w:t>
      </w:r>
      <w:r>
        <w:rPr>
          <w:rFonts w:hint="eastAsia"/>
          <w:color w:val="auto"/>
        </w:rPr>
        <w:t>对盾体及钢套筒位置</w:t>
      </w:r>
      <w:r>
        <w:rPr>
          <w:rFonts w:hint="eastAsia"/>
          <w:color w:val="auto"/>
          <w:lang w:val="en-US" w:eastAsia="zh-CN"/>
        </w:rPr>
        <w:t>进行</w:t>
      </w:r>
      <w:r>
        <w:rPr>
          <w:rFonts w:hint="eastAsia"/>
          <w:color w:val="auto"/>
        </w:rPr>
        <w:t>测量，</w:t>
      </w:r>
      <w:r>
        <w:rPr>
          <w:rFonts w:hint="eastAsia"/>
          <w:color w:val="auto"/>
          <w:lang w:val="en-US" w:eastAsia="zh-CN"/>
        </w:rPr>
        <w:t>分析</w:t>
      </w:r>
      <w:r>
        <w:rPr>
          <w:rFonts w:hint="eastAsia"/>
          <w:color w:val="auto"/>
        </w:rPr>
        <w:t>平移路线轨迹</w:t>
      </w:r>
      <w:r>
        <w:rPr>
          <w:rFonts w:hint="eastAsia"/>
          <w:color w:val="auto"/>
          <w:lang w:val="en-US" w:eastAsia="zh-CN"/>
        </w:rPr>
        <w:t>及</w:t>
      </w:r>
      <w:r>
        <w:rPr>
          <w:rFonts w:hint="eastAsia"/>
          <w:color w:val="auto"/>
        </w:rPr>
        <w:t>油缸压力变化</w:t>
      </w:r>
      <w:r>
        <w:rPr>
          <w:rFonts w:hint="eastAsia"/>
          <w:color w:val="auto"/>
          <w:lang w:eastAsia="zh-CN"/>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rFonts w:hint="eastAsia" w:eastAsia="宋体"/>
          <w:color w:val="auto"/>
          <w:highlight w:val="none"/>
          <w:lang w:eastAsia="zh-CN"/>
        </w:rPr>
      </w:pPr>
      <w:r>
        <w:rPr>
          <w:rFonts w:hint="eastAsia"/>
          <w:color w:val="auto"/>
          <w:lang w:val="en-US" w:eastAsia="zh-CN"/>
        </w:rPr>
        <w:t>c)</w:t>
      </w:r>
      <w:r>
        <w:rPr>
          <w:rFonts w:hint="eastAsia"/>
          <w:color w:val="auto"/>
          <w:highlight w:val="none"/>
        </w:rPr>
        <w:t xml:space="preserve"> 单次平移偏差</w:t>
      </w:r>
      <w:r>
        <w:rPr>
          <w:rFonts w:hint="eastAsia"/>
          <w:color w:val="auto"/>
          <w:highlight w:val="none"/>
          <w:lang w:val="en-US" w:eastAsia="zh-CN"/>
        </w:rPr>
        <w:t>宜</w:t>
      </w:r>
      <w:r>
        <w:rPr>
          <w:rFonts w:hint="eastAsia"/>
          <w:color w:val="auto"/>
          <w:highlight w:val="none"/>
        </w:rPr>
        <w:t>不超过20mm</w:t>
      </w:r>
      <w:r>
        <w:rPr>
          <w:rFonts w:hint="eastAsia"/>
          <w:color w:val="auto"/>
          <w:highlight w:val="none"/>
          <w:lang w:eastAsia="zh-CN"/>
        </w:rPr>
        <w:t>。</w:t>
      </w:r>
    </w:p>
    <w:p>
      <w:pPr>
        <w:pStyle w:val="62"/>
        <w:keepNext w:val="0"/>
        <w:keepLines w:val="0"/>
        <w:pageBreakBefore w:val="0"/>
        <w:widowControl/>
        <w:kinsoku/>
        <w:wordWrap/>
        <w:overflowPunct/>
        <w:topLinePunct w:val="0"/>
        <w:autoSpaceDE w:val="0"/>
        <w:autoSpaceDN w:val="0"/>
        <w:bidi w:val="0"/>
        <w:adjustRightInd/>
        <w:snapToGrid/>
        <w:ind w:firstLine="420"/>
        <w:textAlignment w:val="auto"/>
        <w:outlineLvl w:val="9"/>
        <w:rPr>
          <w:color w:val="auto"/>
        </w:rPr>
      </w:pPr>
      <w:r>
        <w:rPr>
          <w:rFonts w:hint="eastAsia"/>
          <w:color w:val="auto"/>
          <w:lang w:val="en-US" w:eastAsia="zh-CN"/>
        </w:rPr>
        <w:t>d)</w:t>
      </w:r>
      <w:r>
        <w:rPr>
          <w:rFonts w:hint="eastAsia"/>
          <w:color w:val="auto"/>
        </w:rPr>
        <w:t xml:space="preserve"> 单次平移结束后根据偏移方向，安装纠偏油缸进行调整。</w:t>
      </w:r>
    </w:p>
    <w:p>
      <w:pPr>
        <w:pStyle w:val="111"/>
        <w:keepNext w:val="0"/>
        <w:keepLines w:val="0"/>
        <w:pageBreakBefore w:val="0"/>
        <w:widowControl/>
        <w:kinsoku/>
        <w:wordWrap/>
        <w:overflowPunct/>
        <w:topLinePunct w:val="0"/>
        <w:autoSpaceDE/>
        <w:autoSpaceDN/>
        <w:bidi w:val="0"/>
        <w:adjustRightInd/>
        <w:snapToGrid/>
        <w:spacing w:before="156" w:after="156"/>
        <w:textAlignment w:val="auto"/>
        <w:outlineLvl w:val="1"/>
        <w:rPr>
          <w:color w:val="auto"/>
        </w:rPr>
      </w:pPr>
      <w:bookmarkStart w:id="93" w:name="_Toc32288"/>
      <w:r>
        <w:rPr>
          <w:rFonts w:hint="eastAsia"/>
          <w:color w:val="auto"/>
        </w:rPr>
        <w:t>盾构及钢套筒转体</w:t>
      </w:r>
      <w:bookmarkEnd w:id="93"/>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转体前应通过室内试验确定球铰基座和工作井钢板摩擦系数，确定转体</w:t>
      </w:r>
      <w:r>
        <w:rPr>
          <w:rFonts w:hint="eastAsia"/>
          <w:color w:val="auto"/>
          <w:lang w:val="en-US" w:eastAsia="zh-CN"/>
        </w:rPr>
        <w:t>油缸参数</w:t>
      </w:r>
      <w:r>
        <w:rPr>
          <w:rFonts w:hint="eastAsia"/>
          <w:color w:val="auto"/>
        </w:rPr>
        <w:t>。</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转体油缸宜布置在套筒基座四个角部，并与盾构机呈45°设置。</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转体牵引油缸应</w:t>
      </w:r>
      <w:r>
        <w:rPr>
          <w:rFonts w:hint="eastAsia"/>
          <w:color w:val="auto"/>
          <w:lang w:val="en-US" w:eastAsia="zh-CN"/>
        </w:rPr>
        <w:t>协同工作</w:t>
      </w:r>
      <w:r>
        <w:rPr>
          <w:rFonts w:hint="eastAsia"/>
          <w:color w:val="auto"/>
        </w:rPr>
        <w:t>，油缸行程差</w:t>
      </w:r>
      <w:r>
        <w:rPr>
          <w:rFonts w:hint="eastAsia"/>
          <w:color w:val="auto"/>
          <w:lang w:val="en-US" w:eastAsia="zh-CN"/>
        </w:rPr>
        <w:t>宜不</w:t>
      </w:r>
      <w:r>
        <w:rPr>
          <w:rFonts w:hint="eastAsia"/>
          <w:color w:val="auto"/>
        </w:rPr>
        <w:t>大于10mm。</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转动</w:t>
      </w:r>
      <w:r>
        <w:rPr>
          <w:rFonts w:hint="eastAsia"/>
          <w:color w:val="auto"/>
          <w:lang w:val="en-US" w:eastAsia="zh-CN"/>
        </w:rPr>
        <w:t>过程</w:t>
      </w:r>
      <w:r>
        <w:rPr>
          <w:rFonts w:hint="eastAsia"/>
          <w:color w:val="auto"/>
        </w:rPr>
        <w:t>应</w:t>
      </w:r>
      <w:r>
        <w:rPr>
          <w:rFonts w:hint="eastAsia"/>
          <w:color w:val="auto"/>
          <w:lang w:val="en-US" w:eastAsia="zh-CN"/>
        </w:rPr>
        <w:t>保持</w:t>
      </w:r>
      <w:r>
        <w:rPr>
          <w:rFonts w:hint="eastAsia"/>
          <w:color w:val="auto"/>
        </w:rPr>
        <w:t>匀速，实时观测钢套筒基座</w:t>
      </w:r>
      <w:r>
        <w:rPr>
          <w:rFonts w:hint="eastAsia"/>
          <w:color w:val="auto"/>
          <w:lang w:val="en-US" w:eastAsia="zh-CN"/>
        </w:rPr>
        <w:t>位置</w:t>
      </w:r>
      <w:r>
        <w:rPr>
          <w:rFonts w:hint="eastAsia"/>
          <w:color w:val="auto"/>
        </w:rPr>
        <w:t>，单次转动完成后对盾构</w:t>
      </w:r>
      <w:r>
        <w:rPr>
          <w:rFonts w:hint="eastAsia"/>
          <w:color w:val="auto"/>
          <w:lang w:val="en-US" w:eastAsia="zh-CN"/>
        </w:rPr>
        <w:t>位置</w:t>
      </w:r>
      <w:r>
        <w:rPr>
          <w:rFonts w:hint="eastAsia"/>
          <w:color w:val="auto"/>
        </w:rPr>
        <w:t>进行复测，绘制转动轨迹线，指导下一步转体油缸定位和安装。</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rPr>
        <w:t>单次转动角度应考虑油缸活塞杆伸出长度，单次转动角度</w:t>
      </w:r>
      <w:r>
        <w:rPr>
          <w:rFonts w:hint="eastAsia"/>
          <w:color w:val="auto"/>
          <w:lang w:val="en-US" w:eastAsia="zh-CN"/>
        </w:rPr>
        <w:t>宜</w:t>
      </w:r>
      <w:r>
        <w:rPr>
          <w:rFonts w:hint="eastAsia"/>
          <w:color w:val="auto"/>
        </w:rPr>
        <w:t>不超过8°。</w:t>
      </w:r>
    </w:p>
    <w:p>
      <w:pPr>
        <w:pStyle w:val="171"/>
        <w:keepNext w:val="0"/>
        <w:keepLines w:val="0"/>
        <w:pageBreakBefore w:val="0"/>
        <w:widowControl/>
        <w:kinsoku/>
        <w:wordWrap/>
        <w:overflowPunct/>
        <w:topLinePunct w:val="0"/>
        <w:autoSpaceDE/>
        <w:autoSpaceDN/>
        <w:bidi w:val="0"/>
        <w:adjustRightInd/>
        <w:snapToGrid/>
        <w:textAlignment w:val="auto"/>
        <w:outlineLvl w:val="9"/>
        <w:rPr>
          <w:color w:val="auto"/>
        </w:rPr>
      </w:pPr>
      <w:r>
        <w:rPr>
          <w:rFonts w:hint="eastAsia"/>
          <w:color w:val="auto"/>
        </w:rPr>
        <w:t>单次转动角度偏差</w:t>
      </w:r>
      <w:r>
        <w:rPr>
          <w:rFonts w:hint="eastAsia"/>
          <w:color w:val="auto"/>
          <w:lang w:val="en-US" w:eastAsia="zh-CN"/>
        </w:rPr>
        <w:t>宜</w:t>
      </w:r>
      <w:r>
        <w:rPr>
          <w:rFonts w:hint="eastAsia"/>
          <w:color w:val="auto"/>
        </w:rPr>
        <w:t>不应超过40′，避免油缸角度过大导致平面位置偏移。</w:t>
      </w:r>
    </w:p>
    <w:p>
      <w:pPr>
        <w:pStyle w:val="171"/>
        <w:keepNext w:val="0"/>
        <w:keepLines w:val="0"/>
        <w:pageBreakBefore w:val="0"/>
        <w:widowControl/>
        <w:kinsoku/>
        <w:wordWrap/>
        <w:overflowPunct/>
        <w:topLinePunct w:val="0"/>
        <w:autoSpaceDE/>
        <w:autoSpaceDN/>
        <w:bidi w:val="0"/>
        <w:adjustRightInd/>
        <w:snapToGrid/>
        <w:textAlignment w:val="auto"/>
        <w:outlineLvl w:val="9"/>
        <w:rPr>
          <w:color w:val="auto"/>
        </w:rPr>
      </w:pPr>
      <w:r>
        <w:rPr>
          <w:rFonts w:hint="eastAsia"/>
          <w:color w:val="auto"/>
        </w:rPr>
        <w:t>出现斜向转体推力过大或转体拟定位移超限时，应利用对角油缸作为转体动力，另一组对角油缸作为限位或平衡，使盾构机按照设计线路转体。</w:t>
      </w:r>
    </w:p>
    <w:p>
      <w:pPr>
        <w:pStyle w:val="111"/>
        <w:keepNext w:val="0"/>
        <w:keepLines w:val="0"/>
        <w:pageBreakBefore w:val="0"/>
        <w:widowControl/>
        <w:kinsoku/>
        <w:wordWrap/>
        <w:overflowPunct/>
        <w:topLinePunct w:val="0"/>
        <w:autoSpaceDE/>
        <w:autoSpaceDN/>
        <w:bidi w:val="0"/>
        <w:adjustRightInd/>
        <w:snapToGrid/>
        <w:spacing w:before="156" w:after="156"/>
        <w:textAlignment w:val="auto"/>
        <w:outlineLvl w:val="1"/>
        <w:rPr>
          <w:color w:val="auto"/>
        </w:rPr>
      </w:pPr>
      <w:bookmarkStart w:id="94" w:name="_Toc17389"/>
      <w:r>
        <w:rPr>
          <w:rFonts w:hint="eastAsia"/>
          <w:color w:val="auto"/>
        </w:rPr>
        <w:t>盾构</w:t>
      </w:r>
      <w:r>
        <w:rPr>
          <w:rFonts w:hint="eastAsia"/>
          <w:color w:val="auto"/>
          <w:lang w:val="en-US" w:eastAsia="zh-CN"/>
        </w:rPr>
        <w:t>始发</w:t>
      </w:r>
      <w:r>
        <w:rPr>
          <w:rFonts w:hint="eastAsia"/>
          <w:color w:val="auto"/>
        </w:rPr>
        <w:t>就位</w:t>
      </w:r>
      <w:bookmarkEnd w:id="94"/>
    </w:p>
    <w:p>
      <w:pPr>
        <w:pStyle w:val="171"/>
        <w:keepNext w:val="0"/>
        <w:keepLines w:val="0"/>
        <w:pageBreakBefore w:val="0"/>
        <w:widowControl/>
        <w:kinsoku/>
        <w:wordWrap/>
        <w:overflowPunct/>
        <w:topLinePunct w:val="0"/>
        <w:autoSpaceDE/>
        <w:autoSpaceDN/>
        <w:bidi w:val="0"/>
        <w:adjustRightInd/>
        <w:snapToGrid/>
        <w:textAlignment w:val="auto"/>
        <w:outlineLvl w:val="9"/>
        <w:rPr>
          <w:color w:val="auto"/>
        </w:rPr>
      </w:pPr>
      <w:r>
        <w:rPr>
          <w:rFonts w:hint="eastAsia"/>
          <w:color w:val="auto"/>
        </w:rPr>
        <w:t>钢套筒转体至指定位置后，进行二次始发延长钢环下分块的安装，</w:t>
      </w:r>
      <w:r>
        <w:rPr>
          <w:rFonts w:hint="eastAsia"/>
          <w:color w:val="auto"/>
          <w:lang w:val="en-US" w:eastAsia="zh-CN"/>
        </w:rPr>
        <w:t>然后</w:t>
      </w:r>
      <w:r>
        <w:rPr>
          <w:rFonts w:hint="eastAsia"/>
          <w:color w:val="auto"/>
        </w:rPr>
        <w:t>利用顶推油缸将盾构机及钢套筒向靠洞门方向顶推</w:t>
      </w:r>
      <w:r>
        <w:rPr>
          <w:rFonts w:hint="eastAsia"/>
          <w:color w:val="auto"/>
          <w:lang w:val="en-US" w:eastAsia="zh-CN"/>
        </w:rPr>
        <w:t>至</w:t>
      </w:r>
      <w:r>
        <w:rPr>
          <w:rFonts w:hint="eastAsia"/>
          <w:color w:val="auto"/>
        </w:rPr>
        <w:t>二次始发位置。</w:t>
      </w:r>
    </w:p>
    <w:p>
      <w:pPr>
        <w:pStyle w:val="171"/>
        <w:keepNext w:val="0"/>
        <w:keepLines w:val="0"/>
        <w:pageBreakBefore w:val="0"/>
        <w:widowControl/>
        <w:kinsoku/>
        <w:wordWrap/>
        <w:overflowPunct/>
        <w:topLinePunct w:val="0"/>
        <w:autoSpaceDE/>
        <w:autoSpaceDN/>
        <w:bidi w:val="0"/>
        <w:adjustRightInd/>
        <w:snapToGrid/>
        <w:textAlignment w:val="auto"/>
        <w:outlineLvl w:val="9"/>
        <w:rPr>
          <w:color w:val="auto"/>
        </w:rPr>
      </w:pPr>
      <w:r>
        <w:rPr>
          <w:rFonts w:hint="eastAsia"/>
          <w:color w:val="auto"/>
          <w:lang w:val="en-US" w:eastAsia="zh-CN"/>
        </w:rPr>
        <w:t>盾构机到始发位置后</w:t>
      </w:r>
      <w:r>
        <w:rPr>
          <w:rFonts w:hint="eastAsia"/>
          <w:color w:val="auto"/>
        </w:rPr>
        <w:t>拆除</w:t>
      </w:r>
      <w:r>
        <w:rPr>
          <w:rFonts w:hint="eastAsia"/>
          <w:color w:val="auto"/>
          <w:lang w:val="en-US" w:eastAsia="zh-CN"/>
        </w:rPr>
        <w:t>平移转体</w:t>
      </w:r>
      <w:r>
        <w:rPr>
          <w:rFonts w:hint="eastAsia"/>
          <w:color w:val="auto"/>
        </w:rPr>
        <w:t>油缸，利用顶升油缸顶升</w:t>
      </w:r>
      <w:r>
        <w:rPr>
          <w:rFonts w:hint="eastAsia"/>
          <w:color w:val="auto"/>
          <w:lang w:val="en-US" w:eastAsia="zh-CN"/>
        </w:rPr>
        <w:t>钢套筒基座</w:t>
      </w:r>
      <w:r>
        <w:rPr>
          <w:rFonts w:hint="eastAsia"/>
          <w:color w:val="auto"/>
        </w:rPr>
        <w:t>，</w:t>
      </w:r>
      <w:r>
        <w:rPr>
          <w:rFonts w:hint="eastAsia"/>
          <w:color w:val="auto"/>
          <w:lang w:val="en-US" w:eastAsia="zh-CN"/>
        </w:rPr>
        <w:t>拆除转体球铰系统，</w:t>
      </w:r>
      <w:r>
        <w:rPr>
          <w:rFonts w:hint="eastAsia"/>
          <w:color w:val="auto"/>
        </w:rPr>
        <w:t>依次安装弧形支座、调坡支墩。</w:t>
      </w:r>
    </w:p>
    <w:p>
      <w:pPr>
        <w:pStyle w:val="110"/>
        <w:spacing w:before="312" w:after="312"/>
        <w:rPr>
          <w:color w:val="auto"/>
        </w:rPr>
      </w:pPr>
      <w:bookmarkStart w:id="95" w:name="_Toc4395"/>
      <w:r>
        <w:rPr>
          <w:rFonts w:hint="eastAsia"/>
          <w:color w:val="auto"/>
        </w:rPr>
        <w:t>钢套筒监测</w:t>
      </w:r>
      <w:bookmarkEnd w:id="95"/>
    </w:p>
    <w:p>
      <w:pPr>
        <w:pStyle w:val="111"/>
        <w:spacing w:before="156" w:after="156"/>
        <w:rPr>
          <w:color w:val="auto"/>
        </w:rPr>
      </w:pPr>
      <w:bookmarkStart w:id="96" w:name="_Toc5234"/>
      <w:r>
        <w:rPr>
          <w:rFonts w:hint="eastAsia"/>
          <w:color w:val="auto"/>
          <w:lang w:val="en-US" w:eastAsia="zh-CN"/>
        </w:rPr>
        <w:t>一般规定</w:t>
      </w:r>
      <w:bookmarkEnd w:id="96"/>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钢套筒结构设计阶段应提出结构健康监测技术要求。</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钢套筒结构健康监测应满足盾构始发、接收、平移转体阶段施工安全控制要求。</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监测系统可采用自动化监测方法，</w:t>
      </w:r>
      <w:r>
        <w:rPr>
          <w:rFonts w:hint="eastAsia"/>
          <w:color w:val="auto"/>
        </w:rPr>
        <w:t>相关监测元件及数据采集展示平台涉及技术较为成熟，可根据需要进行搭建</w:t>
      </w:r>
      <w:r>
        <w:rPr>
          <w:rFonts w:hint="eastAsia"/>
          <w:color w:val="auto"/>
          <w:lang w:eastAsia="zh-CN"/>
        </w:rPr>
        <w:t>。</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监测系统的硬件和软件应遵循稳定可靠、技术先进、操作方便、便于维护更换的基本原则。</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监测系统宜具有数据自动采集、传输、存储、数据处理和预警等功能。</w:t>
      </w:r>
    </w:p>
    <w:p>
      <w:pPr>
        <w:pStyle w:val="171"/>
        <w:keepNext w:val="0"/>
        <w:keepLines w:val="0"/>
        <w:pageBreakBefore w:val="0"/>
        <w:widowControl/>
        <w:kinsoku/>
        <w:wordWrap/>
        <w:overflowPunct/>
        <w:topLinePunct w:val="0"/>
        <w:autoSpaceDE/>
        <w:autoSpaceDN/>
        <w:bidi w:val="0"/>
        <w:adjustRightInd/>
        <w:snapToGrid/>
        <w:textAlignment w:val="auto"/>
        <w:outlineLvl w:val="9"/>
        <w:rPr>
          <w:rFonts w:hint="eastAsia"/>
          <w:color w:val="auto"/>
        </w:rPr>
      </w:pPr>
      <w:r>
        <w:rPr>
          <w:rFonts w:hint="eastAsia"/>
          <w:color w:val="auto"/>
          <w:lang w:val="en-US" w:eastAsia="zh-CN"/>
        </w:rPr>
        <w:t>应根据钢套筒及支撑结构安全性使用要求合理布设监测点、设定监测频率和预警值，监测项目可参考附录B表B.1。</w:t>
      </w:r>
    </w:p>
    <w:p>
      <w:pPr>
        <w:pStyle w:val="111"/>
        <w:spacing w:before="156" w:after="156"/>
        <w:rPr>
          <w:color w:val="auto"/>
        </w:rPr>
      </w:pPr>
      <w:bookmarkStart w:id="97" w:name="_Toc13513"/>
      <w:r>
        <w:rPr>
          <w:rFonts w:hint="eastAsia"/>
          <w:color w:val="auto"/>
        </w:rPr>
        <w:t>钢套筒始发及接收监测</w:t>
      </w:r>
      <w:bookmarkEnd w:id="97"/>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钢套筒结构监测元件可选用数码位移计、数码应力计。</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结构变形监测应包含筒体拼缝张开量、</w:t>
      </w:r>
      <w:r>
        <w:rPr>
          <w:rFonts w:hint="eastAsia"/>
          <w:color w:val="auto"/>
        </w:rPr>
        <w:t>钢套筒与预埋钢环</w:t>
      </w:r>
      <w:r>
        <w:rPr>
          <w:rFonts w:hint="eastAsia"/>
          <w:color w:val="auto"/>
          <w:lang w:val="en-US" w:eastAsia="zh-CN"/>
        </w:rPr>
        <w:t>张开量</w:t>
      </w:r>
      <w:r>
        <w:rPr>
          <w:rFonts w:hint="eastAsia"/>
          <w:color w:val="auto"/>
        </w:rPr>
        <w:t>、钢套筒与反力架</w:t>
      </w:r>
      <w:r>
        <w:rPr>
          <w:rFonts w:hint="eastAsia"/>
          <w:color w:val="auto"/>
          <w:lang w:val="en-US" w:eastAsia="zh-CN"/>
        </w:rPr>
        <w:t>变形；</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结构应力监测应包含筒体分块应力、反力架支撑应力、反力支墩应力。</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钢套筒辅助接收时</w:t>
      </w:r>
      <w:r>
        <w:rPr>
          <w:rFonts w:hint="eastAsia"/>
          <w:color w:val="auto"/>
        </w:rPr>
        <w:t>应增设平板式封板拼装缝</w:t>
      </w:r>
      <w:r>
        <w:rPr>
          <w:rFonts w:hint="eastAsia"/>
          <w:color w:val="auto"/>
          <w:lang w:val="en-US" w:eastAsia="zh-CN"/>
        </w:rPr>
        <w:t>及封板变形</w:t>
      </w:r>
      <w:r>
        <w:rPr>
          <w:rFonts w:hint="eastAsia"/>
          <w:color w:val="auto"/>
        </w:rPr>
        <w:t>监测</w:t>
      </w:r>
      <w:r>
        <w:rPr>
          <w:rFonts w:hint="eastAsia"/>
          <w:color w:val="auto"/>
          <w:lang w:eastAsia="zh-CN"/>
        </w:rPr>
        <w:t>。</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监测点宜均匀布置，并加强结构受力较大区域监测。</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钢套筒结构应力及变形监测频率宜为</w:t>
      </w:r>
      <w:r>
        <w:rPr>
          <w:rFonts w:hint="eastAsia"/>
          <w:color w:val="auto"/>
        </w:rPr>
        <w:t>10min/次</w:t>
      </w:r>
      <w:r>
        <w:rPr>
          <w:rFonts w:hint="eastAsia"/>
          <w:color w:val="auto"/>
          <w:lang w:eastAsia="zh-CN"/>
        </w:rPr>
        <w:t>。</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钢套筒及反力架应力不应超过结构材料抗压/抗拉强度的80%。</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钢套筒拼缝张开量不宜大于5mm。</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钢套筒径向水平变形和纵向变形阈值不宜大于结构跨度的1/400。</w:t>
      </w:r>
    </w:p>
    <w:p>
      <w:pPr>
        <w:pStyle w:val="111"/>
        <w:keepNext w:val="0"/>
        <w:keepLines w:val="0"/>
        <w:pageBreakBefore w:val="0"/>
        <w:widowControl/>
        <w:kinsoku/>
        <w:wordWrap/>
        <w:overflowPunct/>
        <w:topLinePunct w:val="0"/>
        <w:autoSpaceDE/>
        <w:autoSpaceDN/>
        <w:bidi w:val="0"/>
        <w:adjustRightInd/>
        <w:snapToGrid/>
        <w:spacing w:before="156" w:after="156"/>
        <w:textAlignment w:val="auto"/>
        <w:rPr>
          <w:color w:val="auto"/>
        </w:rPr>
      </w:pPr>
      <w:bookmarkStart w:id="98" w:name="_Toc21423"/>
      <w:bookmarkStart w:id="99" w:name="_Hlk78804740"/>
      <w:r>
        <w:rPr>
          <w:rFonts w:hint="eastAsia"/>
          <w:color w:val="auto"/>
        </w:rPr>
        <w:t>平移转体监测</w:t>
      </w:r>
      <w:bookmarkEnd w:id="98"/>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钢套筒监测点宜</w:t>
      </w:r>
      <w:r>
        <w:rPr>
          <w:rFonts w:hint="eastAsia"/>
          <w:color w:val="auto"/>
        </w:rPr>
        <w:t>布置在钢套筒筒身外周上的四个角点及</w:t>
      </w:r>
      <w:r>
        <w:rPr>
          <w:rFonts w:hint="eastAsia"/>
          <w:color w:val="auto"/>
          <w:lang w:val="en-US" w:eastAsia="zh-CN"/>
        </w:rPr>
        <w:t>钢套筒</w:t>
      </w:r>
      <w:r>
        <w:rPr>
          <w:rFonts w:hint="eastAsia"/>
          <w:color w:val="auto"/>
        </w:rPr>
        <w:t>中心位置</w:t>
      </w:r>
      <w:r>
        <w:rPr>
          <w:rFonts w:hint="eastAsia"/>
          <w:color w:val="auto"/>
          <w:lang w:eastAsia="zh-CN"/>
        </w:rPr>
        <w:t>。</w:t>
      </w:r>
    </w:p>
    <w:p>
      <w:pPr>
        <w:pStyle w:val="171"/>
        <w:keepNext w:val="0"/>
        <w:keepLines w:val="0"/>
        <w:pageBreakBefore w:val="0"/>
        <w:widowControl w:val="0"/>
        <w:kinsoku/>
        <w:wordWrap/>
        <w:overflowPunct/>
        <w:topLinePunct w:val="0"/>
        <w:autoSpaceDE/>
        <w:autoSpaceDN/>
        <w:bidi w:val="0"/>
        <w:adjustRightInd/>
        <w:snapToGrid/>
        <w:textAlignment w:val="auto"/>
        <w:outlineLvl w:val="2"/>
        <w:rPr>
          <w:color w:val="auto"/>
        </w:rPr>
      </w:pPr>
      <w:r>
        <w:rPr>
          <w:rFonts w:hint="eastAsia"/>
          <w:color w:val="auto"/>
          <w:lang w:val="en-US" w:eastAsia="zh-CN"/>
        </w:rPr>
        <w:t>宜</w:t>
      </w:r>
      <w:r>
        <w:rPr>
          <w:rFonts w:hint="eastAsia"/>
          <w:color w:val="auto"/>
        </w:rPr>
        <w:t>采用全站仪采集钢套筒平移及转体路径三维空间坐标，</w:t>
      </w:r>
      <w:r>
        <w:rPr>
          <w:rFonts w:hint="eastAsia"/>
          <w:color w:val="auto"/>
          <w:lang w:val="en-US" w:eastAsia="zh-CN"/>
        </w:rPr>
        <w:t>在</w:t>
      </w:r>
      <w:r>
        <w:rPr>
          <w:rFonts w:hint="eastAsia"/>
          <w:color w:val="auto"/>
        </w:rPr>
        <w:t>网页平台</w:t>
      </w:r>
      <w:r>
        <w:rPr>
          <w:rFonts w:hint="eastAsia"/>
          <w:color w:val="auto"/>
          <w:lang w:val="en-US" w:eastAsia="zh-CN"/>
        </w:rPr>
        <w:t>三维数值模型中</w:t>
      </w:r>
      <w:r>
        <w:rPr>
          <w:rFonts w:hint="eastAsia"/>
          <w:color w:val="auto"/>
        </w:rPr>
        <w:t>对五个测点位置进行标记</w:t>
      </w:r>
      <w:r>
        <w:rPr>
          <w:rFonts w:hint="eastAsia"/>
          <w:color w:val="auto"/>
          <w:lang w:eastAsia="zh-CN"/>
        </w:rPr>
        <w:t>。</w:t>
      </w:r>
    </w:p>
    <w:bookmarkEnd w:id="99"/>
    <w:p>
      <w:pPr>
        <w:pStyle w:val="171"/>
        <w:numPr>
          <w:ilvl w:val="3"/>
          <w:numId w:val="0"/>
        </w:numPr>
        <w:ind w:leftChars="0"/>
        <w:rPr>
          <w:color w:val="auto"/>
        </w:rPr>
      </w:pP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Pr>
        <w:pStyle w:val="62"/>
        <w:ind w:firstLine="420"/>
        <w:rPr>
          <w:color w:val="auto"/>
        </w:rPr>
      </w:pPr>
    </w:p>
    <w:p>
      <w:pPr>
        <w:rPr>
          <w:color w:val="auto"/>
        </w:rPr>
        <w:sectPr>
          <w:footerReference r:id="rId14" w:type="default"/>
          <w:pgSz w:w="11906" w:h="16838"/>
          <w:pgMar w:top="1928" w:right="1134" w:bottom="1134" w:left="1134" w:header="1418" w:footer="1134" w:gutter="284"/>
          <w:pgNumType w:fmt="decimal"/>
          <w:cols w:space="425" w:num="1"/>
          <w:formProt w:val="0"/>
          <w:docGrid w:type="lines" w:linePitch="312" w:charSpace="0"/>
        </w:sectPr>
      </w:pPr>
    </w:p>
    <w:bookmarkEnd w:id="24"/>
    <w:p>
      <w:pPr>
        <w:pStyle w:val="82"/>
        <w:shd w:val="clear" w:color="FFFFFF" w:fill="FFFFFF"/>
        <w:spacing w:after="156"/>
        <w:rPr>
          <w:rFonts w:hint="eastAsia" w:hAnsi="Times New Roman" w:cs="Times New Roman"/>
          <w:lang w:val="en-US" w:eastAsia="zh-CN"/>
        </w:rPr>
      </w:pPr>
      <w:bookmarkStart w:id="100" w:name="_Toc15343"/>
      <w:bookmarkEnd w:id="100"/>
    </w:p>
    <w:p>
      <w:pPr>
        <w:pStyle w:val="82"/>
        <w:keepNext w:val="0"/>
        <w:keepLines w:val="0"/>
        <w:pageBreakBefore w:val="0"/>
        <w:widowControl/>
        <w:numPr>
          <w:ilvl w:val="0"/>
          <w:numId w:val="0"/>
        </w:numPr>
        <w:shd w:val="clear" w:color="FFFFFF" w:fill="FFFFFF"/>
        <w:kinsoku/>
        <w:wordWrap/>
        <w:overflowPunct/>
        <w:topLinePunct w:val="0"/>
        <w:autoSpaceDE/>
        <w:autoSpaceDN/>
        <w:bidi w:val="0"/>
        <w:adjustRightInd/>
        <w:snapToGrid/>
        <w:spacing w:before="0" w:afterLines="0"/>
        <w:ind w:leftChars="0"/>
        <w:jc w:val="center"/>
        <w:textAlignment w:val="auto"/>
        <w:rPr>
          <w:rFonts w:hint="eastAsia" w:hAnsi="Times New Roman" w:cs="Times New Roman"/>
          <w:lang w:val="en-US" w:eastAsia="zh-CN"/>
        </w:rPr>
      </w:pPr>
      <w:bookmarkStart w:id="101" w:name="_Toc9798"/>
      <w:r>
        <w:rPr>
          <w:rFonts w:hint="eastAsia" w:cs="Times New Roman"/>
          <w:lang w:val="en-US" w:eastAsia="zh-CN"/>
        </w:rPr>
        <w:t>（资料性）</w:t>
      </w:r>
      <w:bookmarkEnd w:id="101"/>
    </w:p>
    <w:p>
      <w:pPr>
        <w:pStyle w:val="82"/>
        <w:keepNext w:val="0"/>
        <w:keepLines w:val="0"/>
        <w:pageBreakBefore w:val="0"/>
        <w:widowControl/>
        <w:numPr>
          <w:ilvl w:val="0"/>
          <w:numId w:val="0"/>
        </w:numPr>
        <w:shd w:val="clear" w:color="FFFFFF" w:fill="FFFFFF"/>
        <w:kinsoku/>
        <w:wordWrap/>
        <w:overflowPunct/>
        <w:topLinePunct w:val="0"/>
        <w:autoSpaceDE/>
        <w:autoSpaceDN/>
        <w:bidi w:val="0"/>
        <w:adjustRightInd/>
        <w:snapToGrid/>
        <w:spacing w:before="0" w:afterLines="0"/>
        <w:ind w:leftChars="0"/>
        <w:jc w:val="center"/>
        <w:textAlignment w:val="auto"/>
        <w:rPr>
          <w:rFonts w:hint="eastAsia" w:hAnsi="Times New Roman" w:cs="Times New Roman"/>
          <w:lang w:val="en-US" w:eastAsia="zh-CN"/>
        </w:rPr>
      </w:pPr>
      <w:bookmarkStart w:id="102" w:name="_Toc26674"/>
      <w:r>
        <w:rPr>
          <w:rFonts w:hint="eastAsia" w:hAnsi="Times New Roman" w:cs="Times New Roman"/>
          <w:lang w:val="en-US" w:eastAsia="zh-CN"/>
        </w:rPr>
        <w:t>大直径钢套筒安装、试压质量检测项目</w:t>
      </w:r>
      <w:bookmarkEnd w:id="102"/>
    </w:p>
    <w:p>
      <w:pPr>
        <w:pStyle w:val="217"/>
        <w:spacing w:before="0" w:after="0"/>
        <w:rPr>
          <w:rFonts w:hint="default" w:hAnsi="Times New Roman" w:cs="Times New Roman"/>
          <w:lang w:val="en-US" w:eastAsia="zh-CN"/>
        </w:rPr>
      </w:pPr>
      <w:r>
        <w:rPr>
          <w:rFonts w:hint="eastAsia" w:hAnsi="Times New Roman" w:cs="Times New Roman"/>
          <w:lang w:val="en-US" w:eastAsia="zh-CN"/>
        </w:rPr>
        <w:t>大直径钢套筒安装、试压检测项目见表</w:t>
      </w:r>
      <w:r>
        <w:rPr>
          <w:rFonts w:hint="eastAsia" w:cs="Times New Roman"/>
          <w:lang w:val="en-US" w:eastAsia="zh-CN"/>
        </w:rPr>
        <w:t>A</w:t>
      </w:r>
      <w:r>
        <w:rPr>
          <w:rFonts w:hint="eastAsia" w:hAnsi="Times New Roman" w:cs="Times New Roman"/>
          <w:lang w:val="en-US" w:eastAsia="zh-CN"/>
        </w:rPr>
        <w:t>.1。</w:t>
      </w:r>
    </w:p>
    <w:p>
      <w:pPr>
        <w:pStyle w:val="12"/>
        <w:adjustRightInd/>
        <w:spacing w:line="360" w:lineRule="auto"/>
        <w:ind w:firstLine="0"/>
        <w:jc w:val="center"/>
        <w:rPr>
          <w:rFonts w:hint="eastAsia" w:ascii="Times New Roman" w:hAnsi="Times New Roman" w:eastAsia="黑体"/>
          <w:bCs/>
          <w:color w:val="auto"/>
          <w:sz w:val="24"/>
          <w:szCs w:val="24"/>
        </w:rPr>
      </w:pPr>
      <w:r>
        <w:rPr>
          <w:rFonts w:hint="eastAsia" w:ascii="Times New Roman" w:hAnsi="Times New Roman" w:eastAsia="黑体"/>
          <w:bCs/>
          <w:color w:val="auto"/>
          <w:sz w:val="21"/>
          <w:szCs w:val="21"/>
        </w:rPr>
        <w:t>附表</w:t>
      </w:r>
      <w:r>
        <w:rPr>
          <w:rFonts w:hint="eastAsia" w:ascii="Times New Roman" w:hAnsi="Times New Roman" w:eastAsia="黑体"/>
          <w:bCs/>
          <w:color w:val="auto"/>
          <w:sz w:val="21"/>
          <w:szCs w:val="21"/>
          <w:lang w:val="en-US" w:eastAsia="zh-CN"/>
        </w:rPr>
        <w:t>A.1</w:t>
      </w:r>
      <w:r>
        <w:rPr>
          <w:rFonts w:ascii="Times New Roman" w:hAnsi="Times New Roman" w:eastAsia="黑体"/>
          <w:bCs/>
          <w:color w:val="auto"/>
          <w:sz w:val="21"/>
          <w:szCs w:val="21"/>
        </w:rPr>
        <w:t xml:space="preserve"> </w:t>
      </w:r>
      <w:r>
        <w:rPr>
          <w:rFonts w:hint="eastAsia" w:ascii="Times New Roman" w:hAnsi="Times New Roman" w:eastAsia="黑体"/>
          <w:bCs/>
          <w:color w:val="auto"/>
          <w:sz w:val="21"/>
          <w:szCs w:val="21"/>
        </w:rPr>
        <w:t>大直径钢套筒安装、试压检测项目表</w:t>
      </w:r>
    </w:p>
    <w:tbl>
      <w:tblPr>
        <w:tblStyle w:val="32"/>
        <w:tblW w:w="0" w:type="auto"/>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1001"/>
        <w:gridCol w:w="42"/>
        <w:gridCol w:w="1512"/>
        <w:gridCol w:w="2396"/>
        <w:gridCol w:w="1654"/>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项次</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检测项目</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规定值及允许偏差</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检测方法及频率</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实测或偏差值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环梁凿除轮廓与洞门钢环距离</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≥50cm</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尺量：每处</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Merge w:val="restart"/>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w:t>
            </w:r>
          </w:p>
        </w:tc>
        <w:tc>
          <w:tcPr>
            <w:tcW w:w="1059" w:type="dxa"/>
            <w:gridSpan w:val="2"/>
            <w:vMerge w:val="restart"/>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工作井底板处理</w:t>
            </w:r>
          </w:p>
        </w:tc>
        <w:tc>
          <w:tcPr>
            <w:tcW w:w="1318"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工作井底板平整度</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≤5mm/m2</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水准仪：抽样</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059" w:type="dxa"/>
            <w:gridSpan w:val="2"/>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318"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底板钢板植筋直径</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≥22mm</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尺量：抽样</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3</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钢套筒接缝法兰平整度</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≤10mm</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水准仪：每块</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4</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筒体及延长钢环拼装误差</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≤5mm</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尺量：每延米</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5</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套筒分块间的拼缝张开量</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≤3mm</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尺量：每延米</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6</w:t>
            </w:r>
          </w:p>
        </w:tc>
        <w:tc>
          <w:tcPr>
            <w:tcW w:w="2377" w:type="dxa"/>
            <w:gridSpan w:val="3"/>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钢套筒抗压能力</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≥0.5Mpa</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压力表：出厂</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Merge w:val="restart"/>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7</w:t>
            </w:r>
          </w:p>
        </w:tc>
        <w:tc>
          <w:tcPr>
            <w:tcW w:w="1020" w:type="dxa"/>
            <w:vMerge w:val="restart"/>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水密性试验（保压时间）</w:t>
            </w:r>
          </w:p>
        </w:tc>
        <w:tc>
          <w:tcPr>
            <w:tcW w:w="1357" w:type="dxa"/>
            <w:gridSpan w:val="2"/>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0~0.1MPa</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≥10min</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压力表：单次</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020"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357" w:type="dxa"/>
            <w:gridSpan w:val="2"/>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0.1~0.2MPa</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≥25min</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压力表：单次</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020"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357" w:type="dxa"/>
            <w:gridSpan w:val="2"/>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0.2~0.25MPa</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≥45min</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压力表：单次</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020" w:type="dxa"/>
            <w:vMerge w:val="continue"/>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c>
          <w:tcPr>
            <w:tcW w:w="1357" w:type="dxa"/>
            <w:gridSpan w:val="2"/>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0.25~0.3MPa</w:t>
            </w:r>
          </w:p>
        </w:tc>
        <w:tc>
          <w:tcPr>
            <w:tcW w:w="2459"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≥120min</w:t>
            </w:r>
          </w:p>
        </w:tc>
        <w:tc>
          <w:tcPr>
            <w:tcW w:w="1705"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压力表：单次</w:t>
            </w:r>
          </w:p>
        </w:tc>
        <w:tc>
          <w:tcPr>
            <w:tcW w:w="1584"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p>
        </w:tc>
      </w:tr>
    </w:tbl>
    <w:p>
      <w:pPr>
        <w:pStyle w:val="238"/>
        <w:adjustRightInd/>
        <w:spacing w:line="360" w:lineRule="auto"/>
        <w:ind w:left="840" w:firstLine="0" w:firstLineChars="0"/>
        <w:jc w:val="center"/>
        <w:rPr>
          <w:rFonts w:ascii="宋体" w:hAnsi="宋体" w:cs="宋体"/>
          <w:color w:val="auto"/>
          <w:kern w:val="0"/>
          <w:szCs w:val="16"/>
        </w:rPr>
      </w:pPr>
    </w:p>
    <w:p>
      <w:pPr>
        <w:widowControl/>
        <w:adjustRightInd/>
        <w:spacing w:line="240" w:lineRule="auto"/>
        <w:jc w:val="left"/>
        <w:rPr>
          <w:rFonts w:ascii="宋体" w:hAnsi="宋体" w:cs="宋体"/>
          <w:color w:val="auto"/>
          <w:kern w:val="0"/>
          <w:szCs w:val="16"/>
        </w:rPr>
      </w:pPr>
      <w:r>
        <w:rPr>
          <w:rFonts w:ascii="宋体" w:hAnsi="宋体" w:cs="宋体"/>
          <w:color w:val="auto"/>
          <w:kern w:val="0"/>
          <w:szCs w:val="16"/>
        </w:rPr>
        <w:br w:type="page"/>
      </w:r>
    </w:p>
    <w:p>
      <w:pPr>
        <w:pStyle w:val="82"/>
        <w:shd w:val="clear" w:color="FFFFFF" w:fill="FFFFFF"/>
        <w:spacing w:after="156"/>
        <w:rPr>
          <w:rFonts w:hint="eastAsia" w:hAnsi="Times New Roman" w:cs="Times New Roman"/>
          <w:lang w:val="en-US" w:eastAsia="zh-CN"/>
        </w:rPr>
      </w:pPr>
      <w:bookmarkStart w:id="103" w:name="_Toc8455"/>
      <w:bookmarkEnd w:id="103"/>
    </w:p>
    <w:p>
      <w:pPr>
        <w:pStyle w:val="82"/>
        <w:keepNext w:val="0"/>
        <w:keepLines w:val="0"/>
        <w:pageBreakBefore w:val="0"/>
        <w:widowControl/>
        <w:numPr>
          <w:ilvl w:val="0"/>
          <w:numId w:val="0"/>
        </w:numPr>
        <w:shd w:val="clear" w:color="FFFFFF" w:fill="FFFFFF"/>
        <w:kinsoku/>
        <w:wordWrap/>
        <w:overflowPunct/>
        <w:topLinePunct w:val="0"/>
        <w:autoSpaceDE/>
        <w:autoSpaceDN/>
        <w:bidi w:val="0"/>
        <w:adjustRightInd/>
        <w:snapToGrid/>
        <w:spacing w:before="0" w:afterLines="0"/>
        <w:ind w:leftChars="0"/>
        <w:jc w:val="center"/>
        <w:textAlignment w:val="auto"/>
        <w:rPr>
          <w:rFonts w:hint="eastAsia" w:cs="Times New Roman"/>
          <w:lang w:val="en-US" w:eastAsia="zh-CN"/>
        </w:rPr>
      </w:pPr>
      <w:bookmarkStart w:id="104" w:name="_Toc13927"/>
      <w:r>
        <w:rPr>
          <w:rFonts w:hint="eastAsia" w:cs="Times New Roman"/>
          <w:lang w:val="en-US" w:eastAsia="zh-CN"/>
        </w:rPr>
        <w:t>（资料性）</w:t>
      </w:r>
      <w:bookmarkEnd w:id="104"/>
    </w:p>
    <w:p>
      <w:pPr>
        <w:pStyle w:val="82"/>
        <w:keepNext w:val="0"/>
        <w:keepLines w:val="0"/>
        <w:pageBreakBefore w:val="0"/>
        <w:widowControl/>
        <w:numPr>
          <w:ilvl w:val="0"/>
          <w:numId w:val="0"/>
        </w:numPr>
        <w:shd w:val="clear" w:color="FFFFFF" w:fill="FFFFFF"/>
        <w:kinsoku/>
        <w:wordWrap/>
        <w:overflowPunct/>
        <w:topLinePunct w:val="0"/>
        <w:autoSpaceDE/>
        <w:autoSpaceDN/>
        <w:bidi w:val="0"/>
        <w:adjustRightInd/>
        <w:snapToGrid/>
        <w:spacing w:before="0" w:afterLines="0"/>
        <w:ind w:leftChars="0"/>
        <w:jc w:val="center"/>
        <w:textAlignment w:val="auto"/>
        <w:rPr>
          <w:rFonts w:hint="eastAsia" w:cs="Times New Roman"/>
          <w:lang w:val="en-US" w:eastAsia="zh-CN"/>
        </w:rPr>
      </w:pPr>
      <w:bookmarkStart w:id="105" w:name="_Toc17309"/>
      <w:r>
        <w:rPr>
          <w:rFonts w:hint="eastAsia" w:cs="Times New Roman"/>
          <w:lang w:val="en-US" w:eastAsia="zh-CN"/>
        </w:rPr>
        <w:t>大直径钢套筒始发、接收、平移及转体监测项目</w:t>
      </w:r>
      <w:bookmarkEnd w:id="105"/>
    </w:p>
    <w:p>
      <w:pPr>
        <w:pStyle w:val="217"/>
        <w:spacing w:before="0" w:after="0"/>
        <w:rPr>
          <w:rFonts w:hint="eastAsia" w:hAnsi="Times New Roman" w:cs="Times New Roman"/>
          <w:lang w:val="en-US" w:eastAsia="zh-CN"/>
        </w:rPr>
      </w:pPr>
      <w:r>
        <w:rPr>
          <w:rFonts w:hint="eastAsia" w:hAnsi="Times New Roman" w:cs="Times New Roman"/>
          <w:lang w:val="en-US" w:eastAsia="zh-CN"/>
        </w:rPr>
        <w:t>大直径钢套筒始发、接收、平移转体监测项目见表</w:t>
      </w:r>
      <w:r>
        <w:rPr>
          <w:rFonts w:hint="eastAsia" w:cs="Times New Roman"/>
          <w:lang w:val="en-US" w:eastAsia="zh-CN"/>
        </w:rPr>
        <w:t>B</w:t>
      </w:r>
      <w:r>
        <w:rPr>
          <w:rFonts w:hint="eastAsia" w:hAnsi="Times New Roman" w:cs="Times New Roman"/>
          <w:lang w:val="en-US" w:eastAsia="zh-CN"/>
        </w:rPr>
        <w:t>.1。</w:t>
      </w:r>
    </w:p>
    <w:p>
      <w:pPr>
        <w:pStyle w:val="12"/>
        <w:adjustRightInd/>
        <w:spacing w:line="360" w:lineRule="auto"/>
        <w:ind w:firstLine="0"/>
        <w:jc w:val="center"/>
        <w:rPr>
          <w:rFonts w:hint="eastAsia" w:ascii="Times New Roman" w:hAnsi="Times New Roman" w:eastAsia="黑体"/>
          <w:bCs/>
          <w:color w:val="auto"/>
          <w:sz w:val="21"/>
          <w:szCs w:val="21"/>
        </w:rPr>
      </w:pPr>
      <w:r>
        <w:rPr>
          <w:rFonts w:hint="eastAsia" w:ascii="Times New Roman" w:hAnsi="Times New Roman" w:eastAsia="黑体"/>
          <w:bCs/>
          <w:color w:val="auto"/>
          <w:sz w:val="21"/>
          <w:szCs w:val="21"/>
        </w:rPr>
        <w:t>表</w:t>
      </w:r>
      <w:r>
        <w:rPr>
          <w:rFonts w:hint="eastAsia" w:ascii="Times New Roman" w:hAnsi="Times New Roman" w:eastAsia="黑体"/>
          <w:bCs/>
          <w:color w:val="auto"/>
          <w:sz w:val="21"/>
          <w:szCs w:val="21"/>
          <w:lang w:val="en-US" w:eastAsia="zh-CN"/>
        </w:rPr>
        <w:t xml:space="preserve">B.1 </w:t>
      </w:r>
      <w:r>
        <w:rPr>
          <w:rFonts w:hint="eastAsia" w:ascii="Times New Roman" w:hAnsi="Times New Roman" w:eastAsia="黑体"/>
          <w:bCs/>
          <w:color w:val="auto"/>
          <w:sz w:val="21"/>
          <w:szCs w:val="21"/>
        </w:rPr>
        <w:t>大直径钢套筒始发、接收、平移及转体监测项目表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2482"/>
        <w:gridCol w:w="1522"/>
        <w:gridCol w:w="1103"/>
        <w:gridCol w:w="2082"/>
        <w:gridCol w:w="1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目次</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监测项目</w:t>
            </w:r>
          </w:p>
        </w:tc>
        <w:tc>
          <w:tcPr>
            <w:tcW w:w="152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监测频率</w:t>
            </w:r>
          </w:p>
        </w:tc>
        <w:tc>
          <w:tcPr>
            <w:tcW w:w="11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控制阈值</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检测位置和方法</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实测或偏差值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1</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钢套筒纵向拼缝张开量</w:t>
            </w:r>
          </w:p>
        </w:tc>
        <w:tc>
          <w:tcPr>
            <w:tcW w:w="1522"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1次读数/</w:t>
            </w:r>
            <w:r>
              <w:rPr>
                <w:rFonts w:cs="宋体"/>
                <w:color w:val="auto"/>
                <w:sz w:val="20"/>
                <w:szCs w:val="20"/>
                <w:lang w:bidi="ar"/>
              </w:rPr>
              <w:t>20</w:t>
            </w:r>
            <w:r>
              <w:rPr>
                <w:rFonts w:hint="eastAsia" w:cs="宋体"/>
                <w:color w:val="auto"/>
                <w:sz w:val="20"/>
                <w:szCs w:val="20"/>
                <w:lang w:bidi="ar"/>
              </w:rPr>
              <w:t>min</w:t>
            </w:r>
          </w:p>
        </w:tc>
        <w:tc>
          <w:tcPr>
            <w:tcW w:w="1103"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color w:val="auto"/>
                <w:sz w:val="20"/>
                <w:szCs w:val="20"/>
                <w:lang w:bidi="ar"/>
              </w:rPr>
              <w:t>5mm</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纵向拼缝/数码位移计</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2</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cs="宋体"/>
                <w:color w:val="auto"/>
                <w:sz w:val="20"/>
                <w:szCs w:val="20"/>
                <w:lang w:bidi="ar"/>
              </w:rPr>
              <w:t>套筒延长钢环与洞门钢环处</w:t>
            </w:r>
            <w:r>
              <w:rPr>
                <w:rFonts w:hint="eastAsia" w:ascii="Times New Roman" w:hAnsi="Times New Roman"/>
                <w:bCs/>
                <w:color w:val="auto"/>
                <w:sz w:val="20"/>
                <w:szCs w:val="20"/>
              </w:rPr>
              <w:t>张开量</w:t>
            </w:r>
          </w:p>
        </w:tc>
        <w:tc>
          <w:tcPr>
            <w:tcW w:w="1522"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1次读数/</w:t>
            </w:r>
            <w:r>
              <w:rPr>
                <w:rFonts w:cs="宋体"/>
                <w:color w:val="auto"/>
                <w:sz w:val="20"/>
                <w:szCs w:val="20"/>
                <w:lang w:bidi="ar"/>
              </w:rPr>
              <w:t>20min</w:t>
            </w:r>
          </w:p>
        </w:tc>
        <w:tc>
          <w:tcPr>
            <w:tcW w:w="1103"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color w:val="auto"/>
                <w:sz w:val="20"/>
                <w:szCs w:val="20"/>
                <w:lang w:bidi="ar"/>
              </w:rPr>
              <w:t>5mm</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腰部、底部/数码位移计</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ascii="Times New Roman" w:hAnsi="Times New Roman"/>
                <w:bCs/>
                <w:color w:val="auto"/>
                <w:sz w:val="20"/>
                <w:szCs w:val="20"/>
              </w:rPr>
              <w:t>3</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平底封盖拼缝张开量</w:t>
            </w:r>
          </w:p>
        </w:tc>
        <w:tc>
          <w:tcPr>
            <w:tcW w:w="152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1次读数/</w:t>
            </w:r>
            <w:r>
              <w:rPr>
                <w:rFonts w:cs="宋体"/>
                <w:color w:val="auto"/>
                <w:sz w:val="20"/>
                <w:szCs w:val="20"/>
                <w:lang w:bidi="ar"/>
              </w:rPr>
              <w:t>20min</w:t>
            </w:r>
          </w:p>
        </w:tc>
        <w:tc>
          <w:tcPr>
            <w:tcW w:w="11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color w:val="auto"/>
                <w:sz w:val="20"/>
                <w:szCs w:val="20"/>
                <w:lang w:bidi="ar"/>
              </w:rPr>
              <w:t>5mm</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中部拼缝</w:t>
            </w:r>
            <w:r>
              <w:rPr>
                <w:rFonts w:hint="eastAsia" w:cs="宋体"/>
                <w:color w:val="auto"/>
                <w:sz w:val="20"/>
                <w:szCs w:val="20"/>
                <w:lang w:bidi="ar"/>
              </w:rPr>
              <w:t>/数码位移计</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ascii="Times New Roman" w:hAnsi="Times New Roman"/>
                <w:bCs/>
                <w:color w:val="auto"/>
                <w:sz w:val="20"/>
                <w:szCs w:val="20"/>
              </w:rPr>
              <w:t>4</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反力架支墩应变</w:t>
            </w:r>
          </w:p>
        </w:tc>
        <w:tc>
          <w:tcPr>
            <w:tcW w:w="1522"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s="宋体"/>
                <w:color w:val="auto"/>
                <w:sz w:val="20"/>
                <w:szCs w:val="20"/>
                <w:lang w:bidi="ar"/>
              </w:rPr>
              <w:t>1次读数/</w:t>
            </w:r>
            <w:r>
              <w:rPr>
                <w:rFonts w:cs="宋体"/>
                <w:color w:val="auto"/>
                <w:sz w:val="20"/>
                <w:szCs w:val="20"/>
                <w:lang w:bidi="ar"/>
              </w:rPr>
              <w:t>20min</w:t>
            </w:r>
          </w:p>
        </w:tc>
        <w:tc>
          <w:tcPr>
            <w:tcW w:w="1103" w:type="dxa"/>
            <w:vAlign w:val="center"/>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color w:val="auto"/>
                <w:sz w:val="20"/>
                <w:szCs w:val="20"/>
              </w:rPr>
              <w:t>225με</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color w:val="auto"/>
                <w:sz w:val="20"/>
                <w:szCs w:val="20"/>
              </w:rPr>
              <w:t>下部背撑</w:t>
            </w:r>
            <w:r>
              <w:rPr>
                <w:rFonts w:hint="eastAsia" w:cs="宋体"/>
                <w:color w:val="auto"/>
                <w:sz w:val="20"/>
                <w:szCs w:val="20"/>
                <w:lang w:bidi="ar"/>
              </w:rPr>
              <w:t>/数码应力计</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5</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Times New Roman" w:hAnsi="Times New Roman"/>
                <w:bCs/>
                <w:color w:val="auto"/>
                <w:sz w:val="20"/>
                <w:szCs w:val="20"/>
              </w:rPr>
            </w:pPr>
            <w:r>
              <w:rPr>
                <w:rFonts w:hint="eastAsia" w:ascii="Times New Roman" w:hAnsi="Times New Roman"/>
                <w:bCs/>
                <w:color w:val="auto"/>
                <w:sz w:val="20"/>
                <w:szCs w:val="20"/>
              </w:rPr>
              <w:t>单次平移位移误差</w:t>
            </w:r>
          </w:p>
        </w:tc>
        <w:tc>
          <w:tcPr>
            <w:tcW w:w="152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单次</w:t>
            </w:r>
          </w:p>
        </w:tc>
        <w:tc>
          <w:tcPr>
            <w:tcW w:w="11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ascii="Times New Roman" w:hAnsi="Times New Roman"/>
                <w:bCs/>
                <w:color w:val="auto"/>
                <w:sz w:val="20"/>
                <w:szCs w:val="20"/>
              </w:rPr>
              <w:t>20mm</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钢套筒角点/全站仪</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6</w:t>
            </w:r>
          </w:p>
        </w:tc>
        <w:tc>
          <w:tcPr>
            <w:tcW w:w="24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单次转体角度误差</w:t>
            </w:r>
          </w:p>
        </w:tc>
        <w:tc>
          <w:tcPr>
            <w:tcW w:w="152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单次</w:t>
            </w:r>
          </w:p>
        </w:tc>
        <w:tc>
          <w:tcPr>
            <w:tcW w:w="11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ascii="Times New Roman" w:hAnsi="Times New Roman"/>
                <w:color w:val="auto"/>
                <w:sz w:val="20"/>
                <w:szCs w:val="20"/>
              </w:rPr>
              <w:t>40′</w:t>
            </w:r>
          </w:p>
        </w:tc>
        <w:tc>
          <w:tcPr>
            <w:tcW w:w="2082"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r>
              <w:rPr>
                <w:rFonts w:hint="eastAsia" w:ascii="Times New Roman" w:hAnsi="Times New Roman"/>
                <w:bCs/>
                <w:color w:val="auto"/>
                <w:sz w:val="20"/>
                <w:szCs w:val="20"/>
              </w:rPr>
              <w:t>钢套筒角点/全站仪</w:t>
            </w:r>
          </w:p>
        </w:tc>
        <w:tc>
          <w:tcPr>
            <w:tcW w:w="1603" w:type="dxa"/>
          </w:tcPr>
          <w:p>
            <w:pPr>
              <w:pStyle w:val="12"/>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ascii="Times New Roman" w:hAnsi="Times New Roman"/>
                <w:bCs/>
                <w:color w:val="auto"/>
                <w:sz w:val="20"/>
                <w:szCs w:val="20"/>
              </w:rPr>
            </w:pPr>
          </w:p>
        </w:tc>
      </w:tr>
    </w:tbl>
    <w:p>
      <w:pPr>
        <w:pStyle w:val="62"/>
        <w:ind w:firstLine="0" w:firstLineChars="0"/>
        <w:jc w:val="center"/>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rPr>
          <w:color w:val="auto"/>
        </w:rPr>
      </w:pPr>
    </w:p>
    <w:p>
      <w:pPr>
        <w:pStyle w:val="61"/>
        <w:rPr>
          <w:color w:val="auto"/>
        </w:rPr>
      </w:pPr>
    </w:p>
    <w:p>
      <w:pPr>
        <w:pStyle w:val="62"/>
        <w:ind w:firstLine="0" w:firstLineChars="0"/>
        <w:jc w:val="center"/>
        <w:rPr>
          <w:rFonts w:hint="eastAsia"/>
          <w:sz w:val="28"/>
          <w:szCs w:val="28"/>
        </w:rPr>
      </w:pPr>
    </w:p>
    <w:p>
      <w:pPr>
        <w:pStyle w:val="62"/>
        <w:ind w:firstLine="0" w:firstLineChars="0"/>
        <w:jc w:val="center"/>
        <w:rPr>
          <w:rFonts w:hint="eastAsia"/>
          <w:sz w:val="28"/>
          <w:szCs w:val="28"/>
        </w:rPr>
      </w:pPr>
    </w:p>
    <w:p>
      <w:pPr>
        <w:pStyle w:val="62"/>
        <w:ind w:firstLine="0" w:firstLineChars="0"/>
        <w:jc w:val="center"/>
        <w:rPr>
          <w:rFonts w:hint="eastAsia"/>
          <w:sz w:val="28"/>
          <w:szCs w:val="28"/>
        </w:rPr>
      </w:pPr>
    </w:p>
    <w:p>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outlineLvl w:val="0"/>
        <w:rPr>
          <w:rFonts w:ascii="黑体" w:hAnsi="黑体" w:eastAsia="黑体"/>
          <w:kern w:val="2"/>
          <w:sz w:val="32"/>
          <w:szCs w:val="32"/>
        </w:rPr>
      </w:pPr>
      <w:r>
        <w:rPr>
          <w:rFonts w:hint="eastAsia" w:ascii="黑体" w:hAnsi="黑体" w:eastAsia="黑体"/>
          <w:kern w:val="2"/>
          <w:sz w:val="32"/>
          <w:szCs w:val="32"/>
        </w:rPr>
        <w:t>大直径钢套筒辅助泥水盾构施工技术规程</w:t>
      </w:r>
    </w:p>
    <w:p>
      <w:pPr>
        <w:pStyle w:val="62"/>
        <w:ind w:firstLine="420"/>
      </w:pPr>
    </w:p>
    <w:p>
      <w:pPr>
        <w:pStyle w:val="62"/>
        <w:ind w:firstLine="420"/>
      </w:pPr>
    </w:p>
    <w:p>
      <w:pPr>
        <w:pStyle w:val="62"/>
        <w:ind w:firstLine="0" w:firstLineChars="0"/>
        <w:jc w:val="center"/>
        <w:rPr>
          <w:sz w:val="28"/>
          <w:szCs w:val="28"/>
        </w:rPr>
      </w:pPr>
      <w:bookmarkStart w:id="106" w:name="_Toc97293155"/>
      <w:r>
        <w:rPr>
          <w:sz w:val="28"/>
          <w:szCs w:val="28"/>
        </w:rPr>
        <w:t>条文说明</w:t>
      </w:r>
      <w:bookmarkEnd w:id="106"/>
    </w:p>
    <w:p>
      <w:pPr>
        <w:rPr>
          <w:color w:val="auto"/>
        </w:rPr>
        <w:sectPr>
          <w:pgSz w:w="11906" w:h="16838"/>
          <w:pgMar w:top="1928" w:right="1134" w:bottom="1134" w:left="1134" w:header="1418" w:footer="1134" w:gutter="284"/>
          <w:pgNumType w:fmt="decimal"/>
          <w:cols w:space="425" w:num="1"/>
          <w:formProt w:val="0"/>
          <w:docGrid w:type="lines" w:linePitch="312" w:charSpace="0"/>
        </w:sectPr>
      </w:pPr>
    </w:p>
    <w:p>
      <w:pPr>
        <w:pStyle w:val="3"/>
        <w:spacing w:beforeLines="100" w:afterLines="100" w:line="240" w:lineRule="auto"/>
        <w:rPr>
          <w:rFonts w:hint="default" w:ascii="黑体" w:hAnsi="黑体" w:cs="Times New Roman"/>
          <w:b w:val="0"/>
          <w:sz w:val="21"/>
          <w:szCs w:val="21"/>
          <w:lang w:val="en-US" w:eastAsia="zh-CN"/>
        </w:rPr>
      </w:pPr>
      <w:r>
        <w:rPr>
          <w:rFonts w:hint="eastAsia" w:ascii="黑体" w:hAnsi="黑体" w:cs="Times New Roman"/>
          <w:b w:val="0"/>
          <w:sz w:val="21"/>
          <w:szCs w:val="21"/>
          <w:lang w:val="en-US" w:eastAsia="zh-CN"/>
        </w:rPr>
        <w:t>1 范围</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eastAsia"/>
        </w:rPr>
      </w:pPr>
      <w:r>
        <w:rPr>
          <w:rFonts w:hint="eastAsia"/>
        </w:rPr>
        <w:t>为了确保盾构施工安全，大直径水下盾构常常采用钢套筒辅助始发和接收施工，而随着大直径水下盾构施工项目增多，钢套筒辅助盾构始发和接收施工技术逐渐成熟，但目前尚无相关施工规范</w:t>
      </w:r>
      <w:r>
        <w:rPr>
          <w:rFonts w:hint="eastAsia"/>
          <w:lang w:eastAsia="zh-CN"/>
        </w:rPr>
        <w:t>、</w:t>
      </w:r>
      <w:r>
        <w:rPr>
          <w:rFonts w:hint="eastAsia"/>
          <w:lang w:val="en-US" w:eastAsia="zh-CN"/>
        </w:rPr>
        <w:t>标准</w:t>
      </w:r>
      <w:r>
        <w:rPr>
          <w:rFonts w:hint="eastAsia"/>
        </w:rPr>
        <w:t>对钢套筒辅助盾构施工给予统一的指导及明确的质量目标，尤其是大直径钢套筒辅助盾构施工，因此制定本规程是非常迫切的。</w:t>
      </w:r>
    </w:p>
    <w:p>
      <w:pPr>
        <w:pStyle w:val="3"/>
        <w:spacing w:beforeLines="100" w:afterLines="100" w:line="240" w:lineRule="auto"/>
        <w:rPr>
          <w:rFonts w:hint="eastAsia" w:ascii="黑体" w:hAnsi="黑体" w:cs="Times New Roman"/>
          <w:b w:val="0"/>
          <w:sz w:val="21"/>
          <w:szCs w:val="21"/>
          <w:lang w:val="en-US" w:eastAsia="zh-CN"/>
        </w:rPr>
      </w:pPr>
      <w:r>
        <w:rPr>
          <w:rFonts w:hint="eastAsia" w:ascii="黑体" w:hAnsi="黑体" w:cs="Times New Roman"/>
          <w:b w:val="0"/>
          <w:sz w:val="21"/>
          <w:szCs w:val="21"/>
          <w:lang w:val="en-US" w:eastAsia="zh-CN"/>
        </w:rPr>
        <w:t>5 钢套筒及球铰基座</w:t>
      </w:r>
    </w:p>
    <w:p>
      <w:pPr>
        <w:pStyle w:val="111"/>
        <w:numPr>
          <w:ilvl w:val="2"/>
          <w:numId w:val="0"/>
        </w:numPr>
        <w:spacing w:before="156" w:after="156"/>
        <w:ind w:leftChars="0"/>
        <w:rPr>
          <w:rFonts w:hint="eastAsia"/>
          <w:color w:val="auto"/>
          <w:lang w:val="en-US" w:eastAsia="zh-CN"/>
        </w:rPr>
      </w:pPr>
      <w:r>
        <w:rPr>
          <w:rFonts w:hint="eastAsia"/>
          <w:color w:val="auto"/>
          <w:lang w:val="en-US" w:eastAsia="zh-CN"/>
        </w:rPr>
        <w:t>5.2 钢套筒构造</w:t>
      </w:r>
    </w:p>
    <w:p>
      <w:pPr>
        <w:keepNext w:val="0"/>
        <w:keepLines w:val="0"/>
        <w:pageBreakBefore w:val="0"/>
        <w:kinsoku/>
        <w:wordWrap/>
        <w:overflowPunct/>
        <w:topLinePunct w:val="0"/>
        <w:bidi w:val="0"/>
        <w:snapToGrid/>
        <w:spacing w:line="240" w:lineRule="auto"/>
        <w:textAlignment w:val="auto"/>
        <w:rPr>
          <w:rFonts w:hint="default"/>
          <w:color w:val="auto"/>
          <w:lang w:val="en-US" w:eastAsia="zh-CN"/>
        </w:rPr>
      </w:pPr>
      <w:r>
        <w:rPr>
          <w:rFonts w:hint="eastAsia"/>
          <w:color w:val="auto"/>
          <w:lang w:val="en-US" w:eastAsia="zh-CN"/>
        </w:rPr>
        <w:t>5.2.1 钢套筒结构</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a）本条规定了钢套筒结构应包含的主要结构部分，在实际应用过程中可对结构形式进行适当改造，其中筒体顶部分块应根据施工需要设置有</w:t>
      </w:r>
      <w:r>
        <w:rPr>
          <w:rFonts w:hint="default"/>
          <w:color w:val="auto"/>
          <w:lang w:val="en-US" w:eastAsia="zh-CN"/>
        </w:rPr>
        <w:t>卸料口、进气口、泄压口</w:t>
      </w:r>
      <w:r>
        <w:rPr>
          <w:rFonts w:hint="eastAsia"/>
          <w:color w:val="auto"/>
          <w:lang w:val="en-US" w:eastAsia="zh-CN"/>
        </w:rPr>
        <w:t>；延长钢环侧边设置</w:t>
      </w:r>
      <w:r>
        <w:rPr>
          <w:rFonts w:hint="default"/>
          <w:color w:val="auto"/>
          <w:lang w:val="en-US" w:eastAsia="zh-CN"/>
        </w:rPr>
        <w:t>人行门</w:t>
      </w:r>
      <w:r>
        <w:rPr>
          <w:rFonts w:hint="eastAsia"/>
          <w:color w:val="auto"/>
          <w:lang w:val="en-US" w:eastAsia="zh-CN"/>
        </w:rPr>
        <w:t>，用于洞门凿除人员出入口及清渣口。</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d）本条规定的工作槽预留位置应根据盾构机切口环和支撑环、支撑环和盾尾环的焊缝位置进行确定，主要用于盾构始发阶段盾体分块外侧接缝焊接及防扭块等作业，其位置应可保证盾构机焊接完成后前方预留空间满足刀盘吊装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e) 本条规定的油缸腔室主要用于安装用于盾构调坡及顶升阶段所用液压油缸，腔室下部开孔，直径大于油缸活塞杆直径，便于油缸的伸缩。</w:t>
      </w:r>
    </w:p>
    <w:p>
      <w:pPr>
        <w:keepNext w:val="0"/>
        <w:keepLines w:val="0"/>
        <w:pageBreakBefore w:val="0"/>
        <w:kinsoku/>
        <w:wordWrap/>
        <w:overflowPunct/>
        <w:topLinePunct w:val="0"/>
        <w:bidi w:val="0"/>
        <w:snapToGrid/>
        <w:spacing w:line="240" w:lineRule="auto"/>
        <w:textAlignment w:val="auto"/>
        <w:rPr>
          <w:rFonts w:hint="eastAsia"/>
          <w:color w:val="auto"/>
          <w:lang w:val="en-US" w:eastAsia="zh-CN"/>
        </w:rPr>
      </w:pPr>
      <w:r>
        <w:rPr>
          <w:rFonts w:hint="eastAsia"/>
          <w:color w:val="auto"/>
          <w:lang w:val="en-US" w:eastAsia="zh-CN"/>
        </w:rPr>
        <w:t>5.2.5 钢套筒功能性设计方面应符合下列要求：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a）</w:t>
      </w:r>
      <w:r>
        <w:rPr>
          <w:rFonts w:hint="default"/>
          <w:color w:val="auto"/>
          <w:lang w:val="en-US" w:eastAsia="zh-CN"/>
        </w:rPr>
        <w:t>钢套筒主要用于辅助盾构的始发和接收，钢套筒一端为敞开形式，通过延长钢环与洞门预埋钢环焊接相连，供盾构机进出地层。在始发阶段，钢套筒另一端通过钢套筒筒身与负环管片形成密闭空间，通过填料、注水与地层水土压力建立平衡关系辅助盾构机完成始发</w:t>
      </w:r>
      <w:r>
        <w:rPr>
          <w:rFonts w:hint="eastAsia"/>
          <w:color w:val="auto"/>
          <w:lang w:val="en-US" w:eastAsia="zh-CN"/>
        </w:rPr>
        <w:t>。</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default"/>
          <w:color w:val="auto"/>
          <w:lang w:val="en-US" w:eastAsia="zh-CN"/>
        </w:rPr>
        <w:t>在接收阶段，将钢套筒另一端</w:t>
      </w:r>
      <w:r>
        <w:rPr>
          <w:rFonts w:hint="eastAsia"/>
          <w:color w:val="auto"/>
          <w:lang w:val="en-US" w:eastAsia="zh-CN"/>
        </w:rPr>
        <w:t>安装平底式封盖</w:t>
      </w:r>
      <w:r>
        <w:rPr>
          <w:rFonts w:hint="default"/>
          <w:color w:val="auto"/>
          <w:lang w:val="en-US" w:eastAsia="zh-CN"/>
        </w:rPr>
        <w:t>，使钢套筒本身形成密闭容器，实现钢套筒从盾构机始发到接收的功能转换，容器内提前填料或通过泥水建压平衡工作井内外地层水土压力，使盾构在密闭空间内整体接收。</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default"/>
          <w:color w:val="auto"/>
          <w:lang w:val="en-US" w:eastAsia="zh-CN"/>
        </w:rPr>
        <w:t>密闭钢套筒将盾构机穿越洞门时的洞内外压力提前建立完成，平衡地层压力的密闭空间将盾构进出洞门施工环境改变为盾构常规掘进的施工环境，规避了洞门圈喷砂涌水的风险，杜绝了因洞门渗漏引起的隧道沉降，端头土体塌方等问题，安全性较高。</w:t>
      </w:r>
    </w:p>
    <w:p>
      <w:pPr>
        <w:pStyle w:val="111"/>
        <w:numPr>
          <w:ilvl w:val="2"/>
          <w:numId w:val="0"/>
        </w:numPr>
        <w:spacing w:before="156" w:after="156"/>
        <w:ind w:leftChars="0"/>
        <w:rPr>
          <w:rFonts w:hint="eastAsia"/>
          <w:color w:val="auto"/>
          <w:lang w:val="en-US" w:eastAsia="zh-CN"/>
        </w:rPr>
      </w:pPr>
      <w:r>
        <w:rPr>
          <w:rFonts w:hint="eastAsia"/>
          <w:color w:val="auto"/>
          <w:lang w:val="en-US" w:eastAsia="zh-CN"/>
        </w:rPr>
        <w:t>5.3 球铰基座构造</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default"/>
          <w:color w:val="auto"/>
          <w:lang w:val="en-US" w:eastAsia="zh-CN"/>
        </w:rPr>
      </w:pPr>
      <w:r>
        <w:rPr>
          <w:rFonts w:hint="eastAsia"/>
          <w:color w:val="auto"/>
          <w:lang w:val="en-US" w:eastAsia="zh-CN"/>
        </w:rPr>
        <w:t>5.3.3 本条对球铰基座的基本结构</w:t>
      </w:r>
      <w:r>
        <w:rPr>
          <w:rFonts w:hint="eastAsia"/>
          <w:color w:val="auto"/>
        </w:rPr>
        <w:t>应包含自调心顶座、防脱板、中间座、钢球防脱圈、钢球；</w:t>
      </w:r>
      <w:r>
        <w:rPr>
          <w:rFonts w:hint="eastAsia"/>
          <w:color w:val="auto"/>
          <w:lang w:val="en-US" w:eastAsia="zh-CN"/>
        </w:rPr>
        <w:t>其中</w:t>
      </w:r>
      <w:r>
        <w:rPr>
          <w:rFonts w:hint="default"/>
          <w:color w:val="auto"/>
          <w:lang w:val="en-US" w:eastAsia="zh-CN"/>
        </w:rPr>
        <w:t>自调心顶座分为圆柱支座与半圆球头两部分，圆柱支座为40cr钢，顶部可与钢套筒底座焊接</w:t>
      </w:r>
      <w:r>
        <w:rPr>
          <w:rFonts w:hint="eastAsia"/>
          <w:color w:val="auto"/>
          <w:lang w:val="en-US" w:eastAsia="zh-CN"/>
        </w:rPr>
        <w:t>；</w:t>
      </w:r>
      <w:r>
        <w:rPr>
          <w:rFonts w:hint="default"/>
          <w:color w:val="auto"/>
          <w:lang w:val="en-US" w:eastAsia="zh-CN"/>
        </w:rPr>
        <w:t>半圆球头优选Q345B钢材，与下部中间座凹槽直接摩擦接触，在钢球基座整体触地时，半圆球头可与中间座相对旋转以确保盾构平移转体过程中所有钢球同时触及工作井底板</w:t>
      </w:r>
      <w:r>
        <w:rPr>
          <w:rFonts w:hint="eastAsia"/>
          <w:color w:val="auto"/>
          <w:lang w:val="en-US" w:eastAsia="zh-CN"/>
        </w:rPr>
        <w:t>；</w:t>
      </w:r>
      <w:r>
        <w:rPr>
          <w:rFonts w:hint="default"/>
          <w:color w:val="auto"/>
          <w:lang w:val="en-US" w:eastAsia="zh-CN"/>
        </w:rPr>
        <w:t>防脱板材质为Q235B钢材，防脱板上半部设置圆孔以安装弹簧对自调心顶座起到限位的作用</w:t>
      </w:r>
      <w:r>
        <w:rPr>
          <w:rFonts w:hint="eastAsia"/>
          <w:color w:val="auto"/>
          <w:lang w:val="en-US" w:eastAsia="zh-CN"/>
        </w:rPr>
        <w:t>；</w:t>
      </w:r>
      <w:r>
        <w:rPr>
          <w:rFonts w:hint="default"/>
          <w:color w:val="auto"/>
          <w:lang w:val="en-US" w:eastAsia="zh-CN"/>
        </w:rPr>
        <w:t>中间座为三角形支腿状，优选40Cr钢，顶部中心设置凹槽，与自调心球头同径；三角支腿分别设有凹槽，与下部钢球直接摩擦接触，支腿侧向设有油孔，以便施工过程中黄油润滑注入。钢球尺寸为Φ100mm，转动直径为500mm，放入中间座支腿凹槽内，与地面直接接触</w:t>
      </w:r>
      <w:r>
        <w:rPr>
          <w:rFonts w:hint="eastAsia"/>
          <w:color w:val="auto"/>
          <w:lang w:val="en-US" w:eastAsia="zh-CN"/>
        </w:rPr>
        <w:t>；</w:t>
      </w:r>
      <w:r>
        <w:rPr>
          <w:rFonts w:hint="default"/>
          <w:color w:val="auto"/>
          <w:lang w:val="en-US" w:eastAsia="zh-CN"/>
        </w:rPr>
        <w:t>钢球防脱圈材质优选Q235B钢材，通过螺栓与中间座连接，主要防止钢球脱落。</w:t>
      </w:r>
    </w:p>
    <w:p>
      <w:pPr>
        <w:pStyle w:val="3"/>
        <w:spacing w:beforeLines="100" w:afterLines="100" w:line="240" w:lineRule="auto"/>
        <w:rPr>
          <w:rFonts w:hint="default" w:ascii="黑体" w:hAnsi="黑体" w:cs="Times New Roman"/>
          <w:b w:val="0"/>
          <w:sz w:val="21"/>
          <w:szCs w:val="21"/>
          <w:lang w:val="en-US" w:eastAsia="zh-CN"/>
        </w:rPr>
      </w:pPr>
      <w:r>
        <w:rPr>
          <w:rFonts w:hint="eastAsia" w:ascii="黑体" w:hAnsi="黑体" w:cs="Times New Roman"/>
          <w:b w:val="0"/>
          <w:sz w:val="21"/>
          <w:szCs w:val="21"/>
          <w:lang w:val="en-US" w:eastAsia="zh-CN"/>
        </w:rPr>
        <w:t>6 钢套筒安拆</w:t>
      </w:r>
    </w:p>
    <w:p>
      <w:pPr>
        <w:pStyle w:val="111"/>
        <w:numPr>
          <w:ilvl w:val="2"/>
          <w:numId w:val="0"/>
        </w:numPr>
        <w:spacing w:before="156" w:after="156"/>
        <w:ind w:leftChars="0"/>
        <w:rPr>
          <w:rFonts w:hint="default"/>
          <w:color w:val="auto"/>
          <w:lang w:val="en-US" w:eastAsia="zh-CN"/>
        </w:rPr>
      </w:pPr>
      <w:r>
        <w:rPr>
          <w:rFonts w:hint="eastAsia"/>
          <w:color w:val="auto"/>
          <w:lang w:val="en-US" w:eastAsia="zh-CN"/>
        </w:rPr>
        <w:t>6.2 钢套筒组装</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default"/>
          <w:color w:val="auto"/>
          <w:lang w:val="en-US" w:eastAsia="zh-CN"/>
        </w:rPr>
      </w:pPr>
      <w:r>
        <w:rPr>
          <w:rFonts w:hint="eastAsia"/>
          <w:color w:val="auto"/>
          <w:lang w:val="en-US" w:eastAsia="zh-CN"/>
        </w:rPr>
        <w:t xml:space="preserve">6.2.2 </w:t>
      </w:r>
      <w:r>
        <w:rPr>
          <w:rFonts w:hint="default"/>
          <w:color w:val="auto"/>
          <w:lang w:val="en-US" w:eastAsia="zh-CN"/>
        </w:rPr>
        <w:t>工作井内与钢套筒安装相关的预埋件包括：工作井底板预埋钢套筒支墩焊接钢板、反力架焊接定位钢板、筒体侧边斜撑钢板、工作井侧墙预埋钢套筒筒体支撑钢板、明挖暗埋段端墙埋设反力架支撑焊接钢板等。</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color w:val="auto"/>
          <w:lang w:val="en-US" w:eastAsia="zh-CN"/>
        </w:rPr>
      </w:pPr>
      <w:r>
        <w:rPr>
          <w:rFonts w:hint="eastAsia"/>
          <w:color w:val="auto"/>
          <w:lang w:val="en-US" w:eastAsia="zh-CN"/>
        </w:rPr>
        <w:t>6.2.4 钢套筒定位应满足下列要求：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eastAsia"/>
          <w:color w:val="auto"/>
          <w:lang w:val="en-US" w:eastAsia="zh-CN"/>
        </w:rPr>
      </w:pPr>
      <w:r>
        <w:rPr>
          <w:rFonts w:hint="eastAsia"/>
          <w:color w:val="auto"/>
          <w:lang w:val="en-US" w:eastAsia="zh-CN"/>
        </w:rPr>
        <w:t>b) 短线匹配法是借鉴节段预制梁以单个相邻节段为单元的匹配预制工艺工法。</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color w:val="auto"/>
          <w:lang w:val="en-US" w:eastAsia="zh-CN"/>
        </w:rPr>
      </w:pPr>
      <w:r>
        <w:rPr>
          <w:rFonts w:hint="eastAsia"/>
          <w:color w:val="auto"/>
          <w:lang w:val="en-US" w:eastAsia="zh-CN"/>
        </w:rPr>
        <w:t>6.2.5 钢套筒组装过程应满足下列要求：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default"/>
          <w:color w:val="auto"/>
          <w:lang w:val="en-US" w:eastAsia="zh-CN"/>
        </w:rPr>
        <w:t xml:space="preserve">g) </w:t>
      </w:r>
      <w:r>
        <w:rPr>
          <w:rFonts w:hint="eastAsia"/>
          <w:color w:val="auto"/>
          <w:lang w:val="en-US" w:eastAsia="zh-CN"/>
        </w:rPr>
        <w:t>液压油缸数量与规格选择根据盾构始发阶段推力确定，</w:t>
      </w:r>
      <w:r>
        <w:rPr>
          <w:rFonts w:hint="default"/>
          <w:color w:val="auto"/>
          <w:lang w:val="en-US" w:eastAsia="zh-CN"/>
        </w:rPr>
        <w:t>油缸主要起到以下作用：钢套筒组装时施加预紧力消除钢套筒分块螺栓连接应力，进行螺栓复紧；施加推力，增强反力架与钢套筒整体性；钢套筒拆除时回缩释放钢套筒应力，便于反力架的拆除。</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default"/>
          <w:color w:val="auto"/>
          <w:lang w:val="en-US" w:eastAsia="zh-CN"/>
        </w:rPr>
      </w:pPr>
      <w:r>
        <w:rPr>
          <w:rFonts w:hint="eastAsia"/>
          <w:color w:val="auto"/>
          <w:lang w:val="en-US" w:eastAsia="zh-CN"/>
        </w:rPr>
        <w:t xml:space="preserve">6.2.6 </w:t>
      </w:r>
      <w:r>
        <w:rPr>
          <w:rFonts w:hint="eastAsia"/>
          <w:color w:val="auto"/>
        </w:rPr>
        <w:t>钢套筒支撑安装时应符合下列要求：</w:t>
      </w:r>
    </w:p>
    <w:p>
      <w:pPr>
        <w:pStyle w:val="62"/>
        <w:keepNext w:val="0"/>
        <w:keepLines w:val="0"/>
        <w:pageBreakBefore w:val="0"/>
        <w:widowControl/>
        <w:kinsoku/>
        <w:wordWrap/>
        <w:overflowPunct/>
        <w:topLinePunct w:val="0"/>
        <w:autoSpaceDE w:val="0"/>
        <w:autoSpaceDN w:val="0"/>
        <w:bidi w:val="0"/>
        <w:adjustRightInd/>
        <w:snapToGrid/>
        <w:spacing w:line="240" w:lineRule="auto"/>
        <w:ind w:firstLine="420"/>
        <w:textAlignment w:val="auto"/>
        <w:outlineLvl w:val="9"/>
        <w:rPr>
          <w:rFonts w:hint="default"/>
          <w:color w:val="auto"/>
          <w:lang w:val="en-US" w:eastAsia="zh-CN"/>
        </w:rPr>
      </w:pPr>
      <w:r>
        <w:rPr>
          <w:rFonts w:hint="eastAsia"/>
          <w:color w:val="auto"/>
          <w:lang w:val="en-US" w:eastAsia="zh-CN"/>
        </w:rPr>
        <w:t>d)</w:t>
      </w:r>
      <w:r>
        <w:rPr>
          <w:rFonts w:hint="default"/>
          <w:color w:val="auto"/>
          <w:lang w:val="en-US" w:eastAsia="zh-CN"/>
        </w:rPr>
        <w:t xml:space="preserve"> </w:t>
      </w:r>
      <w:r>
        <w:rPr>
          <w:rFonts w:hint="eastAsia"/>
          <w:color w:val="auto"/>
          <w:lang w:val="en-US" w:eastAsia="zh-CN"/>
        </w:rPr>
        <w:t>钢套筒辅助盾构接收阶段，安装平底封盖使钢套筒结构与地层形成密闭空间，盾构爬升进行钢套筒内部接收阶段，未排出渣土堆积可能对平底封盖产生较大压力，因此需安装支撑同时对其变形进行监测。</w:t>
      </w:r>
    </w:p>
    <w:p>
      <w:pPr>
        <w:pStyle w:val="3"/>
        <w:spacing w:beforeLines="100" w:afterLines="100" w:line="240" w:lineRule="auto"/>
        <w:rPr>
          <w:rFonts w:hint="eastAsia" w:ascii="黑体" w:hAnsi="黑体" w:cs="Times New Roman"/>
          <w:b w:val="0"/>
          <w:sz w:val="21"/>
          <w:szCs w:val="21"/>
          <w:lang w:val="en-US" w:eastAsia="zh-CN"/>
        </w:rPr>
      </w:pPr>
      <w:r>
        <w:rPr>
          <w:rFonts w:hint="eastAsia" w:ascii="黑体" w:hAnsi="黑体" w:cs="Times New Roman"/>
          <w:b w:val="0"/>
          <w:sz w:val="21"/>
          <w:szCs w:val="21"/>
          <w:lang w:val="en-US" w:eastAsia="zh-CN"/>
        </w:rPr>
        <w:t>9 钢套筒辅助盾构平移转体</w:t>
      </w:r>
    </w:p>
    <w:p>
      <w:pPr>
        <w:pStyle w:val="111"/>
        <w:numPr>
          <w:ilvl w:val="2"/>
          <w:numId w:val="0"/>
        </w:numPr>
        <w:spacing w:before="156" w:after="156"/>
        <w:ind w:leftChars="0"/>
        <w:rPr>
          <w:rFonts w:hint="default"/>
          <w:color w:val="auto"/>
          <w:lang w:val="en-US" w:eastAsia="zh-CN"/>
        </w:rPr>
      </w:pPr>
      <w:r>
        <w:rPr>
          <w:rFonts w:hint="eastAsia"/>
          <w:color w:val="auto"/>
          <w:lang w:val="en-US" w:eastAsia="zh-CN"/>
        </w:rPr>
        <w:t>9.1 一般规定</w:t>
      </w:r>
    </w:p>
    <w:p>
      <w:pPr>
        <w:rPr>
          <w:rFonts w:hint="default"/>
          <w:color w:val="auto"/>
          <w:lang w:val="en-US" w:eastAsia="zh-CN"/>
        </w:rPr>
      </w:pPr>
      <w:r>
        <w:rPr>
          <w:rFonts w:hint="eastAsia"/>
          <w:color w:val="auto"/>
          <w:lang w:val="en-US" w:eastAsia="zh-CN"/>
        </w:rPr>
        <w:t>9.1.1 本条规定的平移转体路径是指在盾构完成接收后、平移转体前，需结合工作井内部空间尺寸、平移转体构件尺寸等要求，提前进行规划的路径。以某隧道项目平移转体施工为例，示意平移和转体路径如下图5。</w:t>
      </w:r>
    </w:p>
    <w:p>
      <w:pPr>
        <w:pStyle w:val="238"/>
        <w:adjustRightInd/>
        <w:spacing w:line="360" w:lineRule="auto"/>
        <w:ind w:left="840" w:firstLine="0" w:firstLineChars="0"/>
        <w:jc w:val="center"/>
        <w:rPr>
          <w:rFonts w:ascii="宋体" w:hAnsi="宋体" w:cs="宋体"/>
          <w:color w:val="auto"/>
          <w:kern w:val="0"/>
          <w:szCs w:val="16"/>
        </w:rPr>
      </w:pPr>
      <w:r>
        <w:rPr>
          <w:rFonts w:hint="eastAsia" w:ascii="黑体" w:hAnsi="黑体" w:eastAsia="黑体" w:cs="黑体"/>
          <w:color w:val="auto"/>
        </w:rPr>
        <w:drawing>
          <wp:inline distT="0" distB="0" distL="0" distR="0">
            <wp:extent cx="4839335" cy="2287905"/>
            <wp:effectExtent l="0" t="0" r="0" b="0"/>
            <wp:docPr id="17"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true" noChangeArrowheads="true"/>
                    </pic:cNvPicPr>
                  </pic:nvPicPr>
                  <pic:blipFill>
                    <a:blip r:embed="rId22">
                      <a:grayscl/>
                      <a:extLst>
                        <a:ext uri="{28A0092B-C50C-407E-A947-70E740481C1C}">
                          <a14:useLocalDpi xmlns:a14="http://schemas.microsoft.com/office/drawing/2010/main" val="false"/>
                        </a:ext>
                      </a:extLst>
                    </a:blip>
                    <a:srcRect/>
                    <a:stretch>
                      <a:fillRect/>
                    </a:stretch>
                  </pic:blipFill>
                  <pic:spPr>
                    <a:xfrm>
                      <a:off x="0" y="0"/>
                      <a:ext cx="4839335" cy="2287905"/>
                    </a:xfrm>
                    <a:prstGeom prst="rect">
                      <a:avLst/>
                    </a:prstGeom>
                    <a:noFill/>
                    <a:ln>
                      <a:noFill/>
                    </a:ln>
                    <a:effectLst/>
                  </pic:spPr>
                </pic:pic>
              </a:graphicData>
            </a:graphic>
          </wp:inline>
        </w:drawing>
      </w:r>
    </w:p>
    <w:p>
      <w:pPr>
        <w:pStyle w:val="62"/>
        <w:jc w:val="center"/>
        <w:rPr>
          <w:rFonts w:hint="eastAsia"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图5 钢套筒平移路径示意</w:t>
      </w:r>
    </w:p>
    <w:p>
      <w:pPr>
        <w:pStyle w:val="238"/>
        <w:adjustRightInd/>
        <w:spacing w:line="360" w:lineRule="auto"/>
        <w:ind w:left="840" w:firstLine="0" w:firstLineChars="0"/>
        <w:jc w:val="center"/>
        <w:rPr>
          <w:rFonts w:ascii="宋体" w:hAnsi="宋体" w:cs="宋体"/>
          <w:color w:val="auto"/>
          <w:kern w:val="0"/>
          <w:szCs w:val="16"/>
        </w:rPr>
      </w:pPr>
      <w:r>
        <w:rPr>
          <w:rFonts w:hint="eastAsia" w:ascii="黑体" w:hAnsi="黑体" w:eastAsia="黑体" w:cs="黑体"/>
          <w:color w:val="auto"/>
        </w:rPr>
        <w:drawing>
          <wp:inline distT="0" distB="0" distL="0" distR="0">
            <wp:extent cx="2783205" cy="2583180"/>
            <wp:effectExtent l="0" t="0" r="5715" b="7620"/>
            <wp:docPr id="18" name="图片 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true" noChangeArrowheads="true"/>
                    </pic:cNvPicPr>
                  </pic:nvPicPr>
                  <pic:blipFill>
                    <a:blip r:embed="rId23">
                      <a:grayscl/>
                      <a:extLst>
                        <a:ext uri="{28A0092B-C50C-407E-A947-70E740481C1C}">
                          <a14:useLocalDpi xmlns:a14="http://schemas.microsoft.com/office/drawing/2010/main" val="false"/>
                        </a:ext>
                      </a:extLst>
                    </a:blip>
                    <a:srcRect/>
                    <a:stretch>
                      <a:fillRect/>
                    </a:stretch>
                  </pic:blipFill>
                  <pic:spPr>
                    <a:xfrm>
                      <a:off x="0" y="0"/>
                      <a:ext cx="2783205" cy="2583180"/>
                    </a:xfrm>
                    <a:prstGeom prst="rect">
                      <a:avLst/>
                    </a:prstGeom>
                    <a:noFill/>
                    <a:ln>
                      <a:noFill/>
                    </a:ln>
                    <a:effectLst/>
                  </pic:spPr>
                </pic:pic>
              </a:graphicData>
            </a:graphic>
          </wp:inline>
        </w:drawing>
      </w:r>
    </w:p>
    <w:p>
      <w:pPr>
        <w:pStyle w:val="62"/>
        <w:jc w:val="center"/>
        <w:rPr>
          <w:rFonts w:hint="eastAsia"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图6 钢套筒转体路径示意</w:t>
      </w:r>
    </w:p>
    <w:p>
      <w:pPr>
        <w:pStyle w:val="3"/>
        <w:spacing w:beforeLines="100" w:afterLines="100" w:line="240" w:lineRule="auto"/>
        <w:rPr>
          <w:rFonts w:hint="eastAsia" w:ascii="黑体" w:hAnsi="黑体" w:cs="Times New Roman"/>
          <w:b w:val="0"/>
          <w:sz w:val="21"/>
          <w:szCs w:val="21"/>
          <w:lang w:val="en-US" w:eastAsia="zh-CN"/>
        </w:rPr>
      </w:pPr>
      <w:r>
        <w:rPr>
          <w:rFonts w:hint="eastAsia" w:ascii="黑体" w:hAnsi="黑体" w:cs="Times New Roman"/>
          <w:b w:val="0"/>
          <w:sz w:val="21"/>
          <w:szCs w:val="21"/>
          <w:lang w:val="en-US" w:eastAsia="zh-CN"/>
        </w:rPr>
        <w:t>10 钢套筒监测</w:t>
      </w:r>
    </w:p>
    <w:p>
      <w:pPr>
        <w:pStyle w:val="111"/>
        <w:numPr>
          <w:ilvl w:val="2"/>
          <w:numId w:val="0"/>
        </w:numPr>
        <w:spacing w:before="156" w:after="156"/>
        <w:ind w:leftChars="0"/>
        <w:rPr>
          <w:rFonts w:hint="eastAsia"/>
          <w:color w:val="auto"/>
          <w:lang w:val="en-US" w:eastAsia="zh-CN"/>
        </w:rPr>
      </w:pPr>
      <w:r>
        <w:rPr>
          <w:rFonts w:hint="eastAsia"/>
          <w:color w:val="auto"/>
          <w:lang w:val="en-US" w:eastAsia="zh-CN"/>
        </w:rPr>
        <w:t>10.1 一般规定</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default"/>
          <w:color w:val="auto"/>
          <w:lang w:val="en-US" w:eastAsia="zh-CN"/>
        </w:rPr>
      </w:pPr>
      <w:r>
        <w:rPr>
          <w:rFonts w:hint="eastAsia"/>
          <w:color w:val="auto"/>
          <w:lang w:val="en-US" w:eastAsia="zh-CN"/>
        </w:rPr>
        <w:t xml:space="preserve">10.1.3 </w:t>
      </w:r>
      <w:r>
        <w:rPr>
          <w:rFonts w:hint="default"/>
          <w:color w:val="auto"/>
          <w:lang w:val="en-US" w:eastAsia="zh-CN"/>
        </w:rPr>
        <w:t>钢套筒监测系统用于监测钢套筒及反力架结构的健康状况以及整体平移转体过程监测，</w:t>
      </w:r>
      <w:r>
        <w:rPr>
          <w:rFonts w:hint="eastAsia"/>
          <w:color w:val="auto"/>
          <w:lang w:val="en-US" w:eastAsia="zh-CN"/>
        </w:rPr>
        <w:t>整体框架组成可参考图7，</w:t>
      </w:r>
      <w:r>
        <w:rPr>
          <w:rFonts w:hint="default"/>
          <w:color w:val="auto"/>
          <w:lang w:val="en-US" w:eastAsia="zh-CN"/>
        </w:rPr>
        <w:t>主要包括数据采集模块、数据传输模块和PC端，便于技术人员实时监测始发过程中钢套筒的健康状况，并作出数据分析和预警。</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rFonts w:hint="default"/>
          <w:color w:val="auto"/>
          <w:lang w:val="en-US" w:eastAsia="zh-CN"/>
        </w:rPr>
      </w:pPr>
      <w:r>
        <w:rPr>
          <w:rFonts w:hint="default"/>
          <w:color w:val="auto"/>
          <w:lang w:val="en-US" w:eastAsia="zh-CN"/>
        </w:rPr>
        <w:t>采用自动化监测元件对钢套筒筒身及连接处、反力架支撑进行监测布点并采集数据，利用无线传输技术，通过数据信息采集箱将数据实时传输至PC端，再结合钢套筒变形监测预警阈值和三维模型建立三维模型网页平台，进行整体变形自动化监测。</w:t>
      </w:r>
    </w:p>
    <w:p>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黑体" w:hAnsi="黑体" w:eastAsia="黑体" w:cs="黑体"/>
          <w:color w:val="auto"/>
          <w:sz w:val="24"/>
          <w:szCs w:val="22"/>
        </w:rPr>
      </w:pPr>
      <w:r>
        <w:rPr>
          <w:rFonts w:hint="eastAsia" w:ascii="黑体" w:hAnsi="黑体" w:eastAsia="黑体" w:cs="黑体"/>
          <w:color w:val="auto"/>
          <w:sz w:val="24"/>
          <w:szCs w:val="22"/>
        </w:rPr>
        <w:drawing>
          <wp:inline distT="0" distB="0" distL="0" distR="0">
            <wp:extent cx="3856990" cy="2134235"/>
            <wp:effectExtent l="0" t="0" r="13970" b="1460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24" cstate="print">
                      <a:grayscl/>
                      <a:extLst>
                        <a:ext uri="{28A0092B-C50C-407E-A947-70E740481C1C}">
                          <a14:useLocalDpi xmlns:a14="http://schemas.microsoft.com/office/drawing/2010/main" val="false"/>
                        </a:ext>
                      </a:extLst>
                    </a:blip>
                    <a:srcRect/>
                    <a:stretch>
                      <a:fillRect/>
                    </a:stretch>
                  </pic:blipFill>
                  <pic:spPr>
                    <a:xfrm>
                      <a:off x="0" y="0"/>
                      <a:ext cx="3856990" cy="21342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default" w:ascii="黑体" w:hAnsi="黑体" w:eastAsia="黑体" w:cs="黑体"/>
          <w:color w:val="auto"/>
          <w:sz w:val="24"/>
          <w:szCs w:val="22"/>
          <w:lang w:val="en-US" w:eastAsia="zh-CN"/>
        </w:rPr>
      </w:pPr>
    </w:p>
    <w:p>
      <w:pPr>
        <w:pStyle w:val="62"/>
        <w:jc w:val="center"/>
        <w:rPr>
          <w:rFonts w:hint="default" w:ascii="黑体" w:hAnsi="黑体" w:eastAsia="黑体" w:cs="黑体"/>
          <w:color w:val="auto"/>
          <w:sz w:val="21"/>
          <w:lang w:val="en-US" w:eastAsia="zh-CN" w:bidi="ar-SA"/>
        </w:rPr>
      </w:pPr>
      <w:r>
        <w:rPr>
          <w:rFonts w:hint="eastAsia" w:ascii="黑体" w:hAnsi="黑体" w:eastAsia="黑体" w:cs="黑体"/>
          <w:color w:val="auto"/>
          <w:sz w:val="21"/>
          <w:lang w:val="en-US" w:eastAsia="zh-CN" w:bidi="ar-SA"/>
        </w:rPr>
        <w:t>图7 钢套筒自动化监测系统整体构架</w:t>
      </w:r>
    </w:p>
    <w:p>
      <w:pPr>
        <w:pStyle w:val="12"/>
        <w:adjustRightInd/>
        <w:spacing w:line="360" w:lineRule="auto"/>
        <w:ind w:firstLine="0"/>
        <w:jc w:val="center"/>
        <w:rPr>
          <w:rFonts w:hint="eastAsia" w:ascii="Times New Roman" w:hAnsi="Times New Roman" w:eastAsia="黑体"/>
          <w:bCs/>
          <w:color w:val="auto"/>
          <w:sz w:val="24"/>
          <w:szCs w:val="24"/>
          <w:lang w:val="en-US" w:eastAsia="zh-CN"/>
        </w:rPr>
      </w:pPr>
      <w:r>
        <w:rPr>
          <w:sz w:val="24"/>
        </w:rPr>
        <mc:AlternateContent>
          <mc:Choice Requires="wps">
            <w:drawing>
              <wp:anchor distT="0" distB="0" distL="114300" distR="114300" simplePos="0" relativeHeight="251664384" behindDoc="0" locked="0" layoutInCell="1" allowOverlap="1">
                <wp:simplePos x="0" y="0"/>
                <wp:positionH relativeFrom="column">
                  <wp:posOffset>481965</wp:posOffset>
                </wp:positionH>
                <wp:positionV relativeFrom="paragraph">
                  <wp:posOffset>422910</wp:posOffset>
                </wp:positionV>
                <wp:extent cx="4850765" cy="0"/>
                <wp:effectExtent l="0" t="0" r="0" b="0"/>
                <wp:wrapNone/>
                <wp:docPr id="1" name="直接连接符 1"/>
                <wp:cNvGraphicFramePr/>
                <a:graphic xmlns:a="http://schemas.openxmlformats.org/drawingml/2006/main">
                  <a:graphicData uri="http://schemas.microsoft.com/office/word/2010/wordprocessingShape">
                    <wps:wsp>
                      <wps:cNvCnPr/>
                      <wps:spPr>
                        <a:xfrm>
                          <a:off x="1382395" y="9274810"/>
                          <a:ext cx="4850765" cy="0"/>
                        </a:xfrm>
                        <a:prstGeom prst="line">
                          <a:avLst/>
                        </a:prstGeom>
                        <a:noFill/>
                        <a:ln w="12700">
                          <a:solidFill>
                            <a:schemeClr val="tx1"/>
                          </a:solidFill>
                          <a:round/>
                        </a:ln>
                      </wps:spPr>
                      <wps:bodyPr/>
                    </wps:wsp>
                  </a:graphicData>
                </a:graphic>
              </wp:anchor>
            </w:drawing>
          </mc:Choice>
          <mc:Fallback>
            <w:pict>
              <v:line id="_x0000_s1026" o:spid="_x0000_s1026" o:spt="20" style="position:absolute;left:0pt;margin-left:37.95pt;margin-top:33.3pt;height:0pt;width:381.95pt;z-index:251664384;mso-width-relative:page;mso-height-relative:page;" filled="f" stroked="t" coordsize="21600,21600" o:gfxdata="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PqFMmfXAAAACAEAAA8AAAAAAAAAAQAgAAAAOAAAAGRycy9kb3du&#10;cmV2LnhtbFBLAQIUABQAAAAIAIdO4kC47WBpsQEAACkDAAAOAAAAAAAAAAEAIAAAADwBAABkcnMv&#10;ZTJvRG9jLnhtbFBLBQYAAAAABgAGAFkBAABfBQAAAAA=&#10;">
                <v:fill on="f" focussize="0,0"/>
                <v:stroke weight="1pt" color="#000000 [3213]" joinstyle="round"/>
                <v:imagedata o:title=""/>
                <o:lock v:ext="edit" aspectratio="f"/>
              </v:line>
            </w:pict>
          </mc:Fallback>
        </mc:AlternateContent>
      </w:r>
    </w:p>
    <w:p>
      <w:pPr>
        <w:pStyle w:val="62"/>
        <w:ind w:firstLine="0" w:firstLineChars="0"/>
        <w:jc w:val="center"/>
        <w:outlineLvl w:val="0"/>
        <w:rPr>
          <w:rFonts w:hint="eastAsia" w:ascii="黑体" w:hAnsi="黑体" w:eastAsia="黑体"/>
          <w:color w:val="auto"/>
          <w:kern w:val="2"/>
          <w:sz w:val="32"/>
          <w:szCs w:val="32"/>
        </w:rPr>
        <w:sectPr>
          <w:pgSz w:w="11906" w:h="16838"/>
          <w:pgMar w:top="1928" w:right="1134" w:bottom="1134" w:left="1134" w:header="1418" w:footer="1134" w:gutter="284"/>
          <w:pgNumType w:fmt="decimal"/>
          <w:cols w:space="425" w:num="1"/>
          <w:formProt w:val="0"/>
          <w:docGrid w:type="lines" w:linePitch="312" w:charSpace="0"/>
        </w:sectPr>
      </w:pPr>
    </w:p>
    <w:p>
      <w:pPr>
        <w:pStyle w:val="62"/>
      </w:pPr>
    </w:p>
    <w:sectPr>
      <w:pgSz w:w="11906" w:h="16838"/>
      <w:pgMar w:top="1928" w:right="1134" w:bottom="1134" w:left="1134" w:header="1418"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Calibri Light">
    <w:altName w:val="DejaVu Sans"/>
    <w:panose1 w:val="020F0302020204030204"/>
    <w:charset w:val="00"/>
    <w:family w:val="swiss"/>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
                          </w:pPr>
                          <w:r>
                            <w:fldChar w:fldCharType="begin"/>
                          </w:r>
                          <w:r>
                            <w:instrText xml:space="preserve">PAGE   \* MERGEFORMAT</w:instrText>
                          </w:r>
                          <w:r>
                            <w:fldChar w:fldCharType="separate"/>
                          </w:r>
                          <w:r>
                            <w:rPr>
                              <w:lang w:val="zh-CN"/>
                            </w:rPr>
                            <w:t>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58"/>
                    </w:pPr>
                    <w:r>
                      <w:fldChar w:fldCharType="begin"/>
                    </w:r>
                    <w:r>
                      <w:instrText xml:space="preserve">PAGE   \* MERGEFORMAT</w:instrText>
                    </w:r>
                    <w:r>
                      <w:fldChar w:fldCharType="separate"/>
                    </w:r>
                    <w:r>
                      <w:rPr>
                        <w:lang w:val="zh-CN"/>
                      </w:rPr>
                      <w:t>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DBXX/TXXXX—XXXX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lang w:val="fr-FR"/>
      </w:rPr>
    </w:pPr>
    <w:r>
      <w:fldChar w:fldCharType="begin"/>
    </w:r>
    <w:r>
      <w:instrText xml:space="preserve"> STYLEREF  标准文件_文件编号  \* MERGEFORMAT </w:instrText>
    </w:r>
    <w:r>
      <w:fldChar w:fldCharType="separate"/>
    </w:r>
    <w:r>
      <w:t>DBXX/TXXXX—XXXX</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61586"/>
    <w:multiLevelType w:val="multilevel"/>
    <w:tmpl w:val="B7B61586"/>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0" w:firstLine="0"/>
      </w:pPr>
      <w:rPr>
        <w:rFonts w:hint="eastAsia" w:ascii="黑体" w:eastAsia="黑体"/>
        <w:b w:val="0"/>
        <w:i w:val="0"/>
        <w:sz w:val="21"/>
      </w:rPr>
    </w:lvl>
    <w:lvl w:ilvl="2" w:tentative="0">
      <w:start w:val="1"/>
      <w:numFmt w:val="decimal"/>
      <w:pStyle w:val="11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1"/>
      <w:suff w:val="nothing"/>
      <w:lvlText w:val="%1%2.%3.%4　"/>
      <w:lvlJc w:val="left"/>
      <w:pPr>
        <w:ind w:left="0"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3984D1F8"/>
    <w:multiLevelType w:val="multilevel"/>
    <w:tmpl w:val="3984D1F8"/>
    <w:lvl w:ilvl="0" w:tentative="0">
      <w:start w:val="1"/>
      <w:numFmt w:val="none"/>
      <w:pStyle w:val="243"/>
      <w:lvlText w:val=""/>
      <w:lvlJc w:val="left"/>
      <w:pPr>
        <w:ind w:left="420" w:hanging="420"/>
      </w:pPr>
      <w:rPr>
        <w:rFonts w:hint="default"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4C50F90"/>
    <w:multiLevelType w:val="multilevel"/>
    <w:tmpl w:val="44C50F90"/>
    <w:lvl w:ilvl="0" w:tentative="0">
      <w:start w:val="1"/>
      <w:numFmt w:val="lowerLetter"/>
      <w:pStyle w:val="180"/>
      <w:lvlText w:val="%1)"/>
      <w:lvlJc w:val="left"/>
      <w:pPr>
        <w:tabs>
          <w:tab w:val="left" w:pos="851"/>
        </w:tabs>
        <w:ind w:left="851" w:hanging="426"/>
      </w:pPr>
      <w:rPr>
        <w:rFonts w:hint="eastAsia" w:ascii="宋体" w:hAnsi="Times New Roman" w:eastAsia="宋体"/>
        <w:b w:val="0"/>
        <w:strike w:val="0"/>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1">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6"/>
  </w:num>
  <w:num w:numId="4">
    <w:abstractNumId w:val="25"/>
  </w:num>
  <w:num w:numId="5">
    <w:abstractNumId w:val="20"/>
  </w:num>
  <w:num w:numId="6">
    <w:abstractNumId w:val="15"/>
  </w:num>
  <w:num w:numId="7">
    <w:abstractNumId w:val="9"/>
  </w:num>
  <w:num w:numId="8">
    <w:abstractNumId w:val="4"/>
  </w:num>
  <w:num w:numId="9">
    <w:abstractNumId w:val="10"/>
  </w:num>
  <w:num w:numId="10">
    <w:abstractNumId w:val="18"/>
  </w:num>
  <w:num w:numId="11">
    <w:abstractNumId w:val="27"/>
  </w:num>
  <w:num w:numId="12">
    <w:abstractNumId w:val="12"/>
  </w:num>
  <w:num w:numId="13">
    <w:abstractNumId w:val="14"/>
  </w:num>
  <w:num w:numId="14">
    <w:abstractNumId w:val="8"/>
  </w:num>
  <w:num w:numId="15">
    <w:abstractNumId w:val="21"/>
  </w:num>
  <w:num w:numId="16">
    <w:abstractNumId w:val="23"/>
  </w:num>
  <w:num w:numId="17">
    <w:abstractNumId w:val="19"/>
  </w:num>
  <w:num w:numId="18">
    <w:abstractNumId w:val="31"/>
  </w:num>
  <w:num w:numId="19">
    <w:abstractNumId w:val="17"/>
  </w:num>
  <w:num w:numId="20">
    <w:abstractNumId w:val="2"/>
  </w:num>
  <w:num w:numId="21">
    <w:abstractNumId w:val="11"/>
  </w:num>
  <w:num w:numId="22">
    <w:abstractNumId w:val="32"/>
  </w:num>
  <w:num w:numId="23">
    <w:abstractNumId w:val="22"/>
  </w:num>
  <w:num w:numId="24">
    <w:abstractNumId w:val="7"/>
  </w:num>
  <w:num w:numId="25">
    <w:abstractNumId w:val="28"/>
  </w:num>
  <w:num w:numId="26">
    <w:abstractNumId w:val="30"/>
  </w:num>
  <w:num w:numId="27">
    <w:abstractNumId w:val="3"/>
  </w:num>
  <w:num w:numId="28">
    <w:abstractNumId w:val="5"/>
  </w:num>
  <w:num w:numId="29">
    <w:abstractNumId w:val="16"/>
  </w:num>
  <w:num w:numId="30">
    <w:abstractNumId w:val="26"/>
  </w:num>
  <w:num w:numId="31">
    <w:abstractNumId w:val="24"/>
  </w:num>
  <w:num w:numId="32">
    <w:abstractNumId w:val="13"/>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attachedTemplate r:id="rId1"/>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iYmYwMDA3NjM0MmUxOWZmY2ZlNTY3NWQ0OTlkY2EifQ=="/>
  </w:docVars>
  <w:rsids>
    <w:rsidRoot w:val="004C6A70"/>
    <w:rsid w:val="0000040A"/>
    <w:rsid w:val="00000A94"/>
    <w:rsid w:val="00001972"/>
    <w:rsid w:val="00001D9A"/>
    <w:rsid w:val="00003239"/>
    <w:rsid w:val="00007B3A"/>
    <w:rsid w:val="000107E0"/>
    <w:rsid w:val="00011FDE"/>
    <w:rsid w:val="00012FFD"/>
    <w:rsid w:val="00013BF6"/>
    <w:rsid w:val="00014162"/>
    <w:rsid w:val="00014340"/>
    <w:rsid w:val="00016A9C"/>
    <w:rsid w:val="0001706A"/>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5E"/>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8E3"/>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2264"/>
    <w:rsid w:val="000E4C9E"/>
    <w:rsid w:val="000E6FD7"/>
    <w:rsid w:val="000F06E1"/>
    <w:rsid w:val="000F0E3C"/>
    <w:rsid w:val="000F19D5"/>
    <w:rsid w:val="000F4AEA"/>
    <w:rsid w:val="000F633F"/>
    <w:rsid w:val="000F63A7"/>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44C"/>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1B28"/>
    <w:rsid w:val="001F2508"/>
    <w:rsid w:val="001F4816"/>
    <w:rsid w:val="001F4EE9"/>
    <w:rsid w:val="001F69B4"/>
    <w:rsid w:val="001F77C7"/>
    <w:rsid w:val="00200183"/>
    <w:rsid w:val="00200333"/>
    <w:rsid w:val="0020107D"/>
    <w:rsid w:val="00202AA4"/>
    <w:rsid w:val="002031F7"/>
    <w:rsid w:val="002036C0"/>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54F0"/>
    <w:rsid w:val="00246021"/>
    <w:rsid w:val="0024666E"/>
    <w:rsid w:val="00247F52"/>
    <w:rsid w:val="00250B25"/>
    <w:rsid w:val="00250BBE"/>
    <w:rsid w:val="002515C2"/>
    <w:rsid w:val="0025194F"/>
    <w:rsid w:val="0026148A"/>
    <w:rsid w:val="00262696"/>
    <w:rsid w:val="00263D25"/>
    <w:rsid w:val="002643C3"/>
    <w:rsid w:val="00264A0C"/>
    <w:rsid w:val="002659A0"/>
    <w:rsid w:val="00266EEB"/>
    <w:rsid w:val="00267EF4"/>
    <w:rsid w:val="00270CB8"/>
    <w:rsid w:val="00271DC3"/>
    <w:rsid w:val="00272906"/>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5AAE"/>
    <w:rsid w:val="002B7332"/>
    <w:rsid w:val="002B7726"/>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3EAA"/>
    <w:rsid w:val="0030441D"/>
    <w:rsid w:val="00306063"/>
    <w:rsid w:val="00313B85"/>
    <w:rsid w:val="003175E2"/>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76C45"/>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6146"/>
    <w:rsid w:val="003974EB"/>
    <w:rsid w:val="00397CC5"/>
    <w:rsid w:val="003A1582"/>
    <w:rsid w:val="003A4077"/>
    <w:rsid w:val="003B09AD"/>
    <w:rsid w:val="003B1154"/>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073"/>
    <w:rsid w:val="00432DAA"/>
    <w:rsid w:val="004333A9"/>
    <w:rsid w:val="00434305"/>
    <w:rsid w:val="00435DF7"/>
    <w:rsid w:val="0044083F"/>
    <w:rsid w:val="00441AE7"/>
    <w:rsid w:val="00445574"/>
    <w:rsid w:val="004467FB"/>
    <w:rsid w:val="00452D6B"/>
    <w:rsid w:val="00454484"/>
    <w:rsid w:val="0045517B"/>
    <w:rsid w:val="00456187"/>
    <w:rsid w:val="00463B77"/>
    <w:rsid w:val="00463C7B"/>
    <w:rsid w:val="004644A6"/>
    <w:rsid w:val="004659BD"/>
    <w:rsid w:val="00470775"/>
    <w:rsid w:val="004746B1"/>
    <w:rsid w:val="0047583F"/>
    <w:rsid w:val="00475DE8"/>
    <w:rsid w:val="00481C44"/>
    <w:rsid w:val="00483088"/>
    <w:rsid w:val="00484936"/>
    <w:rsid w:val="00485C89"/>
    <w:rsid w:val="00486BE3"/>
    <w:rsid w:val="004905E4"/>
    <w:rsid w:val="00490A89"/>
    <w:rsid w:val="00490AB4"/>
    <w:rsid w:val="00492F02"/>
    <w:rsid w:val="004939AE"/>
    <w:rsid w:val="00497BDA"/>
    <w:rsid w:val="004A12DF"/>
    <w:rsid w:val="004A17E6"/>
    <w:rsid w:val="004A1BA8"/>
    <w:rsid w:val="004A4B57"/>
    <w:rsid w:val="004A63FA"/>
    <w:rsid w:val="004B0272"/>
    <w:rsid w:val="004B2701"/>
    <w:rsid w:val="004B2E1B"/>
    <w:rsid w:val="004B3AA8"/>
    <w:rsid w:val="004B3E93"/>
    <w:rsid w:val="004C1FBC"/>
    <w:rsid w:val="004C3F1D"/>
    <w:rsid w:val="004C41C5"/>
    <w:rsid w:val="004C458D"/>
    <w:rsid w:val="004C6A70"/>
    <w:rsid w:val="004C7556"/>
    <w:rsid w:val="004C7E8B"/>
    <w:rsid w:val="004C7E9D"/>
    <w:rsid w:val="004C7F67"/>
    <w:rsid w:val="004D076D"/>
    <w:rsid w:val="004D0EF1"/>
    <w:rsid w:val="004D2253"/>
    <w:rsid w:val="004D4406"/>
    <w:rsid w:val="004D67C2"/>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50E6"/>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6AF"/>
    <w:rsid w:val="005C29B8"/>
    <w:rsid w:val="005C5F21"/>
    <w:rsid w:val="005C7156"/>
    <w:rsid w:val="005D0672"/>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5F14"/>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412F"/>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32E4"/>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327E"/>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340B"/>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04A"/>
    <w:rsid w:val="008209E6"/>
    <w:rsid w:val="00823303"/>
    <w:rsid w:val="008233B2"/>
    <w:rsid w:val="00823A9F"/>
    <w:rsid w:val="00823C85"/>
    <w:rsid w:val="00825138"/>
    <w:rsid w:val="008269DD"/>
    <w:rsid w:val="00830621"/>
    <w:rsid w:val="008313CD"/>
    <w:rsid w:val="0083348C"/>
    <w:rsid w:val="00835B94"/>
    <w:rsid w:val="008373D3"/>
    <w:rsid w:val="00840617"/>
    <w:rsid w:val="00840F84"/>
    <w:rsid w:val="008418AE"/>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A7723"/>
    <w:rsid w:val="008B0C9C"/>
    <w:rsid w:val="008B162F"/>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556B"/>
    <w:rsid w:val="009416D2"/>
    <w:rsid w:val="009429D5"/>
    <w:rsid w:val="00942BF1"/>
    <w:rsid w:val="00945180"/>
    <w:rsid w:val="00945428"/>
    <w:rsid w:val="0094607B"/>
    <w:rsid w:val="0095337B"/>
    <w:rsid w:val="00953604"/>
    <w:rsid w:val="0095496B"/>
    <w:rsid w:val="009610DC"/>
    <w:rsid w:val="00961490"/>
    <w:rsid w:val="0096381A"/>
    <w:rsid w:val="00965E04"/>
    <w:rsid w:val="009674AD"/>
    <w:rsid w:val="00970CDC"/>
    <w:rsid w:val="00977010"/>
    <w:rsid w:val="00977D02"/>
    <w:rsid w:val="009809BB"/>
    <w:rsid w:val="00980CDB"/>
    <w:rsid w:val="0098364B"/>
    <w:rsid w:val="00987BE6"/>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3560"/>
    <w:rsid w:val="009D36F8"/>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3C1"/>
    <w:rsid w:val="00A36DD1"/>
    <w:rsid w:val="00A4006C"/>
    <w:rsid w:val="00A40091"/>
    <w:rsid w:val="00A4030F"/>
    <w:rsid w:val="00A41C79"/>
    <w:rsid w:val="00A41CB5"/>
    <w:rsid w:val="00A42CDF"/>
    <w:rsid w:val="00A4452E"/>
    <w:rsid w:val="00A4472C"/>
    <w:rsid w:val="00A44E69"/>
    <w:rsid w:val="00A4661E"/>
    <w:rsid w:val="00A55BD6"/>
    <w:rsid w:val="00A55D50"/>
    <w:rsid w:val="00A56898"/>
    <w:rsid w:val="00A57142"/>
    <w:rsid w:val="00A648CD"/>
    <w:rsid w:val="00A6537A"/>
    <w:rsid w:val="00A67866"/>
    <w:rsid w:val="00A70B07"/>
    <w:rsid w:val="00A723F8"/>
    <w:rsid w:val="00A734D3"/>
    <w:rsid w:val="00A77CCB"/>
    <w:rsid w:val="00A829A7"/>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34F1"/>
    <w:rsid w:val="00AB3CB0"/>
    <w:rsid w:val="00AB41D5"/>
    <w:rsid w:val="00AB6309"/>
    <w:rsid w:val="00AB6C5F"/>
    <w:rsid w:val="00AB6F3C"/>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5CB"/>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437"/>
    <w:rsid w:val="00B86677"/>
    <w:rsid w:val="00B87131"/>
    <w:rsid w:val="00B91F68"/>
    <w:rsid w:val="00B939B1"/>
    <w:rsid w:val="00B96D40"/>
    <w:rsid w:val="00B96D4D"/>
    <w:rsid w:val="00B97386"/>
    <w:rsid w:val="00BA263B"/>
    <w:rsid w:val="00BA42B2"/>
    <w:rsid w:val="00BA58D4"/>
    <w:rsid w:val="00BA5B9E"/>
    <w:rsid w:val="00BA7C9A"/>
    <w:rsid w:val="00BB203B"/>
    <w:rsid w:val="00BB5F8F"/>
    <w:rsid w:val="00BB657A"/>
    <w:rsid w:val="00BC1A4E"/>
    <w:rsid w:val="00BC4790"/>
    <w:rsid w:val="00BC511D"/>
    <w:rsid w:val="00BC5DC7"/>
    <w:rsid w:val="00BC6B8B"/>
    <w:rsid w:val="00BC6DD1"/>
    <w:rsid w:val="00BC73D8"/>
    <w:rsid w:val="00BD52D7"/>
    <w:rsid w:val="00BD5AD2"/>
    <w:rsid w:val="00BD7381"/>
    <w:rsid w:val="00BE0188"/>
    <w:rsid w:val="00BE0F0B"/>
    <w:rsid w:val="00BE22F3"/>
    <w:rsid w:val="00BE5B52"/>
    <w:rsid w:val="00BE7101"/>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4E1D"/>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C1B"/>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48B3"/>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5295"/>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754"/>
    <w:rsid w:val="00D45E89"/>
    <w:rsid w:val="00D45E8D"/>
    <w:rsid w:val="00D466AE"/>
    <w:rsid w:val="00D4734F"/>
    <w:rsid w:val="00D51BF3"/>
    <w:rsid w:val="00D530F0"/>
    <w:rsid w:val="00D628E2"/>
    <w:rsid w:val="00D65FFD"/>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93A"/>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3B79"/>
    <w:rsid w:val="00E34A98"/>
    <w:rsid w:val="00E35D1E"/>
    <w:rsid w:val="00E364F9"/>
    <w:rsid w:val="00E365FA"/>
    <w:rsid w:val="00E36789"/>
    <w:rsid w:val="00E36BDB"/>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68FD"/>
    <w:rsid w:val="00EB74DB"/>
    <w:rsid w:val="00EC329E"/>
    <w:rsid w:val="00EC5359"/>
    <w:rsid w:val="00EC562A"/>
    <w:rsid w:val="00ED067A"/>
    <w:rsid w:val="00ED2B50"/>
    <w:rsid w:val="00EE0350"/>
    <w:rsid w:val="00EE0719"/>
    <w:rsid w:val="00EE0E80"/>
    <w:rsid w:val="00EE54A6"/>
    <w:rsid w:val="00EE613F"/>
    <w:rsid w:val="00EE6B21"/>
    <w:rsid w:val="00EE7295"/>
    <w:rsid w:val="00EE7869"/>
    <w:rsid w:val="00EF054A"/>
    <w:rsid w:val="00EF3235"/>
    <w:rsid w:val="00EF7E72"/>
    <w:rsid w:val="00F001D4"/>
    <w:rsid w:val="00F06D37"/>
    <w:rsid w:val="00F07B9D"/>
    <w:rsid w:val="00F11586"/>
    <w:rsid w:val="00F1183B"/>
    <w:rsid w:val="00F11C9F"/>
    <w:rsid w:val="00F12263"/>
    <w:rsid w:val="00F1409D"/>
    <w:rsid w:val="00F14214"/>
    <w:rsid w:val="00F157A9"/>
    <w:rsid w:val="00F25BB6"/>
    <w:rsid w:val="00F26B7E"/>
    <w:rsid w:val="00F27A3B"/>
    <w:rsid w:val="00F33817"/>
    <w:rsid w:val="00F36F0B"/>
    <w:rsid w:val="00F37F4F"/>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0C22"/>
    <w:rsid w:val="00F81141"/>
    <w:rsid w:val="00F833BA"/>
    <w:rsid w:val="00F84FD0"/>
    <w:rsid w:val="00F859A8"/>
    <w:rsid w:val="00F86D87"/>
    <w:rsid w:val="00F9108B"/>
    <w:rsid w:val="00F91349"/>
    <w:rsid w:val="00F93A8A"/>
    <w:rsid w:val="00F95248"/>
    <w:rsid w:val="00F956A9"/>
    <w:rsid w:val="00F963ED"/>
    <w:rsid w:val="00F9654A"/>
    <w:rsid w:val="00F966CF"/>
    <w:rsid w:val="00F96CAE"/>
    <w:rsid w:val="00F96F7C"/>
    <w:rsid w:val="00F97C99"/>
    <w:rsid w:val="00FA4DAC"/>
    <w:rsid w:val="00FA642A"/>
    <w:rsid w:val="00FA662D"/>
    <w:rsid w:val="00FA73B1"/>
    <w:rsid w:val="00FB0CB9"/>
    <w:rsid w:val="00FB231D"/>
    <w:rsid w:val="00FB45F1"/>
    <w:rsid w:val="00FB4A72"/>
    <w:rsid w:val="00FB54E8"/>
    <w:rsid w:val="00FB7054"/>
    <w:rsid w:val="00FC17B7"/>
    <w:rsid w:val="00FC2CB7"/>
    <w:rsid w:val="00FC4090"/>
    <w:rsid w:val="00FC55B4"/>
    <w:rsid w:val="00FC71A6"/>
    <w:rsid w:val="00FD00E6"/>
    <w:rsid w:val="00FD09A1"/>
    <w:rsid w:val="00FD2A7C"/>
    <w:rsid w:val="00FD59EB"/>
    <w:rsid w:val="00FD7299"/>
    <w:rsid w:val="00FE1FBE"/>
    <w:rsid w:val="00FE3901"/>
    <w:rsid w:val="00FE39D3"/>
    <w:rsid w:val="00FE4662"/>
    <w:rsid w:val="00FE4BCE"/>
    <w:rsid w:val="00FE54AE"/>
    <w:rsid w:val="00FE576A"/>
    <w:rsid w:val="00FE7E79"/>
    <w:rsid w:val="00FF3E7D"/>
    <w:rsid w:val="00FF5B99"/>
    <w:rsid w:val="00FF730C"/>
    <w:rsid w:val="00FF73F4"/>
    <w:rsid w:val="00FF7CE4"/>
    <w:rsid w:val="00FF7E39"/>
    <w:rsid w:val="01354000"/>
    <w:rsid w:val="014917C0"/>
    <w:rsid w:val="029E3ED7"/>
    <w:rsid w:val="03AB2E45"/>
    <w:rsid w:val="042A4169"/>
    <w:rsid w:val="06793506"/>
    <w:rsid w:val="073017BC"/>
    <w:rsid w:val="07F814B3"/>
    <w:rsid w:val="098D79E7"/>
    <w:rsid w:val="099A2FF2"/>
    <w:rsid w:val="09DE48A3"/>
    <w:rsid w:val="0AC84BEB"/>
    <w:rsid w:val="0B3E2722"/>
    <w:rsid w:val="0BD17899"/>
    <w:rsid w:val="0D7C4F2C"/>
    <w:rsid w:val="0D9367C3"/>
    <w:rsid w:val="0E475979"/>
    <w:rsid w:val="103E3711"/>
    <w:rsid w:val="11017FF3"/>
    <w:rsid w:val="11CE1DBA"/>
    <w:rsid w:val="12945989"/>
    <w:rsid w:val="139626D4"/>
    <w:rsid w:val="13D84614"/>
    <w:rsid w:val="163300AD"/>
    <w:rsid w:val="17F40A4F"/>
    <w:rsid w:val="1A2564CC"/>
    <w:rsid w:val="1C4F1F0A"/>
    <w:rsid w:val="1C5C2DE5"/>
    <w:rsid w:val="1CE63982"/>
    <w:rsid w:val="1CEB4FD0"/>
    <w:rsid w:val="1CF41ADC"/>
    <w:rsid w:val="1FD97AAE"/>
    <w:rsid w:val="1FDD1A52"/>
    <w:rsid w:val="201D5547"/>
    <w:rsid w:val="20406604"/>
    <w:rsid w:val="20744ABB"/>
    <w:rsid w:val="20967991"/>
    <w:rsid w:val="21F826F0"/>
    <w:rsid w:val="221F6292"/>
    <w:rsid w:val="22D829C8"/>
    <w:rsid w:val="241A5E15"/>
    <w:rsid w:val="245925A8"/>
    <w:rsid w:val="25C271E7"/>
    <w:rsid w:val="25E173EF"/>
    <w:rsid w:val="26CB02AF"/>
    <w:rsid w:val="26CF032E"/>
    <w:rsid w:val="28FE60D3"/>
    <w:rsid w:val="293C17C1"/>
    <w:rsid w:val="2D632DB8"/>
    <w:rsid w:val="2FBB56DC"/>
    <w:rsid w:val="30CB0185"/>
    <w:rsid w:val="30FD480F"/>
    <w:rsid w:val="31351C40"/>
    <w:rsid w:val="339C5FAC"/>
    <w:rsid w:val="39611258"/>
    <w:rsid w:val="3A0F1B02"/>
    <w:rsid w:val="3A15689C"/>
    <w:rsid w:val="3A2D75FA"/>
    <w:rsid w:val="3AE97895"/>
    <w:rsid w:val="3B6C6B15"/>
    <w:rsid w:val="3C8F543E"/>
    <w:rsid w:val="3E15489E"/>
    <w:rsid w:val="3E4D27C5"/>
    <w:rsid w:val="3F5F72BF"/>
    <w:rsid w:val="404D6B1C"/>
    <w:rsid w:val="40D200A1"/>
    <w:rsid w:val="410850D1"/>
    <w:rsid w:val="433F7071"/>
    <w:rsid w:val="4344153B"/>
    <w:rsid w:val="443F4708"/>
    <w:rsid w:val="44B34EB2"/>
    <w:rsid w:val="466E23AE"/>
    <w:rsid w:val="46AD3F9D"/>
    <w:rsid w:val="48031E42"/>
    <w:rsid w:val="481377B6"/>
    <w:rsid w:val="485650D9"/>
    <w:rsid w:val="490369F0"/>
    <w:rsid w:val="49646AD6"/>
    <w:rsid w:val="499B22F7"/>
    <w:rsid w:val="49B1466B"/>
    <w:rsid w:val="49BD710E"/>
    <w:rsid w:val="49CD308E"/>
    <w:rsid w:val="4F6C6AB4"/>
    <w:rsid w:val="4F860A4D"/>
    <w:rsid w:val="51B64D1E"/>
    <w:rsid w:val="51BC38AF"/>
    <w:rsid w:val="554B27BF"/>
    <w:rsid w:val="55816503"/>
    <w:rsid w:val="56F7080D"/>
    <w:rsid w:val="57766FDE"/>
    <w:rsid w:val="58B21713"/>
    <w:rsid w:val="58F22E37"/>
    <w:rsid w:val="5BD465BB"/>
    <w:rsid w:val="5EEA6F44"/>
    <w:rsid w:val="5FA15FFE"/>
    <w:rsid w:val="5FD81B98"/>
    <w:rsid w:val="625F5F16"/>
    <w:rsid w:val="63536A40"/>
    <w:rsid w:val="637B7E54"/>
    <w:rsid w:val="64711CFB"/>
    <w:rsid w:val="658E0900"/>
    <w:rsid w:val="65915979"/>
    <w:rsid w:val="66DD3AD8"/>
    <w:rsid w:val="680D54F4"/>
    <w:rsid w:val="688D0924"/>
    <w:rsid w:val="698D0DFA"/>
    <w:rsid w:val="6A0568FD"/>
    <w:rsid w:val="6AC630BF"/>
    <w:rsid w:val="6B5275DD"/>
    <w:rsid w:val="6CA64C61"/>
    <w:rsid w:val="6D77332B"/>
    <w:rsid w:val="6E0A53D1"/>
    <w:rsid w:val="6E613010"/>
    <w:rsid w:val="6E6E5419"/>
    <w:rsid w:val="704C4CA5"/>
    <w:rsid w:val="713136B1"/>
    <w:rsid w:val="71725BB0"/>
    <w:rsid w:val="718758A8"/>
    <w:rsid w:val="72675C29"/>
    <w:rsid w:val="72775B43"/>
    <w:rsid w:val="72F872E4"/>
    <w:rsid w:val="762D1AAC"/>
    <w:rsid w:val="76561A17"/>
    <w:rsid w:val="767E14F7"/>
    <w:rsid w:val="76EB4627"/>
    <w:rsid w:val="777E5054"/>
    <w:rsid w:val="78416239"/>
    <w:rsid w:val="78B12519"/>
    <w:rsid w:val="78ED3E9C"/>
    <w:rsid w:val="798C58D0"/>
    <w:rsid w:val="7A0C1F22"/>
    <w:rsid w:val="7C3942FB"/>
    <w:rsid w:val="7CB87A7B"/>
    <w:rsid w:val="7D5A5674"/>
    <w:rsid w:val="7E4E559F"/>
    <w:rsid w:val="7F102626"/>
    <w:rsid w:val="7F3D46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after="260" w:line="416" w:lineRule="auto"/>
      <w:outlineLvl w:val="2"/>
    </w:pPr>
    <w:rPr>
      <w:b/>
      <w:bCs/>
      <w:sz w:val="32"/>
      <w:szCs w:val="32"/>
    </w:rPr>
  </w:style>
  <w:style w:type="paragraph" w:styleId="5">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40"/>
    <w:semiHidden/>
    <w:unhideWhenUsed/>
    <w:qFormat/>
    <w:uiPriority w:val="99"/>
    <w:pPr>
      <w:jc w:val="left"/>
    </w:pPr>
  </w:style>
  <w:style w:type="paragraph" w:styleId="14">
    <w:name w:val="Body Text"/>
    <w:basedOn w:val="1"/>
    <w:link w:val="92"/>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51"/>
    <w:semiHidden/>
    <w:unhideWhenUsed/>
    <w:qFormat/>
    <w:uiPriority w:val="99"/>
    <w:rPr>
      <w:sz w:val="18"/>
      <w:szCs w:val="18"/>
    </w:rPr>
  </w:style>
  <w:style w:type="paragraph" w:styleId="18">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9"/>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5"/>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index 7"/>
    <w:basedOn w:val="1"/>
    <w:next w:val="1"/>
    <w:qFormat/>
    <w:uiPriority w:val="0"/>
    <w:pPr>
      <w:adjustRightInd/>
      <w:spacing w:line="240" w:lineRule="auto"/>
      <w:ind w:left="1470" w:hanging="210"/>
      <w:jc w:val="left"/>
    </w:pPr>
    <w:rPr>
      <w:sz w:val="20"/>
      <w:szCs w:val="20"/>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8">
    <w:name w:val="Normal (Web)"/>
    <w:basedOn w:val="1"/>
    <w:qFormat/>
    <w:uiPriority w:val="99"/>
    <w:pPr>
      <w:widowControl/>
      <w:adjustRightInd/>
      <w:spacing w:before="100" w:beforeAutospacing="1" w:after="100" w:afterAutospacing="1" w:line="330" w:lineRule="atLeast"/>
      <w:jc w:val="left"/>
    </w:pPr>
    <w:rPr>
      <w:rFonts w:ascii="宋体" w:hAnsi="宋体" w:cs="宋体"/>
      <w:kern w:val="0"/>
      <w:sz w:val="22"/>
      <w:szCs w:val="22"/>
    </w:rPr>
  </w:style>
  <w:style w:type="paragraph" w:styleId="29">
    <w:name w:val="Title"/>
    <w:basedOn w:val="1"/>
    <w:link w:val="54"/>
    <w:qFormat/>
    <w:uiPriority w:val="0"/>
    <w:pPr>
      <w:spacing w:before="240" w:after="60"/>
      <w:jc w:val="center"/>
      <w:outlineLvl w:val="0"/>
    </w:pPr>
    <w:rPr>
      <w:rFonts w:ascii="Arial" w:hAnsi="Arial" w:cs="Arial"/>
      <w:b/>
      <w:bCs/>
      <w:sz w:val="32"/>
      <w:szCs w:val="32"/>
    </w:rPr>
  </w:style>
  <w:style w:type="paragraph" w:styleId="30">
    <w:name w:val="annotation subject"/>
    <w:basedOn w:val="13"/>
    <w:next w:val="13"/>
    <w:link w:val="241"/>
    <w:semiHidden/>
    <w:unhideWhenUsed/>
    <w:qFormat/>
    <w:uiPriority w:val="99"/>
    <w:rPr>
      <w:b/>
      <w:bCs/>
    </w:r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qFormat/>
    <w:uiPriority w:val="0"/>
    <w:rPr>
      <w:rFonts w:ascii="宋体" w:hAnsi="Times New Roman" w:eastAsia="宋体"/>
      <w:sz w:val="18"/>
    </w:rPr>
  </w:style>
  <w:style w:type="character" w:styleId="36">
    <w:name w:val="Emphasis"/>
    <w:qFormat/>
    <w:uiPriority w:val="20"/>
    <w:rPr>
      <w:i/>
      <w:iCs/>
    </w:rPr>
  </w:style>
  <w:style w:type="character" w:styleId="37">
    <w:name w:val="Hyperlink"/>
    <w:qFormat/>
    <w:uiPriority w:val="99"/>
    <w:rPr>
      <w:rFonts w:ascii="宋体" w:hAnsi="Times New Roman" w:eastAsia="宋体"/>
      <w:color w:val="auto"/>
      <w:spacing w:val="0"/>
      <w:w w:val="100"/>
      <w:position w:val="0"/>
      <w:sz w:val="21"/>
      <w:u w:val="none"/>
      <w:vertAlign w:val="baseline"/>
    </w:rPr>
  </w:style>
  <w:style w:type="character" w:styleId="38">
    <w:name w:val="annotation reference"/>
    <w:basedOn w:val="33"/>
    <w:semiHidden/>
    <w:unhideWhenUsed/>
    <w:qFormat/>
    <w:uiPriority w:val="99"/>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2"/>
    <w:qFormat/>
    <w:uiPriority w:val="0"/>
    <w:rPr>
      <w:b/>
      <w:bCs/>
      <w:kern w:val="44"/>
      <w:sz w:val="44"/>
      <w:szCs w:val="44"/>
    </w:rPr>
  </w:style>
  <w:style w:type="character" w:customStyle="1" w:styleId="41">
    <w:name w:val="标题 2 字符"/>
    <w:link w:val="3"/>
    <w:qFormat/>
    <w:uiPriority w:val="0"/>
    <w:rPr>
      <w:rFonts w:ascii="Arial" w:hAnsi="Arial" w:eastAsia="黑体"/>
      <w:b/>
      <w:bCs/>
      <w:kern w:val="2"/>
      <w:sz w:val="32"/>
      <w:szCs w:val="32"/>
    </w:rPr>
  </w:style>
  <w:style w:type="character" w:customStyle="1" w:styleId="42">
    <w:name w:val="标题 3 字符"/>
    <w:link w:val="4"/>
    <w:qFormat/>
    <w:uiPriority w:val="0"/>
    <w:rPr>
      <w:b/>
      <w:bCs/>
      <w:kern w:val="2"/>
      <w:sz w:val="32"/>
      <w:szCs w:val="32"/>
    </w:rPr>
  </w:style>
  <w:style w:type="character" w:customStyle="1" w:styleId="43">
    <w:name w:val="标题 4 字符"/>
    <w:link w:val="5"/>
    <w:qFormat/>
    <w:uiPriority w:val="0"/>
    <w:rPr>
      <w:rFonts w:ascii="Arial" w:hAnsi="Arial" w:eastAsia="黑体"/>
      <w:b/>
      <w:bCs/>
      <w:kern w:val="2"/>
      <w:sz w:val="28"/>
      <w:szCs w:val="28"/>
    </w:rPr>
  </w:style>
  <w:style w:type="character" w:customStyle="1" w:styleId="44">
    <w:name w:val="标题 5 字符"/>
    <w:link w:val="6"/>
    <w:qFormat/>
    <w:uiPriority w:val="0"/>
    <w:rPr>
      <w:b/>
      <w:bCs/>
      <w:kern w:val="2"/>
      <w:sz w:val="28"/>
      <w:szCs w:val="28"/>
    </w:rPr>
  </w:style>
  <w:style w:type="character" w:customStyle="1" w:styleId="45">
    <w:name w:val="标题 6 字符"/>
    <w:link w:val="7"/>
    <w:qFormat/>
    <w:uiPriority w:val="0"/>
    <w:rPr>
      <w:rFonts w:ascii="Arial" w:hAnsi="Arial" w:eastAsia="黑体"/>
      <w:b/>
      <w:bCs/>
      <w:kern w:val="2"/>
      <w:sz w:val="24"/>
      <w:szCs w:val="24"/>
    </w:rPr>
  </w:style>
  <w:style w:type="character" w:customStyle="1" w:styleId="46">
    <w:name w:val="标题 7 字符"/>
    <w:link w:val="8"/>
    <w:qFormat/>
    <w:uiPriority w:val="0"/>
    <w:rPr>
      <w:b/>
      <w:bCs/>
      <w:kern w:val="2"/>
      <w:sz w:val="24"/>
      <w:szCs w:val="24"/>
    </w:rPr>
  </w:style>
  <w:style w:type="character" w:customStyle="1" w:styleId="47">
    <w:name w:val="标题 8 字符"/>
    <w:link w:val="9"/>
    <w:qFormat/>
    <w:uiPriority w:val="0"/>
    <w:rPr>
      <w:rFonts w:ascii="Arial" w:hAnsi="Arial" w:eastAsia="黑体"/>
      <w:kern w:val="2"/>
      <w:sz w:val="24"/>
      <w:szCs w:val="24"/>
    </w:rPr>
  </w:style>
  <w:style w:type="character" w:customStyle="1" w:styleId="48">
    <w:name w:val="标题 9 字符"/>
    <w:link w:val="10"/>
    <w:qFormat/>
    <w:uiPriority w:val="0"/>
    <w:rPr>
      <w:rFonts w:ascii="Arial" w:hAnsi="Arial" w:eastAsia="黑体"/>
      <w:kern w:val="2"/>
      <w:sz w:val="21"/>
      <w:szCs w:val="21"/>
    </w:rPr>
  </w:style>
  <w:style w:type="character" w:customStyle="1" w:styleId="49">
    <w:name w:val="页眉 字符"/>
    <w:link w:val="19"/>
    <w:qFormat/>
    <w:uiPriority w:val="99"/>
    <w:rPr>
      <w:kern w:val="2"/>
      <w:sz w:val="18"/>
      <w:szCs w:val="18"/>
    </w:rPr>
  </w:style>
  <w:style w:type="character" w:customStyle="1" w:styleId="50">
    <w:name w:val="页脚 字符"/>
    <w:link w:val="18"/>
    <w:qFormat/>
    <w:uiPriority w:val="99"/>
    <w:rPr>
      <w:rFonts w:ascii="宋体"/>
      <w:kern w:val="2"/>
      <w:sz w:val="18"/>
      <w:szCs w:val="18"/>
    </w:rPr>
  </w:style>
  <w:style w:type="character" w:customStyle="1" w:styleId="51">
    <w:name w:val="批注框文本 字符"/>
    <w:link w:val="17"/>
    <w:semiHidden/>
    <w:qFormat/>
    <w:uiPriority w:val="99"/>
    <w:rPr>
      <w:kern w:val="2"/>
      <w:sz w:val="18"/>
      <w:szCs w:val="18"/>
    </w:rPr>
  </w:style>
  <w:style w:type="paragraph"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kern w:val="2"/>
      <w:sz w:val="21"/>
      <w:szCs w:val="21"/>
    </w:rPr>
  </w:style>
  <w:style w:type="character" w:customStyle="1" w:styleId="54">
    <w:name w:val="标题 字符"/>
    <w:link w:val="29"/>
    <w:qFormat/>
    <w:uiPriority w:val="0"/>
    <w:rPr>
      <w:rFonts w:ascii="Arial" w:hAnsi="Arial" w:cs="Arial"/>
      <w:b/>
      <w:bCs/>
      <w:kern w:val="2"/>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next w:val="61"/>
    <w:link w:val="190"/>
    <w:qFormat/>
    <w:uiPriority w:val="0"/>
    <w:pPr>
      <w:autoSpaceDE w:val="0"/>
      <w:autoSpaceDN w:val="0"/>
      <w:ind w:firstLine="200" w:firstLineChars="200"/>
      <w:jc w:val="both"/>
    </w:pPr>
    <w:rPr>
      <w:rFonts w:ascii="宋体" w:hAnsi="宋体"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3"/>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4"/>
    <w:qFormat/>
    <w:uiPriority w:val="0"/>
    <w:rPr>
      <w:kern w:val="2"/>
      <w:sz w:val="21"/>
      <w:szCs w:val="21"/>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ind w:left="0" w:firstLine="0"/>
    </w:pPr>
  </w:style>
  <w:style w:type="paragraph" w:customStyle="1" w:styleId="97">
    <w:name w:val="标准文件_目录标题"/>
    <w:basedOn w:val="1"/>
    <w:qFormat/>
    <w:uiPriority w:val="0"/>
    <w:pPr>
      <w:spacing w:before="480" w:afterLines="150" w:line="240" w:lineRule="auto"/>
      <w:jc w:val="center"/>
    </w:pPr>
    <w:rPr>
      <w:rFonts w:ascii="黑体" w:eastAsia="黑体"/>
      <w:sz w:val="32"/>
    </w:rPr>
  </w:style>
  <w:style w:type="paragraph" w:customStyle="1" w:styleId="98">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0"/>
      </w:numPr>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2"/>
    <w:semiHidden/>
    <w:qFormat/>
    <w:uiPriority w:val="0"/>
    <w:rPr>
      <w:rFonts w:ascii="宋体"/>
      <w:kern w:val="2"/>
      <w:sz w:val="18"/>
      <w:szCs w:val="18"/>
    </w:rPr>
  </w:style>
  <w:style w:type="paragraph" w:customStyle="1" w:styleId="106">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Lines="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xAlign="right"/>
      <w:jc w:val="right"/>
    </w:pPr>
  </w:style>
  <w:style w:type="paragraph" w:customStyle="1" w:styleId="161">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Lines="0" w:afterLines="0"/>
      <w:outlineLvl w:val="9"/>
    </w:pPr>
    <w:rPr>
      <w:rFonts w:ascii="宋体" w:eastAsia="宋体"/>
    </w:rPr>
  </w:style>
  <w:style w:type="paragraph" w:customStyle="1" w:styleId="169">
    <w:name w:val="标准文件_五级无标题"/>
    <w:basedOn w:val="109"/>
    <w:qFormat/>
    <w:uiPriority w:val="0"/>
    <w:pPr>
      <w:spacing w:beforeLines="0" w:afterLines="0"/>
      <w:outlineLvl w:val="9"/>
    </w:pPr>
    <w:rPr>
      <w:rFonts w:ascii="宋体" w:eastAsia="宋体"/>
    </w:rPr>
  </w:style>
  <w:style w:type="paragraph" w:customStyle="1" w:styleId="170">
    <w:name w:val="标准文件_三级无标题"/>
    <w:basedOn w:val="100"/>
    <w:qFormat/>
    <w:uiPriority w:val="0"/>
    <w:pPr>
      <w:spacing w:beforeLines="0" w:afterLines="0"/>
      <w:outlineLvl w:val="9"/>
    </w:pPr>
    <w:rPr>
      <w:rFonts w:ascii="宋体" w:eastAsia="宋体"/>
    </w:rPr>
  </w:style>
  <w:style w:type="paragraph" w:customStyle="1" w:styleId="171">
    <w:name w:val="标准文件_二级无标题"/>
    <w:basedOn w:val="71"/>
    <w:qFormat/>
    <w:uiPriority w:val="0"/>
    <w:pPr>
      <w:spacing w:beforeLines="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Lines="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3"/>
      </w:numPr>
      <w:ind w:firstLine="0" w:firstLineChars="0"/>
    </w:pPr>
    <w:rPr>
      <w:rFonts w:ascii="Times New Roman" w:cs="Arial"/>
      <w:szCs w:val="28"/>
    </w:rPr>
  </w:style>
  <w:style w:type="paragraph" w:customStyle="1" w:styleId="175">
    <w:name w:val="标准文件_小写罗马数字编号列项"/>
    <w:basedOn w:val="62"/>
    <w:qFormat/>
    <w:uiPriority w:val="0"/>
    <w:pPr>
      <w:numPr>
        <w:ilvl w:val="0"/>
        <w:numId w:val="24"/>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5"/>
      </w:numPr>
      <w:adjustRightInd/>
      <w:spacing w:line="240" w:lineRule="auto"/>
    </w:pPr>
    <w:rPr>
      <w:rFonts w:ascii="宋体" w:hAnsi="Times New Roman"/>
      <w:sz w:val="18"/>
      <w:szCs w:val="18"/>
    </w:rPr>
  </w:style>
  <w:style w:type="paragraph" w:customStyle="1" w:styleId="180">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宋体" w:hAnsi="宋体" w:eastAsia="宋体"/>
      <w:sz w:val="21"/>
    </w:rPr>
  </w:style>
  <w:style w:type="paragraph" w:customStyle="1" w:styleId="191">
    <w:name w:val="标准文件_表格续"/>
    <w:basedOn w:val="62"/>
    <w:next w:val="62"/>
    <w:qFormat/>
    <w:uiPriority w:val="0"/>
    <w:pPr>
      <w:jc w:val="center"/>
    </w:pPr>
    <w:rPr>
      <w:rFonts w:ascii="黑体" w:hAnsi="黑体" w:eastAsia="黑体"/>
    </w:rPr>
  </w:style>
  <w:style w:type="character" w:styleId="192">
    <w:name w:val="Placeholder Text"/>
    <w:basedOn w:val="33"/>
    <w:semiHidden/>
    <w:qFormat/>
    <w:uiPriority w:val="99"/>
    <w:rPr>
      <w:color w:val="808080"/>
    </w:rPr>
  </w:style>
  <w:style w:type="paragraph" w:customStyle="1" w:styleId="193">
    <w:name w:val="标准文件_二级项2"/>
    <w:basedOn w:val="62"/>
    <w:qFormat/>
    <w:uiPriority w:val="0"/>
    <w:pPr>
      <w:numPr>
        <w:ilvl w:val="1"/>
        <w:numId w:val="21"/>
      </w:numPr>
      <w:ind w:firstLine="0" w:firstLineChars="0"/>
    </w:pPr>
  </w:style>
  <w:style w:type="paragraph" w:customStyle="1" w:styleId="194">
    <w:name w:val="标准文件_三级项2"/>
    <w:basedOn w:val="62"/>
    <w:qFormat/>
    <w:uiPriority w:val="0"/>
    <w:pPr>
      <w:numPr>
        <w:ilvl w:val="0"/>
        <w:numId w:val="30"/>
      </w:numPr>
      <w:spacing w:line="300" w:lineRule="exact"/>
      <w:ind w:firstLineChars="0"/>
    </w:pPr>
    <w:rPr>
      <w:rFonts w:ascii="Times New Roman"/>
    </w:rPr>
  </w:style>
  <w:style w:type="paragraph" w:customStyle="1" w:styleId="195">
    <w:name w:val="标准文件_一级项2"/>
    <w:basedOn w:val="62"/>
    <w:qFormat/>
    <w:uiPriority w:val="0"/>
    <w:pPr>
      <w:numPr>
        <w:ilvl w:val="0"/>
        <w:numId w:val="31"/>
      </w:numPr>
      <w:spacing w:line="300" w:lineRule="exact"/>
      <w:ind w:firstLineChars="0"/>
    </w:pPr>
    <w:rPr>
      <w:rFonts w:ascii="Times New Roman"/>
    </w:r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3"/>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vAnchor="page" w:hAnchor="page" w:x="1419" w:y="14097"/>
    </w:pPr>
  </w:style>
  <w:style w:type="paragraph" w:customStyle="1" w:styleId="200">
    <w:name w:val="其他实施日期"/>
    <w:basedOn w:val="160"/>
    <w:qFormat/>
    <w:uiPriority w:val="0"/>
    <w:pPr>
      <w:framePr w:w="3997" w:h="471" w:hRule="exact" w:vSpace="181" w:vAnchor="page" w:hAnchor="page" w:x="7089" w:y="14097"/>
    </w:pPr>
  </w:style>
  <w:style w:type="paragraph" w:customStyle="1" w:styleId="201">
    <w:name w:val="标准文件_文件编号"/>
    <w:basedOn w:val="62"/>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framePr/>
      <w:spacing w:before="57"/>
    </w:pPr>
    <w:rPr>
      <w:sz w:val="21"/>
    </w:rPr>
  </w:style>
  <w:style w:type="paragraph" w:customStyle="1" w:styleId="203">
    <w:name w:val="标准文件_文件名称"/>
    <w:basedOn w:val="62"/>
    <w:next w:val="62"/>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8"/>
      </w:numPr>
      <w:spacing w:beforeLines="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8"/>
      </w:numPr>
      <w:spacing w:beforeLines="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8"/>
      </w:numPr>
      <w:spacing w:beforeLines="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8"/>
      </w:numPr>
      <w:spacing w:beforeLines="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8"/>
      </w:numPr>
      <w:spacing w:beforeLines="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eastAsia="宋体"/>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Lines="0" w:afterLines="0" w:line="276" w:lineRule="auto"/>
      <w:outlineLvl w:val="9"/>
    </w:pPr>
    <w:rPr>
      <w:rFonts w:ascii="宋体" w:eastAsia="宋体"/>
    </w:rPr>
  </w:style>
  <w:style w:type="paragraph" w:customStyle="1" w:styleId="218">
    <w:name w:val="标准文件_附录二级无标题"/>
    <w:basedOn w:val="85"/>
    <w:qFormat/>
    <w:uiPriority w:val="0"/>
    <w:pPr>
      <w:spacing w:beforeLines="0" w:afterLines="0" w:line="276" w:lineRule="auto"/>
      <w:outlineLvl w:val="9"/>
    </w:pPr>
    <w:rPr>
      <w:rFonts w:ascii="宋体" w:eastAsia="宋体"/>
    </w:rPr>
  </w:style>
  <w:style w:type="paragraph" w:customStyle="1" w:styleId="219">
    <w:name w:val="标准文件_附录三级无标题"/>
    <w:basedOn w:val="87"/>
    <w:qFormat/>
    <w:uiPriority w:val="0"/>
    <w:pPr>
      <w:spacing w:beforeLines="0" w:afterLines="0" w:line="276" w:lineRule="auto"/>
      <w:outlineLvl w:val="9"/>
    </w:pPr>
    <w:rPr>
      <w:rFonts w:ascii="宋体" w:eastAsia="宋体"/>
    </w:rPr>
  </w:style>
  <w:style w:type="paragraph" w:customStyle="1" w:styleId="220">
    <w:name w:val="标准文件_附录四级无标题"/>
    <w:basedOn w:val="88"/>
    <w:qFormat/>
    <w:uiPriority w:val="0"/>
    <w:pPr>
      <w:spacing w:beforeLines="0" w:afterLines="0" w:line="276" w:lineRule="auto"/>
      <w:outlineLvl w:val="9"/>
    </w:pPr>
    <w:rPr>
      <w:rFonts w:ascii="宋体" w:eastAsia="宋体"/>
    </w:rPr>
  </w:style>
  <w:style w:type="paragraph" w:customStyle="1" w:styleId="221">
    <w:name w:val="标准文件_附录五级无标题"/>
    <w:basedOn w:val="90"/>
    <w:qFormat/>
    <w:uiPriority w:val="0"/>
    <w:pPr>
      <w:spacing w:beforeLines="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Lines="0" w:afterLines="0" w:line="276" w:lineRule="auto"/>
    </w:pPr>
    <w:rPr>
      <w:rFonts w:ascii="宋体" w:eastAsia="宋体"/>
    </w:rPr>
  </w:style>
  <w:style w:type="paragraph" w:customStyle="1" w:styleId="223">
    <w:name w:val="标准文件_引言二级无标题"/>
    <w:basedOn w:val="207"/>
    <w:next w:val="62"/>
    <w:qFormat/>
    <w:uiPriority w:val="0"/>
    <w:pPr>
      <w:spacing w:beforeLines="0" w:afterLines="0" w:line="276" w:lineRule="auto"/>
    </w:pPr>
    <w:rPr>
      <w:rFonts w:ascii="宋体" w:eastAsia="宋体"/>
    </w:rPr>
  </w:style>
  <w:style w:type="paragraph" w:customStyle="1" w:styleId="224">
    <w:name w:val="标准文件_引言三级无标题"/>
    <w:basedOn w:val="208"/>
    <w:qFormat/>
    <w:uiPriority w:val="0"/>
    <w:pPr>
      <w:spacing w:beforeLines="0" w:afterLines="0" w:line="276" w:lineRule="auto"/>
    </w:pPr>
    <w:rPr>
      <w:rFonts w:ascii="宋体" w:eastAsia="宋体"/>
    </w:rPr>
  </w:style>
  <w:style w:type="paragraph" w:customStyle="1" w:styleId="225">
    <w:name w:val="标准文件_引言四级无标题"/>
    <w:basedOn w:val="209"/>
    <w:next w:val="62"/>
    <w:qFormat/>
    <w:uiPriority w:val="0"/>
    <w:pPr>
      <w:spacing w:beforeLines="0" w:afterLines="0" w:line="276" w:lineRule="auto"/>
    </w:pPr>
    <w:rPr>
      <w:rFonts w:ascii="宋体" w:eastAsia="宋体"/>
    </w:rPr>
  </w:style>
  <w:style w:type="paragraph" w:customStyle="1" w:styleId="226">
    <w:name w:val="标准文件_引言五级无标题"/>
    <w:basedOn w:val="210"/>
    <w:next w:val="62"/>
    <w:qFormat/>
    <w:uiPriority w:val="0"/>
    <w:pPr>
      <w:spacing w:beforeLines="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3"/>
    <w:qFormat/>
    <w:uiPriority w:val="0"/>
    <w:rPr>
      <w:rFonts w:ascii="黑体" w:eastAsia="黑体"/>
      <w:spacing w:val="85"/>
      <w:w w:val="100"/>
      <w:position w:val="3"/>
      <w:sz w:val="28"/>
      <w:szCs w:val="28"/>
    </w:rPr>
  </w:style>
  <w:style w:type="paragraph" w:customStyle="1" w:styleId="236">
    <w:name w:val="段"/>
    <w:link w:val="237"/>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7">
    <w:name w:val="段 Char"/>
    <w:link w:val="236"/>
    <w:qFormat/>
    <w:uiPriority w:val="0"/>
    <w:rPr>
      <w:rFonts w:ascii="宋体" w:hAnsi="Times New Roman"/>
      <w:sz w:val="21"/>
    </w:rPr>
  </w:style>
  <w:style w:type="paragraph" w:styleId="238">
    <w:name w:val="List Paragraph"/>
    <w:basedOn w:val="1"/>
    <w:qFormat/>
    <w:uiPriority w:val="34"/>
    <w:pPr>
      <w:ind w:firstLine="420" w:firstLineChars="200"/>
    </w:pPr>
  </w:style>
  <w:style w:type="paragraph" w:customStyle="1" w:styleId="239">
    <w:name w:val="修订1"/>
    <w:hidden/>
    <w:semiHidden/>
    <w:qFormat/>
    <w:uiPriority w:val="99"/>
    <w:rPr>
      <w:rFonts w:ascii="Calibri" w:hAnsi="Calibri" w:eastAsia="宋体" w:cs="Times New Roman"/>
      <w:kern w:val="2"/>
      <w:sz w:val="21"/>
      <w:szCs w:val="21"/>
      <w:lang w:val="en-US" w:eastAsia="zh-CN" w:bidi="ar-SA"/>
    </w:rPr>
  </w:style>
  <w:style w:type="character" w:customStyle="1" w:styleId="240">
    <w:name w:val="批注文字 字符"/>
    <w:basedOn w:val="33"/>
    <w:link w:val="13"/>
    <w:semiHidden/>
    <w:qFormat/>
    <w:uiPriority w:val="99"/>
    <w:rPr>
      <w:kern w:val="2"/>
      <w:sz w:val="21"/>
      <w:szCs w:val="21"/>
    </w:rPr>
  </w:style>
  <w:style w:type="character" w:customStyle="1" w:styleId="241">
    <w:name w:val="批注主题 字符"/>
    <w:basedOn w:val="240"/>
    <w:link w:val="30"/>
    <w:semiHidden/>
    <w:qFormat/>
    <w:uiPriority w:val="99"/>
    <w:rPr>
      <w:b/>
      <w:bCs/>
      <w:kern w:val="2"/>
      <w:sz w:val="21"/>
      <w:szCs w:val="21"/>
    </w:rPr>
  </w:style>
  <w:style w:type="paragraph" w:customStyle="1" w:styleId="242">
    <w:name w:val="表内文字"/>
    <w:next w:val="1"/>
    <w:qFormat/>
    <w:uiPriority w:val="0"/>
    <w:pPr>
      <w:jc w:val="center"/>
    </w:pPr>
    <w:rPr>
      <w:rFonts w:ascii="Times New Roman" w:hAnsi="Times New Roman" w:eastAsia="宋体" w:cs="Arial"/>
      <w:sz w:val="21"/>
      <w:szCs w:val="28"/>
      <w:lang w:val="en-US" w:eastAsia="zh-CN" w:bidi="ar-SA"/>
    </w:rPr>
  </w:style>
  <w:style w:type="paragraph" w:customStyle="1" w:styleId="243">
    <w:name w:val="图名"/>
    <w:basedOn w:val="1"/>
    <w:qFormat/>
    <w:uiPriority w:val="0"/>
    <w:pPr>
      <w:numPr>
        <w:ilvl w:val="0"/>
        <w:numId w:val="32"/>
      </w:numPr>
      <w:ind w:left="420" w:hanging="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81E4182C1C043299A1D113FDCD640C6"/>
        <w:style w:val=""/>
        <w:category>
          <w:name w:val="常规"/>
          <w:gallery w:val="placeholder"/>
        </w:category>
        <w:types>
          <w:type w:val="bbPlcHdr"/>
        </w:types>
        <w:behaviors>
          <w:behavior w:val="content"/>
        </w:behaviors>
        <w:description w:val=""/>
        <w:guid w:val="{B4C1B5E5-5341-43DB-A07D-86EC8B5217C4}"/>
      </w:docPartPr>
      <w:docPartBody>
        <w:p>
          <w:pPr>
            <w:pStyle w:val="5"/>
          </w:pPr>
          <w:r>
            <w:rPr>
              <w:rStyle w:val="4"/>
              <w:rFonts w:hint="eastAsia"/>
            </w:rPr>
            <w:t>单击或点击此处输入文字。</w:t>
          </w:r>
        </w:p>
      </w:docPartBody>
    </w:docPart>
    <w:docPart>
      <w:docPartPr>
        <w:name w:val="5813D8ADA0624C258886AEE3A8D1C260"/>
        <w:style w:val=""/>
        <w:category>
          <w:name w:val="常规"/>
          <w:gallery w:val="placeholder"/>
        </w:category>
        <w:types>
          <w:type w:val="bbPlcHdr"/>
        </w:types>
        <w:behaviors>
          <w:behavior w:val="content"/>
        </w:behaviors>
        <w:description w:val=""/>
        <w:guid w:val="{798701E7-33A0-499F-B1FB-821EA586BAB6}"/>
      </w:docPartPr>
      <w:docPartBody>
        <w:p>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F35098"/>
    <w:rsid w:val="00055B2D"/>
    <w:rsid w:val="000D78D1"/>
    <w:rsid w:val="00102208"/>
    <w:rsid w:val="001D53A9"/>
    <w:rsid w:val="002268F1"/>
    <w:rsid w:val="002B0A73"/>
    <w:rsid w:val="002B0B33"/>
    <w:rsid w:val="002B4F81"/>
    <w:rsid w:val="00341B0B"/>
    <w:rsid w:val="003F041A"/>
    <w:rsid w:val="00491ED2"/>
    <w:rsid w:val="0067209D"/>
    <w:rsid w:val="006928D1"/>
    <w:rsid w:val="006B5258"/>
    <w:rsid w:val="008E5655"/>
    <w:rsid w:val="00A45740"/>
    <w:rsid w:val="00BF43CB"/>
    <w:rsid w:val="00C35391"/>
    <w:rsid w:val="00D35BF7"/>
    <w:rsid w:val="00D831D9"/>
    <w:rsid w:val="00EE7BBB"/>
    <w:rsid w:val="00F35098"/>
    <w:rsid w:val="00FE2D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F81E4182C1C043299A1D113FDCD640C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5813D8ADA0624C258886AEE3A8D1C26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23</Pages>
  <Words>12630</Words>
  <Characters>13633</Characters>
  <Lines>154</Lines>
  <Paragraphs>43</Paragraphs>
  <TotalTime>0</TotalTime>
  <ScaleCrop>false</ScaleCrop>
  <LinksUpToDate>false</LinksUpToDate>
  <CharactersWithSpaces>13922</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2022-04-06T11:55:00Z</dcterms:created>
  <dc:creator>邵璇</dc:creator>
  <dc:description>&lt;config cover="true" show_menu="true" version="1.0.0" doctype="SDKXY"&gt;_x000d_
&lt;/config&gt;</dc:description>
  <cp:lastModifiedBy>user</cp:lastModifiedBy>
  <cp:lastPrinted>2023-05-09T17:50:00Z</cp:lastPrinted>
  <dcterms:modified xsi:type="dcterms:W3CDTF">2023-05-24T08:38:53Z</dcterms:modified>
  <dc:title>地方标准</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2052-11.8.2.10489</vt:lpwstr>
  </property>
  <property fmtid="{D5CDD505-2E9C-101B-9397-08002B2CF9AE}" pid="15" name="ICV">
    <vt:lpwstr>62F38A60FF9341CDA7448444C11B52F7</vt:lpwstr>
  </property>
</Properties>
</file>