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bookmarkStart w:id="37" w:name="_GoBack"/>
      <w:bookmarkEnd w:id="37"/>
      <w:r>
        <w:drawing>
          <wp:anchor distT="0" distB="0" distL="114300" distR="114300" simplePos="0" relativeHeight="251661312" behindDoc="0" locked="0" layoutInCell="1" allowOverlap="1">
            <wp:simplePos x="0" y="0"/>
            <wp:positionH relativeFrom="margin">
              <wp:posOffset>99695</wp:posOffset>
            </wp:positionH>
            <wp:positionV relativeFrom="paragraph">
              <wp:posOffset>-29210</wp:posOffset>
            </wp:positionV>
            <wp:extent cx="5939790" cy="1035685"/>
            <wp:effectExtent l="0" t="0" r="0" b="0"/>
            <wp:wrapNone/>
            <wp:docPr id="928043244"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28043244" name="图片 1"/>
                    <pic:cNvPicPr>
                      <a:picLocks noChangeAspect="true" noChangeArrowheads="true"/>
                    </pic:cNvPicPr>
                  </pic:nvPicPr>
                  <pic:blipFill>
                    <a:blip r:embed="rId26" cstate="print">
                      <a:extLst>
                        <a:ext uri="{28A0092B-C50C-407E-A947-70E740481C1C}">
                          <a14:useLocalDpi xmlns:a14="http://schemas.microsoft.com/office/drawing/2010/main" val="false"/>
                        </a:ext>
                      </a:extLst>
                    </a:blip>
                    <a:srcRect/>
                    <a:stretch>
                      <a:fillRect/>
                    </a:stretch>
                  </pic:blipFill>
                  <pic:spPr>
                    <a:xfrm>
                      <a:off x="0" y="0"/>
                      <a:ext cx="5939790" cy="1035685"/>
                    </a:xfrm>
                    <a:prstGeom prst="rect">
                      <a:avLst/>
                    </a:prstGeom>
                    <a:noFill/>
                    <a:ln>
                      <a:noFill/>
                    </a:ln>
                  </pic:spPr>
                </pic:pic>
              </a:graphicData>
            </a:graphic>
          </wp:anchor>
        </w:drawing>
      </w:r>
      <w:r>
        <w:drawing>
          <wp:anchor distT="0" distB="0" distL="114300" distR="114300" simplePos="0" relativeHeight="251660288" behindDoc="0" locked="0" layoutInCell="1" allowOverlap="1">
            <wp:simplePos x="0" y="0"/>
            <wp:positionH relativeFrom="margin">
              <wp:posOffset>-1270</wp:posOffset>
            </wp:positionH>
            <wp:positionV relativeFrom="paragraph">
              <wp:posOffset>1905</wp:posOffset>
            </wp:positionV>
            <wp:extent cx="5939790" cy="1019810"/>
            <wp:effectExtent l="0" t="0" r="0" b="0"/>
            <wp:wrapNone/>
            <wp:docPr id="1030803090"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30803090" name="图片 2"/>
                    <pic:cNvPicPr>
                      <a:picLocks noChangeAspect="true" noChangeArrowheads="true"/>
                    </pic:cNvPicPr>
                  </pic:nvPicPr>
                  <pic:blipFill>
                    <a:blip r:embed="rId27" cstate="print">
                      <a:extLst>
                        <a:ext uri="{28A0092B-C50C-407E-A947-70E740481C1C}">
                          <a14:useLocalDpi xmlns:a14="http://schemas.microsoft.com/office/drawing/2010/main" val="false"/>
                        </a:ext>
                      </a:extLst>
                    </a:blip>
                    <a:srcRect/>
                    <a:stretch>
                      <a:fillRect/>
                    </a:stretch>
                  </pic:blipFill>
                  <pic:spPr>
                    <a:xfrm>
                      <a:off x="0" y="0"/>
                      <a:ext cx="5980695" cy="1027136"/>
                    </a:xfrm>
                    <a:prstGeom prst="rect">
                      <a:avLst/>
                    </a:prstGeom>
                    <a:noFill/>
                    <a:ln>
                      <a:noFill/>
                    </a:ln>
                  </pic:spPr>
                </pic:pic>
              </a:graphicData>
            </a:graphic>
          </wp:anchor>
        </w:drawing>
      </w:r>
    </w:p>
    <w:p>
      <w:pPr>
        <w:pStyle w:val="201"/>
        <w:framePr w:x="1593" w:y="4738"/>
        <w:rPr>
          <w:lang w:val="fr-FR"/>
        </w:rPr>
      </w:pPr>
      <w:r>
        <w:rPr>
          <w:lang w:val="fr-FR"/>
        </w:rPr>
        <w:t>DB</w:t>
      </w:r>
      <w:r>
        <w:t>42</w:t>
      </w:r>
      <w:r>
        <w:rPr>
          <w:rFonts w:hint="eastAsia"/>
        </w:rPr>
        <w:t>/</w:t>
      </w:r>
      <w:r>
        <w:t>T</w:t>
      </w:r>
      <w:r>
        <w:rPr>
          <w:lang w:val="fr-FR"/>
        </w:rPr>
        <w:t xml:space="preserve"> </w:t>
      </w:r>
      <w:r>
        <w:t>XXXX</w:t>
      </w:r>
      <w:r>
        <w:rPr>
          <w:rFonts w:hAnsi="黑体"/>
          <w:lang w:val="fr-FR"/>
        </w:rPr>
        <w:t>—</w:t>
      </w:r>
      <w:r>
        <w:rPr>
          <w:rFonts w:hint="eastAsia"/>
        </w:rPr>
        <w:t>XXXX</w:t>
      </w:r>
    </w:p>
    <w:p>
      <w:pPr>
        <w:pStyle w:val="202"/>
        <w:framePr w:x="1593" w:y="4738"/>
        <w:rPr>
          <w:rFonts w:hAnsi="黑体"/>
          <w:lang w:val="fr-FR"/>
        </w:rPr>
      </w:pPr>
      <w:r>
        <w:rPr>
          <w:rFonts w:hAnsi="黑体"/>
        </w:rPr>
        <w:t xml:space="preserve"> </w:t>
      </w:r>
    </w:p>
    <w:p>
      <w:pPr>
        <w:pStyle w:val="2"/>
        <w:ind w:firstLine="210"/>
      </w:pPr>
    </w:p>
    <w:p>
      <w:pPr>
        <w:pStyle w:val="2"/>
        <w:ind w:firstLine="210"/>
      </w:pPr>
      <w:r>
        <mc:AlternateContent>
          <mc:Choice Requires="wps">
            <w:drawing>
              <wp:anchor distT="0" distB="0" distL="114300" distR="114300" simplePos="0" relativeHeight="251662336" behindDoc="0" locked="0" layoutInCell="1" allowOverlap="1">
                <wp:simplePos x="0" y="0"/>
                <wp:positionH relativeFrom="margin">
                  <wp:posOffset>0</wp:posOffset>
                </wp:positionH>
                <wp:positionV relativeFrom="paragraph">
                  <wp:posOffset>1374775</wp:posOffset>
                </wp:positionV>
                <wp:extent cx="6099175" cy="0"/>
                <wp:effectExtent l="0" t="0" r="0" b="0"/>
                <wp:wrapNone/>
                <wp:docPr id="1916128005" name="直接连接符 2"/>
                <wp:cNvGraphicFramePr/>
                <a:graphic xmlns:a="http://schemas.openxmlformats.org/drawingml/2006/main">
                  <a:graphicData uri="http://schemas.microsoft.com/office/word/2010/wordprocessingShape">
                    <wps:wsp>
                      <wps:cNvCnPr/>
                      <wps:spPr>
                        <a:xfrm>
                          <a:off x="0" y="0"/>
                          <a:ext cx="609917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接连接符 2" o:spid="_x0000_s1026" o:spt="20" style="position:absolute;left:0pt;margin-left:0pt;margin-top:108.25pt;height:0pt;width:480.25pt;mso-position-horizontal-relative:margin;z-index:251662336;mso-width-relative:page;mso-height-relative:page;" filled="f" stroked="t" coordsize="21600,21600" o:gfxdata="UEsFBgAAAAAAAAAAAAAAAAAAAAAAAFBLAwQKAAAAAACHTuJAAAAAAAAAAAAAAAAABAAAAGRycy9Q&#10;SwMEFAAAAAgAh07iQE+dkrnXAAAACAEAAA8AAABkcnMvZG93bnJldi54bWxNj0FPwzAMhe9I/IfI&#10;SNxY0g0KlKYTAk0cOG1MwDFrTFutcaok6wq/HiMhwc32e3r+XrmcXC9GDLHzpCGbKRBItbcdNRq2&#10;L6uLGxAxGbKm94QaPjHCsjo9KU1h/ZHWOG5SIziEYmE0tCkNhZSxbtGZOPMDEmsfPjiTeA2NtMEc&#10;Odz1cq5ULp3piD+0ZsCHFuv95uA0vN5f7xfT0+PlKq2378GPi2f8etP6/CxTdyASTunPDD/4jA4V&#10;M+38gWwUvQYukjTMs/wKBMu3ueJh93uRVSn/F6i+AVBLAwQUAAAACACHTuJARQHOO9EBAABtAwAA&#10;DgAAAGRycy9lMm9Eb2MueG1srVNLjhMxEN0jcQfLe9Ificyklc4sJho2CCIBB6i43d2W/JPLpJNL&#10;cAEkdrBiyZ7bMHMMyk4mwww7hBfVdrnqld+r6uXV3mi2kwGVsy2vZiVn0grXKTu0/MP7mxeXnGEE&#10;24F2Vrb8IJFfrZ4/W06+kbUbne5kYARisZl8y8cYfVMUKEZpAGfOS0uXvQsGIh3DUHQBJkI3uqjL&#10;cl5MLnQ+OCERybs+XvJVxu97KeLbvkcZmW45vS1mG7LdJlusltAMAfyoxOkZ8A+vMKAsFT1DrSEC&#10;+xjUX1BGieDQ9XEmnClc3yshMwdiU5VP2LwbwcvMhcRBf5YJ/x+seLPbBKY66t2imlf1ZVm+5MyC&#10;oV7dfv7x69PXu59fyN5+/8bqpNbksaGka7sJpxP6TUjU930w6Uuk2D4rfDgrLPeRCXLOy8WiuqAK&#10;4v6ueEj0AeMr6QxLm5ZrZRN5aGD3GiMVo9D7kOS27kZpnRuoLZuIQX1RUo8F0Bz1GiJtjSdmaAfO&#10;QA80oCKGDIlOqy6lJyAMw/ZaB7aDNCR5JaZU7lFYqr0GHI9x+eo4PkZFmmGtTMtJPlqnbG0JJOl1&#10;VCjttq47ZOGyn3qay5zmLw3Nn+ec/fCXrH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FgAAAGRycy9QSwECFAAUAAAACACHTuJAT52SudcA&#10;AAAIAQAADwAAAAAAAAABACAAAAA4AAAAZHJzL2Rvd25yZXYueG1sUEsBAhQAFAAAAAgAh07iQEUB&#10;zjvRAQAAbQMAAA4AAAAAAAAAAQAgAAAAPAEAAGRycy9lMm9Eb2MueG1sUEsFBgAAAAAGAAYAWQEA&#10;AH8FAAAAAA==&#10;">
                <v:fill on="f" focussize="0,0"/>
                <v:stroke weight="1pt" color="#000000 [3200]" miterlimit="8" joinstyle="miter"/>
                <v:imagedata o:title=""/>
                <o:lock v:ext="edit" aspectratio="f"/>
              </v:line>
            </w:pict>
          </mc:Fallback>
        </mc:AlternateContent>
      </w:r>
    </w:p>
    <w:p>
      <w:pPr>
        <w:pStyle w:val="58"/>
        <w:framePr w:w="9639" w:h="624" w:hRule="exact" w:hSpace="181" w:vSpace="181" w:hAnchor="page" w:x="1327" w:y="4030"/>
        <w:rPr>
          <w:rFonts w:ascii="黑体" w:hAnsi="黑体" w:eastAsia="黑体"/>
          <w:b w:val="0"/>
          <w:bCs w:val="0"/>
          <w:w w:val="100"/>
          <w:sz w:val="48"/>
          <w:szCs w:val="48"/>
        </w:rPr>
      </w:pPr>
      <w:r>
        <w:rPr>
          <w:rFonts w:hint="eastAsia" w:ascii="黑体" w:eastAsia="黑体"/>
          <w:b w:val="0"/>
          <w:w w:val="100"/>
          <w:sz w:val="48"/>
        </w:rPr>
        <w:t>湖北省</w:t>
      </w:r>
      <w:r>
        <w:rPr>
          <w:rFonts w:hint="eastAsia" w:ascii="黑体" w:hAnsi="黑体" w:eastAsia="黑体"/>
          <w:b w:val="0"/>
          <w:bCs w:val="0"/>
          <w:w w:val="100"/>
          <w:sz w:val="48"/>
          <w:szCs w:val="48"/>
        </w:rPr>
        <w:t>地方标准</w:t>
      </w:r>
    </w:p>
    <w:p>
      <w:pPr>
        <w:pStyle w:val="203"/>
        <w:framePr w:h="6552" w:hRule="exact" w:x="1419" w:anchorLock="1"/>
        <w:rPr>
          <w:lang w:val="fr-FR"/>
        </w:rPr>
      </w:pPr>
      <w:r>
        <w:rPr>
          <w:rFonts w:hint="eastAsia"/>
        </w:rPr>
        <w:t>装配式建筑评价规范</w:t>
      </w:r>
    </w:p>
    <w:p>
      <w:pPr>
        <w:framePr w:w="9639" w:h="6552" w:hRule="exact" w:wrap="around" w:vAnchor="page" w:hAnchor="page" w:x="1419" w:y="6408" w:anchorLock="1"/>
        <w:ind w:left="-1418"/>
        <w:rPr>
          <w:lang w:val="fr-FR"/>
        </w:rPr>
      </w:pPr>
    </w:p>
    <w:p>
      <w:pPr>
        <w:pStyle w:val="131"/>
        <w:framePr w:w="9639" w:h="6552" w:hRule="exact" w:wrap="around" w:vAnchor="page" w:hAnchor="page" w:x="1419" w:y="6408" w:anchorLock="1"/>
        <w:textAlignment w:val="bottom"/>
        <w:rPr>
          <w:rFonts w:eastAsia="黑体"/>
          <w:szCs w:val="28"/>
          <w:lang w:val="fr-FR"/>
        </w:rPr>
      </w:pPr>
      <w:r>
        <w:rPr>
          <w:rFonts w:hint="eastAsia" w:eastAsia="黑体"/>
          <w:szCs w:val="28"/>
          <w:lang w:val="fr-FR"/>
        </w:rPr>
        <w:t>Code</w:t>
      </w:r>
      <w:r>
        <w:rPr>
          <w:rFonts w:eastAsia="黑体"/>
          <w:szCs w:val="28"/>
          <w:lang w:val="fr-FR"/>
        </w:rPr>
        <w:t xml:space="preserve"> for assessment of prefabricated building </w:t>
      </w:r>
    </w:p>
    <w:p>
      <w:pPr>
        <w:framePr w:w="9639" w:h="6552" w:hRule="exact" w:wrap="around" w:vAnchor="page" w:hAnchor="page" w:x="1419" w:y="6408" w:anchorLock="1"/>
        <w:spacing w:line="760" w:lineRule="exact"/>
        <w:ind w:left="-1418"/>
        <w:rPr>
          <w:lang w:val="fr-FR"/>
        </w:rPr>
      </w:pPr>
    </w:p>
    <w:p>
      <w:pPr>
        <w:pStyle w:val="131"/>
        <w:framePr w:w="9639" w:h="6552" w:hRule="exact" w:wrap="around" w:vAnchor="page" w:hAnchor="page" w:x="1419" w:y="6408" w:anchorLock="1"/>
        <w:textAlignment w:val="bottom"/>
        <w:rPr>
          <w:rFonts w:eastAsia="黑体"/>
          <w:szCs w:val="28"/>
          <w:lang w:val="fr-FR"/>
        </w:rPr>
      </w:pPr>
    </w:p>
    <w:p>
      <w:pPr>
        <w:pStyle w:val="131"/>
        <w:framePr w:w="9639" w:h="6552" w:hRule="exact" w:wrap="around" w:vAnchor="page" w:hAnchor="page" w:x="1419" w:y="6408" w:anchorLock="1"/>
        <w:spacing w:before="440" w:after="160"/>
        <w:textAlignment w:val="bottom"/>
        <w:rPr>
          <w:sz w:val="24"/>
          <w:szCs w:val="28"/>
          <w:lang w:val="fr-FR"/>
        </w:rPr>
      </w:pPr>
      <w:r>
        <w:rPr>
          <w:rFonts w:hint="eastAsia"/>
          <w:sz w:val="24"/>
          <w:szCs w:val="28"/>
          <w:lang w:val="fr-FR"/>
        </w:rPr>
        <w:t>（</w:t>
      </w:r>
      <w:r>
        <w:rPr>
          <w:rFonts w:hint="eastAsia"/>
          <w:sz w:val="24"/>
          <w:szCs w:val="28"/>
        </w:rPr>
        <w:t>征求意见稿</w:t>
      </w:r>
      <w:r>
        <w:rPr>
          <w:rFonts w:hint="eastAsia"/>
          <w:sz w:val="24"/>
          <w:szCs w:val="28"/>
          <w:lang w:val="fr-FR"/>
        </w:rPr>
        <w:t>）</w:t>
      </w:r>
    </w:p>
    <w:p>
      <w:pPr>
        <w:pStyle w:val="131"/>
        <w:framePr w:w="9639" w:h="6552" w:hRule="exact" w:wrap="around" w:vAnchor="page" w:hAnchor="page" w:x="1419" w:y="6408" w:anchorLock="1"/>
        <w:spacing w:before="180" w:line="240" w:lineRule="atLeast"/>
        <w:textAlignment w:val="bottom"/>
        <w:rPr>
          <w:sz w:val="21"/>
          <w:szCs w:val="28"/>
          <w:lang w:val="fr-FR"/>
        </w:rPr>
      </w:pPr>
      <w:r>
        <w:rPr>
          <w:sz w:val="21"/>
          <w:szCs w:val="28"/>
        </w:rPr>
        <w:t xml:space="preserve">   </w:t>
      </w:r>
    </w:p>
    <w:p>
      <w:pPr>
        <w:pStyle w:val="2"/>
        <w:ind w:firstLine="0" w:firstLineChars="0"/>
      </w:pPr>
    </w:p>
    <w:p>
      <w:pPr>
        <w:pStyle w:val="199"/>
        <w:framePr w:x="1683" w:y="13394"/>
        <w:rPr>
          <w:lang w:val="fr-FR"/>
        </w:rPr>
      </w:pPr>
      <w:bookmarkStart w:id="0" w:name="_Hlk143607798"/>
      <w:r>
        <w:rPr>
          <w:rFonts w:ascii="黑体"/>
        </w:rPr>
        <w:t>XXXX</w:t>
      </w:r>
      <w:r>
        <w:rPr>
          <w:lang w:val="fr-FR"/>
        </w:rPr>
        <w:t xml:space="preserve"> </w:t>
      </w:r>
      <w:r>
        <w:rPr>
          <w:rFonts w:ascii="黑体"/>
          <w:lang w:val="fr-FR"/>
        </w:rPr>
        <w:t>-</w:t>
      </w:r>
      <w:r>
        <w:rPr>
          <w:lang w:val="fr-FR"/>
        </w:rPr>
        <w:t xml:space="preserve"> </w:t>
      </w:r>
      <w:r>
        <w:rPr>
          <w:rFonts w:ascii="黑体"/>
        </w:rPr>
        <w:t>XX</w:t>
      </w:r>
      <w:r>
        <w:rPr>
          <w:lang w:val="fr-FR"/>
        </w:rPr>
        <w:t xml:space="preserve"> </w:t>
      </w:r>
      <w:r>
        <w:rPr>
          <w:rFonts w:ascii="黑体"/>
          <w:lang w:val="fr-FR"/>
        </w:rPr>
        <w:t>-</w:t>
      </w:r>
      <w:r>
        <w:rPr>
          <w:lang w:val="fr-FR"/>
        </w:rPr>
        <w:t xml:space="preserve"> </w:t>
      </w:r>
      <w:r>
        <w:rPr>
          <w:rFonts w:ascii="黑体"/>
        </w:rPr>
        <w:t>XX</w:t>
      </w:r>
      <w:r>
        <w:rPr>
          <w:rFonts w:hint="eastAsia"/>
        </w:rPr>
        <w:t>发布</w:t>
      </w:r>
    </w:p>
    <w:bookmarkEnd w:id="0"/>
    <w:p>
      <w:pPr>
        <w:pStyle w:val="199"/>
        <w:framePr w:x="7292" w:y="13410"/>
        <w:jc w:val="right"/>
        <w:rPr>
          <w:lang w:val="fr-FR"/>
        </w:rPr>
      </w:pPr>
      <w:r>
        <w:rPr>
          <w:rFonts w:ascii="黑体"/>
        </w:rPr>
        <w:t>XXXX</w:t>
      </w:r>
      <w:r>
        <w:rPr>
          <w:lang w:val="fr-FR"/>
        </w:rPr>
        <w:t xml:space="preserve"> </w:t>
      </w:r>
      <w:r>
        <w:rPr>
          <w:rFonts w:ascii="黑体"/>
          <w:lang w:val="fr-FR"/>
        </w:rPr>
        <w:t>-</w:t>
      </w:r>
      <w:r>
        <w:rPr>
          <w:rFonts w:ascii="黑体"/>
        </w:rPr>
        <w:t>XX</w:t>
      </w:r>
      <w:r>
        <w:rPr>
          <w:lang w:val="fr-FR"/>
        </w:rPr>
        <w:t xml:space="preserve"> </w:t>
      </w:r>
      <w:r>
        <w:rPr>
          <w:rFonts w:ascii="黑体"/>
          <w:lang w:val="fr-FR"/>
        </w:rPr>
        <w:t>-</w:t>
      </w:r>
      <w:r>
        <w:rPr>
          <w:lang w:val="fr-FR"/>
        </w:rPr>
        <w:t xml:space="preserve"> </w:t>
      </w:r>
      <w:r>
        <w:rPr>
          <w:rFonts w:ascii="黑体"/>
        </w:rPr>
        <w:t>XX</w:t>
      </w:r>
      <w:r>
        <w:rPr>
          <w:rFonts w:hint="eastAsia"/>
        </w:rPr>
        <w:t>发布</w:t>
      </w:r>
    </w:p>
    <w:p>
      <w:pPr>
        <w:pStyle w:val="2"/>
        <w:ind w:firstLine="210"/>
        <w:rPr>
          <w:lang w:val="fr-FR"/>
        </w:rPr>
      </w:pPr>
    </w:p>
    <w:p>
      <w:pPr>
        <w:pStyle w:val="2"/>
        <w:ind w:firstLine="210"/>
      </w:pPr>
      <w:r>
        <mc:AlternateContent>
          <mc:Choice Requires="wps">
            <w:drawing>
              <wp:anchor distT="0" distB="0" distL="114300" distR="114300" simplePos="0" relativeHeight="251663360" behindDoc="0" locked="0" layoutInCell="1" allowOverlap="1">
                <wp:simplePos x="0" y="0"/>
                <wp:positionH relativeFrom="margin">
                  <wp:posOffset>152400</wp:posOffset>
                </wp:positionH>
                <wp:positionV relativeFrom="paragraph">
                  <wp:posOffset>282575</wp:posOffset>
                </wp:positionV>
                <wp:extent cx="6099175" cy="0"/>
                <wp:effectExtent l="0" t="0" r="0" b="0"/>
                <wp:wrapNone/>
                <wp:docPr id="1208151756" name="直接连接符 2"/>
                <wp:cNvGraphicFramePr/>
                <a:graphic xmlns:a="http://schemas.openxmlformats.org/drawingml/2006/main">
                  <a:graphicData uri="http://schemas.microsoft.com/office/word/2010/wordprocessingShape">
                    <wps:wsp>
                      <wps:cNvCnPr/>
                      <wps:spPr>
                        <a:xfrm>
                          <a:off x="0" y="0"/>
                          <a:ext cx="609917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接连接符 2" o:spid="_x0000_s1026" o:spt="20" style="position:absolute;left:0pt;margin-left:12pt;margin-top:22.25pt;height:0pt;width:480.25pt;mso-position-horizontal-relative:margin;z-index:251663360;mso-width-relative:page;mso-height-relative:page;" filled="f" stroked="t" coordsize="21600,21600" o:gfxdata="UEsFBgAAAAAAAAAAAAAAAAAAAAAAAFBLAwQKAAAAAACHTuJAAAAAAAAAAAAAAAAABAAAAGRycy9Q&#10;SwMEFAAAAAgAh07iQOoOzy3YAAAACAEAAA8AAABkcnMvZG93bnJldi54bWxNj81OwzAQhO9IfQdr&#10;kbhRp22AEuJUFajiwKk/Ao7beEmixuvIdtPA0+OKA73t7oxmv8kXg2lFT843lhVMxgkI4tLqhisF&#10;u+3qdg7CB2SNrWVS8E0eFsXoKsdM2xOvqd+ESsQQ9hkqqEPoMil9WZNBP7YdcdS+rDMY4uoqqR2e&#10;Yrhp5TRJ7qXBhuOHGjt6rqk8bI5Gwfvy4TAbXl/SVVjvPp3tZ2/086HUzfUkeQIRaAj/ZjjjR3Qo&#10;ItPeHll70SqYprFKUJCmdyCi/jg/D/u/gyxyeVmg+AVQSwMEFAAAAAgAh07iQD8+AY3NAQAAbQMA&#10;AA4AAABkcnMvZTJvRG9jLnhtbK1TS44TMRDdI3EHy3vSnUiTybTSmcVEwwZBJOAAFbfdbck/uUw6&#10;uQQXQGIHK5bsuQ0zx6DsZDID7BBZVOz6vPJ7Vb283lvDdjKi9q7l00nNmXTCd9r1LX//7vbFgjNM&#10;4Dow3smWHyTy69XzZ8sxNHLmB286GRmBOGzG0PIhpdBUFYpBWsCJD9JRUPloIdE19lUXYSR0a6pZ&#10;Xc+r0ccuRC8kInnXxyBfFXylpEhvlEKZmGk5vS0VG4vdZlutltD0EcKgxekZ8A+vsKAdNT1DrSEB&#10;+xD1X1BWi+jRqzQR3lZeKS1k4UBspvUfbN4OEGThQuJgOMuE/w9WvN5tItMdzW5WL6YX08uLOWcO&#10;LM3q7tP3nx+/3P/4TPbu21c2y2qNARsqunGbeLph2MRMfa+izf9Eiu2LwoezwnKfmCDnvL66ohac&#10;iYdY9VgYIqaX0luWDy032mXy0MDuFSZqRqkPKdnt/K02pgzQODZmBpc1zVgA7ZEykOhoAzFD13MG&#10;pqcFFSkWSPRGd7k8A2Hstzcmsh3kJSm/zJTa/ZaWe68Bh2NeCR3Xx+pEO2y0bfniabVxBJL1OiqU&#10;T1vfHYpwxU8zLW1O+5eX5um9VD9+Jat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6g7PLdgAAAAI&#10;AQAADwAAAAAAAAABACAAAAA4AAAAZHJzL2Rvd25yZXYueG1sUEsBAhQAFAAAAAgAh07iQD8+AY3N&#10;AQAAbQMAAA4AAAAAAAAAAQAgAAAAPQEAAGRycy9lMm9Eb2MueG1sUEsFBgAAAAAGAAYAWQEAAHwF&#10;AAAAAA==&#10;">
                <v:fill on="f" focussize="0,0"/>
                <v:stroke weight="1pt" color="#000000 [3200]" miterlimit="8" joinstyle="miter"/>
                <v:imagedata o:title=""/>
                <o:lock v:ext="edit" aspectratio="f"/>
              </v:line>
            </w:pict>
          </mc:Fallback>
        </mc:AlternateContent>
      </w:r>
    </w:p>
    <w:p>
      <w:pPr>
        <w:pStyle w:val="2"/>
        <w:ind w:firstLine="210"/>
      </w:pPr>
      <w:r>
        <w:drawing>
          <wp:anchor distT="0" distB="0" distL="114300" distR="114300" simplePos="0" relativeHeight="251664384" behindDoc="0" locked="0" layoutInCell="1" allowOverlap="1">
            <wp:simplePos x="0" y="0"/>
            <wp:positionH relativeFrom="margin">
              <wp:posOffset>1050290</wp:posOffset>
            </wp:positionH>
            <wp:positionV relativeFrom="paragraph">
              <wp:posOffset>51435</wp:posOffset>
            </wp:positionV>
            <wp:extent cx="4455795" cy="600075"/>
            <wp:effectExtent l="0" t="0" r="2540" b="9525"/>
            <wp:wrapNone/>
            <wp:docPr id="76829218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68292181" name="图片 1"/>
                    <pic:cNvPicPr>
                      <a:picLocks noChangeAspect="true"/>
                    </pic:cNvPicPr>
                  </pic:nvPicPr>
                  <pic:blipFill>
                    <a:blip r:embed="rId28" cstate="print">
                      <a:extLst>
                        <a:ext uri="{28A0092B-C50C-407E-A947-70E740481C1C}">
                          <a14:useLocalDpi xmlns:a14="http://schemas.microsoft.com/office/drawing/2010/main" val="false"/>
                        </a:ext>
                      </a:extLst>
                    </a:blip>
                    <a:stretch>
                      <a:fillRect/>
                    </a:stretch>
                  </pic:blipFill>
                  <pic:spPr>
                    <a:xfrm>
                      <a:off x="0" y="0"/>
                      <a:ext cx="4455795" cy="600075"/>
                    </a:xfrm>
                    <a:prstGeom prst="rect">
                      <a:avLst/>
                    </a:prstGeom>
                  </pic:spPr>
                </pic:pic>
              </a:graphicData>
            </a:graphic>
          </wp:anchor>
        </w:drawing>
      </w:r>
    </w:p>
    <w:p>
      <w:pPr>
        <w:pStyle w:val="2"/>
        <w:ind w:firstLine="0" w:firstLineChars="0"/>
      </w:pPr>
    </w:p>
    <w:p>
      <w:pPr>
        <w:pStyle w:val="98"/>
        <w:spacing w:before="156" w:after="468"/>
      </w:pPr>
      <w:r>
        <w:rPr>
          <w:spacing w:val="320"/>
        </w:rPr>
        <w:t>目</w:t>
      </w:r>
      <w:r>
        <w:t>次</w:t>
      </w:r>
    </w:p>
    <w:p>
      <w:pPr>
        <w:pStyle w:val="21"/>
        <w:tabs>
          <w:tab w:val="right" w:leader="dot" w:pos="9344"/>
        </w:tabs>
        <w:rPr>
          <w:rFonts w:asciiTheme="minorHAnsi" w:hAnsiTheme="minorHAnsi" w:eastAsiaTheme="minorEastAsia" w:cstheme="minorBidi"/>
          <w:szCs w:val="22"/>
        </w:rPr>
      </w:pPr>
      <w:r>
        <w:fldChar w:fldCharType="begin"/>
      </w:r>
      <w:r>
        <w:instrText xml:space="preserve"> TOC \o "1-1" \h \t "标准文件_一级条标题,2,标准文件_二级条标题,3,标准文件_三级条标题,4,标准文件_附录一级条标题,2,标准文件_附录二级条标题,3,标准文件_附录三级条标题,4," </w:instrText>
      </w:r>
      <w:r>
        <w:fldChar w:fldCharType="separate"/>
      </w:r>
      <w:r>
        <w:fldChar w:fldCharType="begin"/>
      </w:r>
      <w:r>
        <w:instrText xml:space="preserve"> HYPERLINK \l "_Toc112691926" </w:instrText>
      </w:r>
      <w:r>
        <w:fldChar w:fldCharType="separate"/>
      </w:r>
      <w:r>
        <w:rPr>
          <w:rStyle w:val="35"/>
          <w:spacing w:val="320"/>
        </w:rPr>
        <w:t>前</w:t>
      </w:r>
      <w:r>
        <w:rPr>
          <w:rStyle w:val="35"/>
        </w:rPr>
        <w:t>言</w:t>
      </w:r>
      <w:r>
        <w:tab/>
      </w:r>
      <w:r>
        <w:rPr>
          <w:rFonts w:hint="eastAsia"/>
        </w:rPr>
        <w:t>Ⅱ</w:t>
      </w:r>
      <w:r>
        <w:rPr>
          <w:rFonts w:hint="eastAsia"/>
        </w:rPr>
        <w:fldChar w:fldCharType="end"/>
      </w:r>
    </w:p>
    <w:p>
      <w:pPr>
        <w:pStyle w:val="21"/>
        <w:tabs>
          <w:tab w:val="right" w:leader="dot" w:pos="9344"/>
        </w:tabs>
        <w:rPr>
          <w:rFonts w:asciiTheme="minorHAnsi" w:hAnsiTheme="minorHAnsi" w:eastAsiaTheme="minorEastAsia" w:cstheme="minorBidi"/>
          <w:szCs w:val="22"/>
        </w:rPr>
      </w:pPr>
      <w:r>
        <w:fldChar w:fldCharType="begin"/>
      </w:r>
      <w:r>
        <w:instrText xml:space="preserve"> HYPERLINK \l "_Toc112691927" </w:instrText>
      </w:r>
      <w:r>
        <w:fldChar w:fldCharType="separate"/>
      </w:r>
      <w:r>
        <w:rPr>
          <w:rStyle w:val="35"/>
        </w:rPr>
        <w:t>1 范围</w:t>
      </w:r>
      <w:r>
        <w:tab/>
      </w:r>
      <w:r>
        <w:rPr>
          <w:rFonts w:hint="eastAsia"/>
        </w:rPr>
        <w:t>1</w:t>
      </w:r>
      <w:r>
        <w:rPr>
          <w:rFonts w:hint="eastAsia"/>
        </w:rPr>
        <w:fldChar w:fldCharType="end"/>
      </w:r>
    </w:p>
    <w:p>
      <w:pPr>
        <w:pStyle w:val="21"/>
        <w:tabs>
          <w:tab w:val="right" w:leader="dot" w:pos="9344"/>
        </w:tabs>
        <w:rPr>
          <w:rFonts w:asciiTheme="minorHAnsi" w:hAnsiTheme="minorHAnsi" w:eastAsiaTheme="minorEastAsia" w:cstheme="minorBidi"/>
          <w:szCs w:val="22"/>
        </w:rPr>
      </w:pPr>
      <w:r>
        <w:fldChar w:fldCharType="begin"/>
      </w:r>
      <w:r>
        <w:instrText xml:space="preserve"> HYPERLINK \l "_Toc112691928" </w:instrText>
      </w:r>
      <w:r>
        <w:fldChar w:fldCharType="separate"/>
      </w:r>
      <w:r>
        <w:rPr>
          <w:rStyle w:val="35"/>
        </w:rPr>
        <w:t>2 规范性引用文件</w:t>
      </w:r>
      <w:r>
        <w:tab/>
      </w:r>
      <w:r>
        <w:rPr>
          <w:rFonts w:hint="eastAsia"/>
        </w:rPr>
        <w:t>1</w:t>
      </w:r>
      <w:r>
        <w:rPr>
          <w:rFonts w:hint="eastAsia"/>
        </w:rPr>
        <w:fldChar w:fldCharType="end"/>
      </w:r>
    </w:p>
    <w:p>
      <w:pPr>
        <w:pStyle w:val="21"/>
        <w:tabs>
          <w:tab w:val="right" w:leader="dot" w:pos="9344"/>
        </w:tabs>
        <w:rPr>
          <w:rFonts w:asciiTheme="minorHAnsi" w:hAnsiTheme="minorHAnsi" w:eastAsiaTheme="minorEastAsia" w:cstheme="minorBidi"/>
          <w:szCs w:val="22"/>
        </w:rPr>
      </w:pPr>
      <w:r>
        <w:fldChar w:fldCharType="begin"/>
      </w:r>
      <w:r>
        <w:instrText xml:space="preserve"> HYPERLINK \l "_Toc112691929" </w:instrText>
      </w:r>
      <w:r>
        <w:fldChar w:fldCharType="separate"/>
      </w:r>
      <w:r>
        <w:rPr>
          <w:rStyle w:val="35"/>
        </w:rPr>
        <w:t>3 术语和定义</w:t>
      </w:r>
      <w:r>
        <w:tab/>
      </w:r>
      <w:r>
        <w:rPr>
          <w:rFonts w:hint="eastAsia"/>
        </w:rPr>
        <w:t>1</w:t>
      </w:r>
      <w:r>
        <w:rPr>
          <w:rFonts w:hint="eastAsia"/>
        </w:rPr>
        <w:fldChar w:fldCharType="end"/>
      </w:r>
    </w:p>
    <w:p>
      <w:pPr>
        <w:pStyle w:val="21"/>
        <w:tabs>
          <w:tab w:val="right" w:leader="dot" w:pos="9344"/>
        </w:tabs>
        <w:rPr>
          <w:rFonts w:asciiTheme="minorHAnsi" w:hAnsiTheme="minorHAnsi" w:eastAsiaTheme="minorEastAsia" w:cstheme="minorBidi"/>
          <w:szCs w:val="22"/>
        </w:rPr>
      </w:pPr>
      <w:r>
        <w:fldChar w:fldCharType="begin"/>
      </w:r>
      <w:r>
        <w:instrText xml:space="preserve"> HYPERLINK \l "_Toc112691930" </w:instrText>
      </w:r>
      <w:r>
        <w:fldChar w:fldCharType="separate"/>
      </w:r>
      <w:r>
        <w:rPr>
          <w:rStyle w:val="35"/>
        </w:rPr>
        <w:t>4 基本规定</w:t>
      </w:r>
      <w:r>
        <w:tab/>
      </w:r>
      <w:r>
        <w:rPr>
          <w:rFonts w:hint="eastAsia"/>
        </w:rPr>
        <w:t>2</w:t>
      </w:r>
      <w:r>
        <w:rPr>
          <w:rFonts w:hint="eastAsia"/>
        </w:rPr>
        <w:fldChar w:fldCharType="end"/>
      </w:r>
    </w:p>
    <w:p>
      <w:pPr>
        <w:pStyle w:val="21"/>
        <w:tabs>
          <w:tab w:val="right" w:leader="dot" w:pos="9344"/>
        </w:tabs>
        <w:rPr>
          <w:rFonts w:asciiTheme="minorHAnsi" w:hAnsiTheme="minorHAnsi" w:eastAsiaTheme="minorEastAsia" w:cstheme="minorBidi"/>
          <w:szCs w:val="22"/>
        </w:rPr>
      </w:pPr>
      <w:r>
        <w:fldChar w:fldCharType="begin"/>
      </w:r>
      <w:r>
        <w:instrText xml:space="preserve"> HYPERLINK \l "_Toc112691931" </w:instrText>
      </w:r>
      <w:r>
        <w:fldChar w:fldCharType="separate"/>
      </w:r>
      <w:r>
        <w:rPr>
          <w:rStyle w:val="35"/>
        </w:rPr>
        <w:t xml:space="preserve">5 </w:t>
      </w:r>
      <w:r>
        <w:rPr>
          <w:rStyle w:val="35"/>
          <w:rFonts w:hint="eastAsia"/>
        </w:rPr>
        <w:t>装配率计算</w:t>
      </w:r>
      <w:r>
        <w:tab/>
      </w:r>
      <w:r>
        <w:t>3</w:t>
      </w:r>
      <w:r>
        <w:fldChar w:fldCharType="end"/>
      </w:r>
    </w:p>
    <w:p>
      <w:pPr>
        <w:pStyle w:val="21"/>
        <w:tabs>
          <w:tab w:val="right" w:leader="dot" w:pos="9344"/>
        </w:tabs>
      </w:pPr>
      <w:r>
        <w:fldChar w:fldCharType="begin"/>
      </w:r>
      <w:r>
        <w:instrText xml:space="preserve"> HYPERLINK \l "_Toc112691932" </w:instrText>
      </w:r>
      <w:r>
        <w:fldChar w:fldCharType="separate"/>
      </w:r>
      <w:r>
        <w:rPr>
          <w:rStyle w:val="35"/>
        </w:rPr>
        <w:t xml:space="preserve">6 </w:t>
      </w:r>
      <w:r>
        <w:rPr>
          <w:rStyle w:val="35"/>
          <w:rFonts w:hint="eastAsia"/>
        </w:rPr>
        <w:t>评价等级划分</w:t>
      </w:r>
      <w:r>
        <w:tab/>
      </w:r>
      <w:r>
        <w:t>7</w:t>
      </w:r>
      <w:r>
        <w:fldChar w:fldCharType="end"/>
      </w:r>
    </w:p>
    <w:p>
      <w:pPr>
        <w:pStyle w:val="21"/>
        <w:tabs>
          <w:tab w:val="right" w:leader="dot" w:pos="9344"/>
        </w:tabs>
        <w:rPr>
          <w:rStyle w:val="35"/>
        </w:rPr>
      </w:pPr>
      <w:r>
        <w:fldChar w:fldCharType="begin"/>
      </w:r>
      <w:r>
        <w:instrText xml:space="preserve"> HYPERLINK \l "_Toc112691932" </w:instrText>
      </w:r>
      <w:r>
        <w:fldChar w:fldCharType="separate"/>
      </w:r>
      <w:r>
        <w:rPr>
          <w:rStyle w:val="35"/>
        </w:rPr>
        <w:t xml:space="preserve">7 </w:t>
      </w:r>
      <w:r>
        <w:rPr>
          <w:rStyle w:val="35"/>
          <w:rFonts w:hint="eastAsia"/>
        </w:rPr>
        <w:t>装配式建筑评价方法</w:t>
      </w:r>
      <w:r>
        <w:rPr>
          <w:rStyle w:val="35"/>
        </w:rPr>
        <w:tab/>
      </w:r>
      <w:r>
        <w:rPr>
          <w:rStyle w:val="35"/>
          <w:rFonts w:hint="eastAsia"/>
        </w:rPr>
        <w:t>8</w:t>
      </w:r>
      <w:r>
        <w:rPr>
          <w:rStyle w:val="35"/>
          <w:rFonts w:hint="eastAsia"/>
        </w:rPr>
        <w:fldChar w:fldCharType="end"/>
      </w:r>
    </w:p>
    <w:p>
      <w:pPr>
        <w:pStyle w:val="21"/>
        <w:tabs>
          <w:tab w:val="right" w:leader="dot" w:pos="9344"/>
        </w:tabs>
        <w:rPr>
          <w:rStyle w:val="35"/>
        </w:rPr>
      </w:pPr>
      <w:r>
        <w:rPr>
          <w:rStyle w:val="35"/>
          <w:rFonts w:hint="eastAsia"/>
        </w:rPr>
        <w:t>附录A</w:t>
      </w:r>
      <w:r>
        <w:rPr>
          <w:rStyle w:val="35"/>
        </w:rPr>
        <w:t xml:space="preserve"> </w:t>
      </w:r>
      <w:r>
        <w:rPr>
          <w:rStyle w:val="35"/>
          <w:rFonts w:hint="eastAsia"/>
        </w:rPr>
        <w:t>装配式建筑综合评价得分表</w:t>
      </w:r>
      <w:r>
        <w:rPr>
          <w:rStyle w:val="35"/>
        </w:rPr>
        <w:tab/>
      </w:r>
      <w:r>
        <w:rPr>
          <w:rStyle w:val="35"/>
        </w:rPr>
        <w:t>8</w:t>
      </w:r>
    </w:p>
    <w:p>
      <w:pPr>
        <w:pStyle w:val="21"/>
        <w:tabs>
          <w:tab w:val="right" w:leader="dot" w:pos="9344"/>
        </w:tabs>
        <w:rPr>
          <w:rFonts w:hAnsi="Times New Roman"/>
        </w:rPr>
      </w:pPr>
      <w:r>
        <w:rPr>
          <w:rStyle w:val="35"/>
          <w:rFonts w:hint="eastAsia"/>
        </w:rPr>
        <w:t>附录</w:t>
      </w:r>
      <w:r>
        <w:rPr>
          <w:rStyle w:val="35"/>
        </w:rPr>
        <w:t xml:space="preserve">B </w:t>
      </w:r>
      <w:r>
        <w:rPr>
          <w:rStyle w:val="35"/>
          <w:rFonts w:hint="eastAsia"/>
        </w:rPr>
        <w:t>装配式建筑综合评价得分表</w:t>
      </w:r>
      <w:r>
        <w:rPr>
          <w:rStyle w:val="35"/>
        </w:rPr>
        <w:tab/>
      </w:r>
      <w:r>
        <w:rPr>
          <w:rStyle w:val="35"/>
          <w:rFonts w:hint="eastAsia"/>
        </w:rPr>
        <w:t>11</w:t>
      </w:r>
    </w:p>
    <w:p>
      <w:pPr>
        <w:pStyle w:val="21"/>
        <w:tabs>
          <w:tab w:val="right" w:leader="dot" w:pos="9344"/>
        </w:tabs>
        <w:rPr>
          <w:rStyle w:val="35"/>
        </w:rPr>
      </w:pPr>
      <w:r>
        <w:fldChar w:fldCharType="begin"/>
      </w:r>
      <w:r>
        <w:instrText xml:space="preserve"> HYPERLINK \l "_Toc112691932" </w:instrText>
      </w:r>
      <w:r>
        <w:fldChar w:fldCharType="separate"/>
      </w:r>
      <w:r>
        <w:rPr>
          <w:rStyle w:val="35"/>
          <w:rFonts w:hint="eastAsia"/>
        </w:rPr>
        <w:t>条文说明</w:t>
      </w:r>
      <w:r>
        <w:rPr>
          <w:rStyle w:val="35"/>
        </w:rPr>
        <w:tab/>
      </w:r>
      <w:r>
        <w:rPr>
          <w:rStyle w:val="35"/>
          <w:rFonts w:hint="eastAsia"/>
        </w:rPr>
        <w:t>1</w:t>
      </w:r>
      <w:r>
        <w:rPr>
          <w:rStyle w:val="35"/>
          <w:rFonts w:hint="eastAsia"/>
        </w:rPr>
        <w:fldChar w:fldCharType="end"/>
      </w:r>
      <w:r>
        <w:rPr>
          <w:rStyle w:val="35"/>
          <w:rFonts w:hint="eastAsia"/>
        </w:rPr>
        <w:t>3</w:t>
      </w:r>
    </w:p>
    <w:p/>
    <w:p>
      <w:r>
        <w:fldChar w:fldCharType="end"/>
      </w: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210"/>
        <w:sectPr>
          <w:footerReference r:id="rId5" w:type="default"/>
          <w:pgSz w:w="11906" w:h="16838"/>
          <w:pgMar w:top="2410" w:right="1134" w:bottom="1134" w:left="1134" w:header="1418" w:footer="1134" w:gutter="284"/>
          <w:cols w:space="425" w:num="1"/>
          <w:formProt w:val="0"/>
          <w:docGrid w:type="lines" w:linePitch="312" w:charSpace="0"/>
        </w:sectPr>
      </w:pPr>
    </w:p>
    <w:p>
      <w:pPr>
        <w:pStyle w:val="96"/>
        <w:numPr>
          <w:ilvl w:val="0"/>
          <w:numId w:val="0"/>
        </w:numPr>
        <w:spacing w:after="468"/>
      </w:pPr>
      <w:bookmarkStart w:id="1" w:name="_Toc112691926"/>
      <w:bookmarkStart w:id="2" w:name="_Toc32007"/>
      <w:bookmarkStart w:id="3" w:name="BookMark2"/>
      <w:r>
        <w:rPr>
          <w:spacing w:val="320"/>
        </w:rPr>
        <w:t>前</w:t>
      </w:r>
      <w:r>
        <w:t>言</w:t>
      </w:r>
      <w:bookmarkEnd w:id="1"/>
      <w:bookmarkEnd w:id="2"/>
    </w:p>
    <w:p>
      <w:pPr>
        <w:pStyle w:val="64"/>
        <w:ind w:firstLine="420"/>
      </w:pPr>
      <w:r>
        <w:rPr>
          <w:rFonts w:hint="eastAsia"/>
        </w:rPr>
        <w:t>本文件按照GB/T 1.1—2020《标准化工作导则  第1部分：标准化文件的结构和起草规则》的规定起草。</w:t>
      </w:r>
    </w:p>
    <w:p>
      <w:pPr>
        <w:pStyle w:val="64"/>
        <w:ind w:firstLine="420"/>
      </w:pPr>
      <w:r>
        <w:rPr>
          <w:rFonts w:hint="eastAsia"/>
        </w:rPr>
        <w:t>本文件由湖北省住房和城乡建设厅提出并归口管理。</w:t>
      </w:r>
    </w:p>
    <w:p>
      <w:pPr>
        <w:pStyle w:val="64"/>
        <w:ind w:firstLine="420"/>
      </w:pPr>
      <w:r>
        <w:rPr>
          <w:rFonts w:hint="eastAsia"/>
        </w:rPr>
        <w:t>本文件起草单位：湖北城市建设职业技术学院</w:t>
      </w:r>
    </w:p>
    <w:p>
      <w:pPr>
        <w:pStyle w:val="64"/>
        <w:ind w:firstLine="420"/>
      </w:pPr>
      <w:r>
        <w:rPr>
          <w:rFonts w:hint="eastAsia"/>
        </w:rPr>
        <w:t>本文件主要起草人：</w:t>
      </w:r>
    </w:p>
    <w:p>
      <w:pPr>
        <w:pStyle w:val="64"/>
        <w:ind w:firstLine="420"/>
      </w:pPr>
      <w:r>
        <w:rPr>
          <w:rFonts w:hint="eastAsia"/>
        </w:rPr>
        <w:t>本文件实施应用中的疑问，可咨询湖北省住房和城乡建设厅，联系电话：0</w:t>
      </w:r>
      <w:r>
        <w:t>27</w:t>
      </w:r>
      <w:r>
        <w:rPr>
          <w:rFonts w:hint="eastAsia"/>
        </w:rPr>
        <w:t>-</w:t>
      </w:r>
      <w:r>
        <w:t>68873088</w:t>
      </w:r>
      <w:r>
        <w:rPr>
          <w:rFonts w:hint="eastAsia"/>
        </w:rPr>
        <w:t>，邮箱：mail.</w:t>
      </w:r>
      <w:r>
        <w:t>hbszjt.net.cn</w:t>
      </w:r>
      <w:r>
        <w:rPr>
          <w:rFonts w:hint="eastAsia"/>
        </w:rPr>
        <w:t>。在执行过程中如有意见和建议，请寄送至湖北城市建设职业技术学院（地址：湖北省武汉市东湖高新技术开发区藏龙大道28号；邮编：4</w:t>
      </w:r>
      <w:r>
        <w:t>30205</w:t>
      </w:r>
      <w:r>
        <w:rPr>
          <w:rFonts w:hint="eastAsia"/>
        </w:rPr>
        <w:t>）。电话：</w:t>
      </w:r>
      <w:r>
        <w:t>027</w:t>
      </w:r>
      <w:r>
        <w:rPr>
          <w:rFonts w:hint="eastAsia"/>
        </w:rPr>
        <w:t>-</w:t>
      </w:r>
      <w:r>
        <w:t>81326835</w:t>
      </w:r>
      <w:r>
        <w:rPr>
          <w:rFonts w:hint="eastAsia"/>
        </w:rPr>
        <w:t>。</w:t>
      </w:r>
    </w:p>
    <w:p>
      <w:pPr>
        <w:pStyle w:val="64"/>
        <w:ind w:firstLine="420"/>
      </w:pPr>
    </w:p>
    <w:p>
      <w:pPr>
        <w:pStyle w:val="64"/>
        <w:ind w:firstLine="420"/>
        <w:sectPr>
          <w:footerReference r:id="rId6" w:type="default"/>
          <w:pgSz w:w="11906" w:h="16838"/>
          <w:pgMar w:top="2410" w:right="1134" w:bottom="1134" w:left="1134" w:header="1418" w:footer="1134" w:gutter="284"/>
          <w:cols w:space="425" w:num="1"/>
          <w:formProt w:val="0"/>
          <w:docGrid w:type="lines" w:linePitch="312" w:charSpace="0"/>
        </w:sectPr>
      </w:pPr>
    </w:p>
    <w:bookmarkEnd w:id="3"/>
    <w:p>
      <w:pPr>
        <w:spacing w:line="20" w:lineRule="exact"/>
        <w:jc w:val="center"/>
        <w:rPr>
          <w:rFonts w:ascii="黑体" w:hAnsi="黑体" w:eastAsia="黑体"/>
          <w:sz w:val="32"/>
          <w:szCs w:val="32"/>
        </w:rPr>
      </w:pPr>
      <w:bookmarkStart w:id="4" w:name="BookMark4"/>
    </w:p>
    <w:p>
      <w:pPr>
        <w:spacing w:line="20" w:lineRule="exact"/>
        <w:jc w:val="center"/>
        <w:rPr>
          <w:rFonts w:ascii="黑体" w:hAnsi="黑体" w:eastAsia="黑体"/>
          <w:sz w:val="32"/>
          <w:szCs w:val="32"/>
        </w:rPr>
      </w:pPr>
    </w:p>
    <w:sdt>
      <w:sdtPr>
        <w:tag w:val="NEW_STAND_NAME"/>
        <w:id w:val="595910757"/>
        <w:placeholder>
          <w:docPart w:val="0C1F4A31C9DD4B92B08AE7DB0A544E04"/>
        </w:placeholder>
      </w:sdtPr>
      <w:sdtContent>
        <w:p>
          <w:pPr>
            <w:pStyle w:val="183"/>
            <w:spacing w:before="3" w:beforeLines="1" w:after="686" w:afterLines="220"/>
          </w:pPr>
          <w:bookmarkStart w:id="5" w:name="NEW_STAND_NAME"/>
          <w:r>
            <w:rPr>
              <w:rFonts w:hint="eastAsia"/>
            </w:rPr>
            <w:t>装配式建筑评价规范</w:t>
          </w:r>
        </w:p>
      </w:sdtContent>
    </w:sdt>
    <w:bookmarkEnd w:id="5"/>
    <w:p>
      <w:pPr>
        <w:pStyle w:val="110"/>
        <w:spacing w:before="312" w:after="312"/>
        <w:ind w:left="0"/>
        <w:rPr>
          <w:b/>
          <w:bCs/>
        </w:rPr>
      </w:pPr>
      <w:bookmarkStart w:id="6" w:name="_Toc17233333"/>
      <w:bookmarkStart w:id="7" w:name="_Toc26648465"/>
      <w:bookmarkStart w:id="8" w:name="_Toc26986771"/>
      <w:bookmarkStart w:id="9" w:name="_Toc24884211"/>
      <w:bookmarkStart w:id="10" w:name="_Toc26718930"/>
      <w:bookmarkStart w:id="11" w:name="_Toc26986530"/>
      <w:bookmarkStart w:id="12" w:name="_Toc24884218"/>
      <w:bookmarkStart w:id="13" w:name="_Toc17233325"/>
      <w:bookmarkStart w:id="14" w:name="_Toc112691927"/>
      <w:r>
        <w:rPr>
          <w:rFonts w:hint="eastAsia"/>
          <w:b/>
          <w:bCs/>
        </w:rPr>
        <w:t>范围</w:t>
      </w:r>
      <w:bookmarkEnd w:id="6"/>
      <w:bookmarkEnd w:id="7"/>
      <w:bookmarkEnd w:id="8"/>
      <w:bookmarkEnd w:id="9"/>
      <w:bookmarkEnd w:id="10"/>
      <w:bookmarkEnd w:id="11"/>
      <w:bookmarkEnd w:id="12"/>
      <w:bookmarkEnd w:id="13"/>
      <w:bookmarkEnd w:id="14"/>
    </w:p>
    <w:p>
      <w:pPr>
        <w:pStyle w:val="64"/>
        <w:ind w:firstLine="420"/>
      </w:pPr>
      <w:bookmarkStart w:id="15" w:name="_Toc26648466"/>
      <w:bookmarkStart w:id="16" w:name="_Toc17233326"/>
      <w:bookmarkStart w:id="17" w:name="_Toc24884219"/>
      <w:bookmarkStart w:id="18" w:name="_Toc24884212"/>
      <w:bookmarkStart w:id="19" w:name="_Toc17233334"/>
      <w:r>
        <w:rPr>
          <w:rFonts w:hint="eastAsia"/>
        </w:rPr>
        <w:t>本文件规定了湖北省新建装配式建筑的装配率计算方法和装配式建筑评价等级。</w:t>
      </w:r>
    </w:p>
    <w:p>
      <w:pPr>
        <w:pStyle w:val="64"/>
        <w:ind w:firstLine="420"/>
      </w:pPr>
      <w:r>
        <w:t>本</w:t>
      </w:r>
      <w:r>
        <w:rPr>
          <w:rFonts w:hint="eastAsia"/>
        </w:rPr>
        <w:t>文件</w:t>
      </w:r>
      <w:r>
        <w:t>适用于</w:t>
      </w:r>
      <w:r>
        <w:rPr>
          <w:rFonts w:hint="eastAsia"/>
        </w:rPr>
        <w:t>湖北省新建装配式建筑评价标准，</w:t>
      </w:r>
      <w:r>
        <w:t>装配式建筑评价除应符合本规范外</w:t>
      </w:r>
      <w:r>
        <w:rPr>
          <w:rFonts w:hint="eastAsia"/>
        </w:rPr>
        <w:t>，</w:t>
      </w:r>
      <w:r>
        <w:t>尚应符合国家和湖北省现行有关标准的规定</w:t>
      </w:r>
      <w:r>
        <w:rPr>
          <w:rFonts w:hint="eastAsia"/>
        </w:rPr>
        <w:t>。</w:t>
      </w:r>
    </w:p>
    <w:p>
      <w:pPr>
        <w:pStyle w:val="64"/>
        <w:ind w:firstLine="420"/>
      </w:pPr>
    </w:p>
    <w:p>
      <w:pPr>
        <w:pStyle w:val="110"/>
        <w:spacing w:before="312" w:after="312"/>
        <w:ind w:left="0"/>
        <w:rPr>
          <w:b/>
          <w:bCs/>
        </w:rPr>
      </w:pPr>
      <w:bookmarkStart w:id="20" w:name="_Toc26986772"/>
      <w:bookmarkStart w:id="21" w:name="_Toc112691928"/>
      <w:bookmarkStart w:id="22" w:name="_Toc26986531"/>
      <w:bookmarkStart w:id="23" w:name="_Toc26718931"/>
      <w:r>
        <w:rPr>
          <w:rFonts w:hint="eastAsia"/>
          <w:b/>
          <w:bCs/>
        </w:rPr>
        <w:t>规范性引用文件</w:t>
      </w:r>
      <w:bookmarkEnd w:id="15"/>
      <w:bookmarkEnd w:id="16"/>
      <w:bookmarkEnd w:id="17"/>
      <w:bookmarkEnd w:id="18"/>
      <w:bookmarkEnd w:id="19"/>
      <w:bookmarkEnd w:id="20"/>
      <w:bookmarkEnd w:id="21"/>
      <w:bookmarkEnd w:id="22"/>
      <w:bookmarkEnd w:id="23"/>
    </w:p>
    <w:sdt>
      <w:sdtPr>
        <w:rPr>
          <w:rFonts w:hint="eastAsia"/>
        </w:rPr>
        <w:id w:val="715848253"/>
        <w:placeholder>
          <w:docPart w:val="12FCAEE6866D411AB763A6AE6E3D9268"/>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64"/>
            <w:ind w:firstLine="420"/>
          </w:pPr>
          <w:bookmarkStart w:id="24" w:name="_Hlk98774681"/>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bookmarkEnd w:id="24"/>
    <w:p>
      <w:pPr>
        <w:pStyle w:val="64"/>
        <w:ind w:firstLine="420"/>
      </w:pPr>
      <w:r>
        <w:rPr>
          <w:rFonts w:hint="eastAsia"/>
        </w:rPr>
        <w:t>GB/T 51129</w:t>
      </w:r>
      <w:r>
        <w:t xml:space="preserve"> </w:t>
      </w:r>
      <w:r>
        <w:rPr>
          <w:rFonts w:hint="eastAsia"/>
        </w:rPr>
        <w:t xml:space="preserve"> 装配式建筑评价标准   </w:t>
      </w:r>
    </w:p>
    <w:p>
      <w:pPr>
        <w:pStyle w:val="64"/>
        <w:ind w:firstLine="420"/>
      </w:pPr>
      <w:r>
        <w:rPr>
          <w:rFonts w:hint="eastAsia"/>
        </w:rPr>
        <w:t xml:space="preserve">GB/T 51231  装配式混凝土建筑技术标准  </w:t>
      </w:r>
    </w:p>
    <w:p>
      <w:pPr>
        <w:pStyle w:val="64"/>
        <w:ind w:firstLine="420"/>
      </w:pPr>
      <w:r>
        <w:rPr>
          <w:rFonts w:hint="eastAsia"/>
        </w:rPr>
        <w:t xml:space="preserve">GB/T 51232  装配式钢结构建筑技术标准    </w:t>
      </w:r>
    </w:p>
    <w:p>
      <w:pPr>
        <w:pStyle w:val="64"/>
        <w:ind w:firstLine="420"/>
      </w:pPr>
      <w:r>
        <w:rPr>
          <w:rFonts w:hint="eastAsia"/>
        </w:rPr>
        <w:t xml:space="preserve">GB/T 51233  装配式木结构建筑技术标准 </w:t>
      </w:r>
    </w:p>
    <w:p>
      <w:pPr>
        <w:pStyle w:val="64"/>
        <w:ind w:firstLine="420"/>
      </w:pPr>
      <w:r>
        <w:rPr>
          <w:rFonts w:hint="eastAsia"/>
        </w:rPr>
        <w:t>GBT</w:t>
      </w:r>
      <w:r>
        <w:t xml:space="preserve"> </w:t>
      </w:r>
      <w:r>
        <w:rPr>
          <w:rFonts w:hint="eastAsia"/>
        </w:rPr>
        <w:t>51446</w:t>
      </w:r>
      <w:r>
        <w:t xml:space="preserve"> </w:t>
      </w:r>
      <w:r>
        <w:rPr>
          <w:rFonts w:hint="eastAsia"/>
        </w:rPr>
        <w:t xml:space="preserve"> 钢管混凝土混合结构技术标准 </w:t>
      </w:r>
    </w:p>
    <w:p>
      <w:pPr>
        <w:pStyle w:val="64"/>
        <w:ind w:firstLine="420"/>
      </w:pPr>
      <w:r>
        <w:rPr>
          <w:rFonts w:hint="eastAsia"/>
        </w:rPr>
        <w:t>JGJ 1</w:t>
      </w:r>
      <w:r>
        <w:t xml:space="preserve">  </w:t>
      </w:r>
      <w:r>
        <w:rPr>
          <w:rFonts w:hint="eastAsia"/>
        </w:rPr>
        <w:t xml:space="preserve"> </w:t>
      </w:r>
      <w:r>
        <w:t xml:space="preserve"> </w:t>
      </w:r>
      <w:r>
        <w:rPr>
          <w:rFonts w:hint="eastAsia"/>
        </w:rPr>
        <w:t xml:space="preserve">装配式建筑混凝土结构技术规程 </w:t>
      </w:r>
    </w:p>
    <w:p>
      <w:pPr>
        <w:pStyle w:val="64"/>
        <w:ind w:firstLine="420"/>
      </w:pPr>
      <w:r>
        <w:rPr>
          <w:rFonts w:hint="eastAsia"/>
        </w:rPr>
        <w:t>JGJ 224</w:t>
      </w:r>
      <w:r>
        <w:t xml:space="preserve"> </w:t>
      </w:r>
      <w:r>
        <w:rPr>
          <w:rFonts w:hint="eastAsia"/>
        </w:rPr>
        <w:t xml:space="preserve"> 预制预应力混凝土装配整体式框架结构技术规程 </w:t>
      </w:r>
    </w:p>
    <w:p>
      <w:pPr>
        <w:pStyle w:val="64"/>
        <w:ind w:firstLine="420"/>
      </w:pPr>
      <w:r>
        <w:rPr>
          <w:rFonts w:hint="eastAsia"/>
        </w:rPr>
        <w:t xml:space="preserve">JGJ/T 400  </w:t>
      </w:r>
      <w:r>
        <w:t xml:space="preserve"> </w:t>
      </w:r>
      <w:r>
        <w:rPr>
          <w:rFonts w:hint="eastAsia"/>
        </w:rPr>
        <w:t xml:space="preserve">装配式劲性柱混合梁框架结构技术规程 </w:t>
      </w:r>
    </w:p>
    <w:p>
      <w:pPr>
        <w:pStyle w:val="64"/>
        <w:ind w:firstLine="420"/>
      </w:pPr>
      <w:r>
        <w:rPr>
          <w:rFonts w:hint="eastAsia"/>
        </w:rPr>
        <w:t>JGJ/T 458</w:t>
      </w:r>
      <w:r>
        <w:t xml:space="preserve"> </w:t>
      </w:r>
      <w:r>
        <w:rPr>
          <w:rFonts w:hint="eastAsia"/>
        </w:rPr>
        <w:t xml:space="preserve"> </w:t>
      </w:r>
      <w:r>
        <w:t xml:space="preserve"> </w:t>
      </w:r>
      <w:r>
        <w:rPr>
          <w:rFonts w:hint="eastAsia"/>
        </w:rPr>
        <w:t xml:space="preserve">预制混凝土外挂墙板应用技术标准 </w:t>
      </w:r>
    </w:p>
    <w:p>
      <w:pPr>
        <w:pStyle w:val="64"/>
        <w:ind w:firstLine="420"/>
      </w:pPr>
      <w:r>
        <w:rPr>
          <w:rFonts w:hint="eastAsia"/>
        </w:rPr>
        <w:t>JGJ/T</w:t>
      </w:r>
      <w:r>
        <w:t xml:space="preserve"> </w:t>
      </w:r>
      <w:r>
        <w:rPr>
          <w:rFonts w:hint="eastAsia"/>
        </w:rPr>
        <w:t>491</w:t>
      </w:r>
      <w:r>
        <w:t xml:space="preserve"> </w:t>
      </w:r>
      <w:r>
        <w:rPr>
          <w:rFonts w:hint="eastAsia"/>
        </w:rPr>
        <w:t xml:space="preserve"> </w:t>
      </w:r>
      <w:r>
        <w:t xml:space="preserve"> </w:t>
      </w:r>
      <w:r>
        <w:rPr>
          <w:rFonts w:hint="eastAsia"/>
        </w:rPr>
        <w:t xml:space="preserve">装配式内装修技术标准       </w:t>
      </w:r>
      <w:r>
        <w:rPr>
          <w:rFonts w:hint="eastAsia"/>
        </w:rPr>
        <w:tab/>
      </w:r>
      <w:r>
        <w:rPr>
          <w:rFonts w:hint="eastAsia"/>
        </w:rPr>
        <w:t xml:space="preserve"> </w:t>
      </w:r>
    </w:p>
    <w:p>
      <w:pPr>
        <w:pStyle w:val="64"/>
        <w:ind w:firstLine="420"/>
      </w:pPr>
      <w:r>
        <w:rPr>
          <w:rFonts w:hint="eastAsia"/>
        </w:rPr>
        <w:t>JGJ/T 494</w:t>
      </w:r>
      <w:r>
        <w:t xml:space="preserve"> </w:t>
      </w:r>
      <w:r>
        <w:rPr>
          <w:rFonts w:hint="eastAsia"/>
        </w:rPr>
        <w:t xml:space="preserve"> </w:t>
      </w:r>
      <w:r>
        <w:t xml:space="preserve"> </w:t>
      </w:r>
      <w:r>
        <w:rPr>
          <w:rFonts w:hint="eastAsia"/>
        </w:rPr>
        <w:t xml:space="preserve">装配式住宅设计选型标准     </w:t>
      </w:r>
    </w:p>
    <w:p>
      <w:pPr>
        <w:pStyle w:val="64"/>
        <w:ind w:firstLine="420"/>
      </w:pPr>
      <w:r>
        <w:rPr>
          <w:rFonts w:hint="eastAsia"/>
        </w:rPr>
        <w:t>DB42/T 1044</w:t>
      </w:r>
      <w:r>
        <w:t xml:space="preserve"> </w:t>
      </w:r>
      <w:r>
        <w:rPr>
          <w:rFonts w:hint="eastAsia"/>
        </w:rPr>
        <w:t xml:space="preserve"> </w:t>
      </w:r>
      <w:r>
        <w:t xml:space="preserve"> </w:t>
      </w:r>
      <w:r>
        <w:rPr>
          <w:rFonts w:hint="eastAsia"/>
        </w:rPr>
        <w:t xml:space="preserve">装配整体式混凝土剪力墙结构技术规程 </w:t>
      </w:r>
    </w:p>
    <w:p>
      <w:pPr>
        <w:pStyle w:val="64"/>
        <w:ind w:firstLine="420"/>
      </w:pPr>
      <w:r>
        <w:rPr>
          <w:rFonts w:hint="eastAsia"/>
        </w:rPr>
        <w:t>DB42/T 1225</w:t>
      </w:r>
      <w:r>
        <w:t xml:space="preserve"> </w:t>
      </w:r>
      <w:r>
        <w:rPr>
          <w:rFonts w:hint="eastAsia"/>
        </w:rPr>
        <w:t xml:space="preserve"> </w:t>
      </w:r>
      <w:r>
        <w:t xml:space="preserve"> </w:t>
      </w:r>
      <w:r>
        <w:rPr>
          <w:rFonts w:hint="eastAsia"/>
        </w:rPr>
        <w:t xml:space="preserve">装配式混凝土结构工程施工与质量验收规程 </w:t>
      </w:r>
    </w:p>
    <w:p>
      <w:pPr>
        <w:pStyle w:val="64"/>
        <w:ind w:firstLine="420"/>
      </w:pPr>
      <w:r>
        <w:rPr>
          <w:rFonts w:hint="eastAsia"/>
        </w:rPr>
        <w:t>DB42 T 1483</w:t>
      </w:r>
      <w:r>
        <w:t xml:space="preserve"> </w:t>
      </w:r>
      <w:r>
        <w:rPr>
          <w:rFonts w:hint="eastAsia"/>
        </w:rPr>
        <w:t xml:space="preserve"> </w:t>
      </w:r>
      <w:r>
        <w:t xml:space="preserve"> </w:t>
      </w:r>
      <w:r>
        <w:rPr>
          <w:rFonts w:hint="eastAsia"/>
        </w:rPr>
        <w:t xml:space="preserve">装配整体式混凝土叠合剪力墙结构技术规程 </w:t>
      </w:r>
    </w:p>
    <w:p>
      <w:pPr>
        <w:pStyle w:val="64"/>
        <w:ind w:firstLine="420"/>
      </w:pPr>
      <w:r>
        <w:rPr>
          <w:rFonts w:hint="eastAsia"/>
        </w:rPr>
        <w:t>DB42/T</w:t>
      </w:r>
      <w:r>
        <w:t xml:space="preserve"> </w:t>
      </w:r>
      <w:r>
        <w:rPr>
          <w:rFonts w:hint="eastAsia"/>
        </w:rPr>
        <w:t>1863</w:t>
      </w:r>
      <w:r>
        <w:t xml:space="preserve"> </w:t>
      </w:r>
      <w:r>
        <w:rPr>
          <w:rFonts w:hint="eastAsia"/>
        </w:rPr>
        <w:t xml:space="preserve"> </w:t>
      </w:r>
      <w:r>
        <w:t xml:space="preserve"> </w:t>
      </w:r>
      <w:r>
        <w:rPr>
          <w:rFonts w:hint="eastAsia"/>
        </w:rPr>
        <w:t xml:space="preserve">装配式混凝土建筑设计深度技术规程 </w:t>
      </w:r>
    </w:p>
    <w:p>
      <w:pPr>
        <w:pStyle w:val="110"/>
        <w:spacing w:before="312" w:after="312"/>
        <w:ind w:left="0"/>
        <w:rPr>
          <w:b/>
          <w:bCs/>
        </w:rPr>
      </w:pPr>
      <w:bookmarkStart w:id="25" w:name="_Toc112691929"/>
      <w:r>
        <w:rPr>
          <w:rFonts w:hint="eastAsia"/>
          <w:b/>
          <w:bCs/>
        </w:rPr>
        <w:t>术语和定义</w:t>
      </w:r>
      <w:bookmarkEnd w:id="25"/>
    </w:p>
    <w:sdt>
      <w:sdtPr>
        <w:id w:val="-1909835108"/>
        <w:placeholder>
          <w:docPart w:val="87E211CF23EF4BFCB6DBE965DACFD726"/>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64"/>
            <w:ind w:firstLine="420"/>
          </w:pPr>
          <w:bookmarkStart w:id="26" w:name="_Toc26986532"/>
          <w:bookmarkEnd w:id="26"/>
          <w:r>
            <w:t>下列术语和定义适用于本文件。</w:t>
          </w:r>
        </w:p>
      </w:sdtContent>
    </w:sdt>
    <w:p>
      <w:pPr>
        <w:pStyle w:val="64"/>
        <w:ind w:firstLine="0" w:firstLineChars="0"/>
        <w:rPr>
          <w:rFonts w:ascii="黑体" w:hAnsi="黑体" w:eastAsia="黑体"/>
          <w:b/>
          <w:bCs/>
        </w:rPr>
      </w:pPr>
      <w:r>
        <w:rPr>
          <w:rFonts w:hint="eastAsia" w:ascii="黑体" w:hAnsi="黑体" w:eastAsia="黑体"/>
          <w:b/>
          <w:bCs/>
        </w:rPr>
        <w:t>3.1</w:t>
      </w:r>
      <w:r>
        <w:rPr>
          <w:rFonts w:ascii="黑体" w:hAnsi="黑体" w:eastAsia="黑体"/>
          <w:b/>
          <w:bCs/>
        </w:rPr>
        <w:t xml:space="preserve"> </w:t>
      </w:r>
    </w:p>
    <w:p>
      <w:pPr>
        <w:pStyle w:val="64"/>
        <w:ind w:firstLine="422"/>
        <w:rPr>
          <w:rFonts w:ascii="黑体" w:hAnsi="黑体" w:eastAsia="黑体"/>
          <w:b/>
          <w:bCs/>
        </w:rPr>
      </w:pPr>
      <w:r>
        <w:rPr>
          <w:rFonts w:hint="eastAsia" w:ascii="黑体" w:hAnsi="黑体" w:eastAsia="黑体"/>
          <w:b/>
          <w:bCs/>
        </w:rPr>
        <w:t xml:space="preserve">装配式建筑  </w:t>
      </w:r>
      <w:r>
        <w:rPr>
          <w:rFonts w:ascii="黑体" w:hAnsi="黑体" w:eastAsia="黑体"/>
          <w:b/>
          <w:bCs/>
        </w:rPr>
        <w:t>prefabricated building</w:t>
      </w:r>
    </w:p>
    <w:p>
      <w:pPr>
        <w:pStyle w:val="64"/>
        <w:ind w:firstLine="420"/>
      </w:pPr>
      <w:r>
        <w:rPr>
          <w:rFonts w:hint="eastAsia"/>
        </w:rPr>
        <w:t>由预制部品部件在工地装配而成的建筑。</w:t>
      </w:r>
    </w:p>
    <w:p>
      <w:pPr>
        <w:pStyle w:val="64"/>
        <w:ind w:firstLine="0" w:firstLineChars="0"/>
        <w:rPr>
          <w:rFonts w:ascii="黑体" w:hAnsi="黑体" w:eastAsia="黑体"/>
          <w:b/>
          <w:bCs/>
        </w:rPr>
      </w:pPr>
      <w:r>
        <w:rPr>
          <w:rFonts w:hint="eastAsia" w:ascii="黑体" w:hAnsi="黑体" w:eastAsia="黑体"/>
          <w:b/>
          <w:bCs/>
        </w:rPr>
        <w:t>3.2</w:t>
      </w:r>
      <w:r>
        <w:rPr>
          <w:rFonts w:ascii="黑体" w:hAnsi="黑体" w:eastAsia="黑体"/>
          <w:b/>
          <w:bCs/>
        </w:rPr>
        <w:t xml:space="preserve"> </w:t>
      </w:r>
    </w:p>
    <w:p>
      <w:pPr>
        <w:pStyle w:val="64"/>
        <w:ind w:firstLine="422"/>
        <w:rPr>
          <w:rFonts w:ascii="黑体" w:hAnsi="黑体" w:eastAsia="黑体"/>
          <w:b/>
          <w:bCs/>
        </w:rPr>
      </w:pPr>
      <w:r>
        <w:rPr>
          <w:rFonts w:hint="eastAsia" w:ascii="黑体" w:hAnsi="黑体" w:eastAsia="黑体"/>
          <w:b/>
          <w:bCs/>
        </w:rPr>
        <w:t xml:space="preserve">装配率 </w:t>
      </w:r>
      <w:r>
        <w:rPr>
          <w:rFonts w:ascii="黑体" w:hAnsi="黑体" w:eastAsia="黑体"/>
          <w:b/>
          <w:bCs/>
        </w:rPr>
        <w:t>prefabrication ratio</w:t>
      </w:r>
    </w:p>
    <w:p>
      <w:pPr>
        <w:pStyle w:val="64"/>
        <w:ind w:firstLine="420"/>
      </w:pPr>
      <w:r>
        <w:rPr>
          <w:rFonts w:hint="eastAsia"/>
        </w:rPr>
        <w:t>单体建筑室外地坪以上的主体结构、围护墙和内隔墙、装修和设备管线等采用预制部品部件的综合比率。</w:t>
      </w:r>
    </w:p>
    <w:bookmarkEnd w:id="4"/>
    <w:p>
      <w:pPr>
        <w:pStyle w:val="64"/>
        <w:ind w:firstLine="0" w:firstLineChars="0"/>
        <w:rPr>
          <w:rFonts w:ascii="黑体" w:hAnsi="黑体" w:eastAsia="黑体"/>
          <w:b/>
          <w:bCs/>
        </w:rPr>
      </w:pPr>
      <w:r>
        <w:rPr>
          <w:rFonts w:hint="eastAsia" w:ascii="黑体" w:hAnsi="黑体" w:eastAsia="黑体"/>
          <w:b/>
          <w:bCs/>
        </w:rPr>
        <w:t>3.</w:t>
      </w:r>
      <w:r>
        <w:rPr>
          <w:rFonts w:ascii="黑体" w:hAnsi="黑体" w:eastAsia="黑体"/>
          <w:b/>
          <w:bCs/>
        </w:rPr>
        <w:t xml:space="preserve">3 </w:t>
      </w:r>
    </w:p>
    <w:p>
      <w:pPr>
        <w:pStyle w:val="64"/>
        <w:tabs>
          <w:tab w:val="right" w:pos="8306"/>
        </w:tabs>
        <w:ind w:firstLine="422"/>
        <w:rPr>
          <w:rFonts w:ascii="黑体" w:hAnsi="黑体" w:eastAsia="黑体"/>
          <w:b/>
          <w:bCs/>
        </w:rPr>
      </w:pPr>
      <w:r>
        <w:rPr>
          <w:rFonts w:hint="eastAsia" w:ascii="黑体" w:hAnsi="黑体" w:eastAsia="黑体"/>
          <w:b/>
          <w:bCs/>
          <w:lang w:val="zh-CN"/>
        </w:rPr>
        <w:t>部件</w:t>
      </w:r>
      <w:r>
        <w:rPr>
          <w:rFonts w:hint="eastAsia" w:ascii="黑体" w:hAnsi="黑体" w:eastAsia="黑体"/>
          <w:b/>
          <w:bCs/>
        </w:rPr>
        <w:t xml:space="preserve"> </w:t>
      </w:r>
      <w:r>
        <w:rPr>
          <w:rFonts w:ascii="黑体" w:hAnsi="黑体" w:eastAsia="黑体"/>
          <w:b/>
          <w:bCs/>
        </w:rPr>
        <w:t>component</w:t>
      </w:r>
      <w:r>
        <w:rPr>
          <w:rFonts w:ascii="黑体" w:hAnsi="黑体" w:eastAsia="黑体"/>
          <w:b/>
          <w:bCs/>
        </w:rPr>
        <w:tab/>
      </w:r>
    </w:p>
    <w:p>
      <w:pPr>
        <w:pStyle w:val="64"/>
        <w:ind w:firstLine="420"/>
        <w:rPr>
          <w:lang w:val="zh-CN"/>
        </w:rPr>
      </w:pPr>
      <w:r>
        <w:rPr>
          <w:rFonts w:hint="eastAsia"/>
          <w:lang w:val="zh-CN"/>
        </w:rPr>
        <w:t>在工厂或现场预先生产制作完成</w:t>
      </w:r>
      <w:r>
        <w:rPr>
          <w:rFonts w:hint="eastAsia"/>
        </w:rPr>
        <w:t>，</w:t>
      </w:r>
      <w:r>
        <w:rPr>
          <w:rFonts w:hint="eastAsia"/>
          <w:lang w:val="zh-CN"/>
        </w:rPr>
        <w:t>构成建筑结构系统的结构构件及其他构件的统称。</w:t>
      </w:r>
    </w:p>
    <w:p>
      <w:pPr>
        <w:pStyle w:val="64"/>
        <w:ind w:firstLine="0" w:firstLineChars="0"/>
        <w:rPr>
          <w:rFonts w:ascii="黑体" w:hAnsi="黑体" w:eastAsia="黑体"/>
          <w:b/>
          <w:bCs/>
          <w:lang w:val="zh-CN"/>
        </w:rPr>
        <w:sectPr>
          <w:footerReference r:id="rId7" w:type="default"/>
          <w:pgSz w:w="11906" w:h="16838"/>
          <w:pgMar w:top="1440" w:right="1800" w:bottom="1440" w:left="1800" w:header="851" w:footer="992" w:gutter="0"/>
          <w:cols w:space="425" w:num="1"/>
          <w:docGrid w:type="lines" w:linePitch="312" w:charSpace="0"/>
        </w:sectPr>
      </w:pPr>
    </w:p>
    <w:p>
      <w:pPr>
        <w:pStyle w:val="64"/>
        <w:ind w:firstLine="0" w:firstLineChars="0"/>
        <w:rPr>
          <w:rFonts w:ascii="黑体" w:hAnsi="黑体" w:eastAsia="黑体"/>
          <w:b/>
          <w:bCs/>
          <w:lang w:val="zh-CN"/>
        </w:rPr>
      </w:pPr>
      <w:r>
        <w:rPr>
          <w:rFonts w:hint="eastAsia" w:ascii="黑体" w:hAnsi="黑体" w:eastAsia="黑体"/>
          <w:b/>
          <w:bCs/>
          <w:lang w:val="zh-CN"/>
        </w:rPr>
        <w:t>3.</w:t>
      </w:r>
      <w:r>
        <w:rPr>
          <w:rFonts w:ascii="黑体" w:hAnsi="黑体" w:eastAsia="黑体"/>
          <w:b/>
          <w:bCs/>
          <w:lang w:val="zh-CN"/>
        </w:rPr>
        <w:t xml:space="preserve">4 </w:t>
      </w:r>
    </w:p>
    <w:p>
      <w:pPr>
        <w:pStyle w:val="64"/>
        <w:ind w:firstLine="422"/>
        <w:rPr>
          <w:rFonts w:ascii="黑体" w:hAnsi="黑体" w:eastAsia="黑体"/>
          <w:b/>
          <w:bCs/>
          <w:color w:val="FF0000"/>
          <w:lang w:val="zh-CN"/>
        </w:rPr>
      </w:pPr>
      <w:r>
        <w:rPr>
          <w:rFonts w:hint="eastAsia" w:ascii="黑体" w:hAnsi="黑体" w:eastAsia="黑体"/>
          <w:b/>
          <w:bCs/>
          <w:lang w:val="zh-CN"/>
        </w:rPr>
        <w:t xml:space="preserve">部品 </w:t>
      </w:r>
      <w:r>
        <w:rPr>
          <w:rFonts w:ascii="黑体" w:hAnsi="黑体" w:eastAsia="黑体"/>
          <w:b/>
          <w:bCs/>
          <w:lang w:val="zh-CN"/>
        </w:rPr>
        <w:t>part</w:t>
      </w:r>
    </w:p>
    <w:p>
      <w:pPr>
        <w:pStyle w:val="64"/>
        <w:ind w:firstLine="420"/>
        <w:rPr>
          <w:lang w:val="zh-CN"/>
        </w:rPr>
      </w:pPr>
      <w:r>
        <w:rPr>
          <w:rFonts w:hint="eastAsia"/>
          <w:lang w:val="zh-CN"/>
        </w:rPr>
        <w:t>由工厂生产，构成外围护系统、设备与管线系统、内装系统的建筑单一产品或复合产品组装而成的功能单元的统称。</w:t>
      </w:r>
    </w:p>
    <w:p>
      <w:pPr>
        <w:pStyle w:val="64"/>
        <w:ind w:firstLine="0" w:firstLineChars="0"/>
        <w:rPr>
          <w:rFonts w:ascii="黑体" w:hAnsi="黑体" w:eastAsia="黑体"/>
          <w:b/>
          <w:bCs/>
        </w:rPr>
      </w:pPr>
      <w:r>
        <w:rPr>
          <w:rFonts w:hint="eastAsia" w:ascii="黑体" w:hAnsi="黑体" w:eastAsia="黑体"/>
          <w:b/>
          <w:bCs/>
        </w:rPr>
        <w:t>3</w:t>
      </w:r>
      <w:r>
        <w:rPr>
          <w:rFonts w:ascii="黑体" w:hAnsi="黑体" w:eastAsia="黑体"/>
          <w:b/>
          <w:bCs/>
        </w:rPr>
        <w:t xml:space="preserve">.5 </w:t>
      </w:r>
    </w:p>
    <w:p>
      <w:pPr>
        <w:pStyle w:val="64"/>
        <w:ind w:firstLine="422"/>
        <w:rPr>
          <w:rFonts w:ascii="黑体" w:hAnsi="黑体" w:eastAsia="黑体"/>
          <w:b/>
          <w:bCs/>
        </w:rPr>
      </w:pPr>
      <w:r>
        <w:rPr>
          <w:rFonts w:hint="eastAsia" w:ascii="黑体" w:hAnsi="黑体" w:eastAsia="黑体"/>
          <w:b/>
          <w:bCs/>
        </w:rPr>
        <w:t xml:space="preserve">全装修 </w:t>
      </w:r>
      <w:r>
        <w:rPr>
          <w:rFonts w:ascii="黑体" w:hAnsi="黑体" w:eastAsia="黑体"/>
          <w:b/>
          <w:bCs/>
        </w:rPr>
        <w:t>decorated</w:t>
      </w:r>
    </w:p>
    <w:p>
      <w:pPr>
        <w:pStyle w:val="64"/>
        <w:ind w:firstLine="420"/>
        <w:rPr>
          <w:lang w:val="zh-CN"/>
        </w:rPr>
      </w:pPr>
      <w:r>
        <w:rPr>
          <w:rFonts w:hint="eastAsia"/>
        </w:rPr>
        <w:t>建筑功能空间的固定面装修和设备设施安装全部完成，达到建筑使用功能和建筑性能的状态。</w:t>
      </w:r>
    </w:p>
    <w:p>
      <w:pPr>
        <w:pStyle w:val="64"/>
        <w:ind w:firstLine="0" w:firstLineChars="0"/>
        <w:rPr>
          <w:rFonts w:ascii="黑体" w:hAnsi="黑体" w:eastAsia="黑体"/>
          <w:b/>
          <w:bCs/>
        </w:rPr>
      </w:pPr>
      <w:bookmarkStart w:id="27" w:name="_Toc112691930"/>
      <w:r>
        <w:rPr>
          <w:rFonts w:hint="eastAsia" w:ascii="黑体" w:hAnsi="黑体" w:eastAsia="黑体"/>
          <w:b/>
          <w:bCs/>
        </w:rPr>
        <w:t xml:space="preserve">3.6 </w:t>
      </w:r>
    </w:p>
    <w:p>
      <w:pPr>
        <w:pStyle w:val="64"/>
        <w:ind w:firstLine="422"/>
        <w:rPr>
          <w:rFonts w:ascii="黑体" w:hAnsi="黑体" w:eastAsia="黑体"/>
          <w:b/>
          <w:bCs/>
        </w:rPr>
      </w:pPr>
      <w:r>
        <w:rPr>
          <w:rFonts w:hint="eastAsia" w:ascii="黑体" w:hAnsi="黑体" w:eastAsia="黑体"/>
          <w:b/>
          <w:bCs/>
        </w:rPr>
        <w:t>干式工法楼地面 non-wet construction floor and ground</w:t>
      </w:r>
    </w:p>
    <w:p>
      <w:pPr>
        <w:pStyle w:val="64"/>
        <w:ind w:firstLine="420"/>
      </w:pPr>
      <w:r>
        <w:t>将工厂生产的楼面、地面材料在现场采用干作业施工的建造方法组合安装。</w:t>
      </w:r>
    </w:p>
    <w:p>
      <w:pPr>
        <w:pStyle w:val="64"/>
        <w:ind w:firstLine="0" w:firstLineChars="0"/>
        <w:rPr>
          <w:rFonts w:ascii="黑体" w:hAnsi="黑体" w:eastAsia="黑体"/>
          <w:b/>
          <w:bCs/>
        </w:rPr>
      </w:pPr>
      <w:r>
        <w:rPr>
          <w:rFonts w:hint="eastAsia" w:ascii="黑体" w:hAnsi="黑体" w:eastAsia="黑体"/>
          <w:b/>
          <w:bCs/>
        </w:rPr>
        <w:t>3.7</w:t>
      </w:r>
      <w:r>
        <w:rPr>
          <w:rFonts w:ascii="黑体" w:hAnsi="黑体" w:eastAsia="黑体"/>
          <w:b/>
          <w:bCs/>
        </w:rPr>
        <w:t xml:space="preserve"> </w:t>
      </w:r>
    </w:p>
    <w:p>
      <w:pPr>
        <w:pStyle w:val="64"/>
        <w:ind w:firstLine="422"/>
        <w:rPr>
          <w:rFonts w:ascii="黑体" w:hAnsi="黑体" w:eastAsia="黑体"/>
          <w:b/>
          <w:bCs/>
        </w:rPr>
      </w:pPr>
      <w:r>
        <w:rPr>
          <w:rFonts w:hint="eastAsia" w:ascii="黑体" w:hAnsi="黑体" w:eastAsia="黑体"/>
          <w:b/>
          <w:bCs/>
        </w:rPr>
        <w:t xml:space="preserve">集成厨房 </w:t>
      </w:r>
      <w:r>
        <w:rPr>
          <w:rFonts w:ascii="黑体" w:hAnsi="黑体" w:eastAsia="黑体"/>
          <w:b/>
          <w:bCs/>
        </w:rPr>
        <w:t>integrated kitchen</w:t>
      </w:r>
    </w:p>
    <w:p>
      <w:pPr>
        <w:pStyle w:val="64"/>
        <w:ind w:firstLine="420"/>
      </w:pPr>
      <w:r>
        <w:rPr>
          <w:rFonts w:hint="eastAsia"/>
          <w:lang w:val="zh-CN"/>
        </w:rPr>
        <w:t>地面、吊顶、墙面、橱柜、厨房设备及管线等通过设计集成、工厂生产</w:t>
      </w:r>
      <w:r>
        <w:rPr>
          <w:rFonts w:hint="eastAsia"/>
        </w:rPr>
        <w:t>，</w:t>
      </w:r>
      <w:r>
        <w:rPr>
          <w:rFonts w:hint="eastAsia"/>
          <w:lang w:val="zh-CN"/>
        </w:rPr>
        <w:t>在工地主要采用干式工法装配而成的厨房。</w:t>
      </w:r>
    </w:p>
    <w:p>
      <w:pPr>
        <w:pStyle w:val="64"/>
        <w:ind w:firstLine="0" w:firstLineChars="0"/>
        <w:rPr>
          <w:rFonts w:ascii="黑体" w:hAnsi="黑体" w:eastAsia="黑体"/>
          <w:b/>
          <w:bCs/>
        </w:rPr>
      </w:pPr>
      <w:r>
        <w:rPr>
          <w:rFonts w:hint="eastAsia" w:ascii="黑体" w:hAnsi="黑体" w:eastAsia="黑体"/>
          <w:b/>
          <w:bCs/>
        </w:rPr>
        <w:t>3.8</w:t>
      </w:r>
      <w:r>
        <w:rPr>
          <w:rFonts w:ascii="黑体" w:hAnsi="黑体" w:eastAsia="黑体"/>
          <w:b/>
          <w:bCs/>
        </w:rPr>
        <w:t xml:space="preserve"> </w:t>
      </w:r>
    </w:p>
    <w:p>
      <w:pPr>
        <w:pStyle w:val="64"/>
        <w:ind w:firstLine="422"/>
        <w:rPr>
          <w:rFonts w:ascii="黑体" w:hAnsi="黑体" w:eastAsia="黑体"/>
          <w:b/>
          <w:bCs/>
        </w:rPr>
      </w:pPr>
      <w:r>
        <w:rPr>
          <w:rFonts w:hint="eastAsia" w:ascii="黑体" w:hAnsi="黑体" w:eastAsia="黑体"/>
          <w:b/>
          <w:bCs/>
          <w:lang w:val="zh-CN"/>
        </w:rPr>
        <w:t>集成卫生间</w:t>
      </w:r>
      <w:r>
        <w:rPr>
          <w:rFonts w:hint="eastAsia" w:ascii="黑体" w:hAnsi="黑体" w:eastAsia="黑体"/>
          <w:b/>
          <w:bCs/>
        </w:rPr>
        <w:t xml:space="preserve"> </w:t>
      </w:r>
      <w:r>
        <w:rPr>
          <w:rFonts w:ascii="黑体" w:hAnsi="黑体" w:eastAsia="黑体"/>
          <w:b/>
          <w:bCs/>
        </w:rPr>
        <w:t>integrated bathroom</w:t>
      </w:r>
    </w:p>
    <w:p>
      <w:pPr>
        <w:pStyle w:val="64"/>
        <w:ind w:firstLine="420"/>
      </w:pPr>
      <w:r>
        <w:rPr>
          <w:rFonts w:hint="eastAsia"/>
          <w:lang w:val="zh-CN"/>
        </w:rPr>
        <w:t>地面、吊顶、墙面和洁具设备及管线等通过设计集成、工厂生产</w:t>
      </w:r>
      <w:r>
        <w:rPr>
          <w:rFonts w:hint="eastAsia"/>
        </w:rPr>
        <w:t>，</w:t>
      </w:r>
      <w:r>
        <w:rPr>
          <w:rFonts w:hint="eastAsia"/>
          <w:lang w:val="zh-CN"/>
        </w:rPr>
        <w:t>在工地主要采用干式工法装配而成的卫生间。</w:t>
      </w:r>
    </w:p>
    <w:p>
      <w:pPr>
        <w:pStyle w:val="64"/>
        <w:ind w:firstLine="0" w:firstLineChars="0"/>
        <w:rPr>
          <w:rFonts w:ascii="黑体" w:hAnsi="黑体" w:eastAsia="黑体"/>
          <w:b/>
          <w:bCs/>
          <w:color w:val="000000" w:themeColor="text1"/>
          <w14:textFill>
            <w14:solidFill>
              <w14:schemeClr w14:val="tx1"/>
            </w14:solidFill>
          </w14:textFill>
        </w:rPr>
      </w:pPr>
      <w:r>
        <w:rPr>
          <w:rFonts w:hint="eastAsia" w:ascii="黑体" w:hAnsi="黑体" w:eastAsia="黑体"/>
          <w:b/>
          <w:bCs/>
          <w:color w:val="000000" w:themeColor="text1"/>
          <w14:textFill>
            <w14:solidFill>
              <w14:schemeClr w14:val="tx1"/>
            </w14:solidFill>
          </w14:textFill>
        </w:rPr>
        <w:t>3</w:t>
      </w:r>
      <w:r>
        <w:rPr>
          <w:rFonts w:ascii="黑体" w:hAnsi="黑体" w:eastAsia="黑体"/>
          <w:b/>
          <w:bCs/>
          <w:color w:val="000000" w:themeColor="text1"/>
          <w14:textFill>
            <w14:solidFill>
              <w14:schemeClr w14:val="tx1"/>
            </w14:solidFill>
          </w14:textFill>
        </w:rPr>
        <w:t>.</w:t>
      </w:r>
      <w:r>
        <w:rPr>
          <w:rFonts w:hint="eastAsia" w:ascii="黑体" w:hAnsi="黑体" w:eastAsia="黑体"/>
          <w:b/>
          <w:bCs/>
          <w:color w:val="000000" w:themeColor="text1"/>
          <w14:textFill>
            <w14:solidFill>
              <w14:schemeClr w14:val="tx1"/>
            </w14:solidFill>
          </w14:textFill>
        </w:rPr>
        <w:t>9</w:t>
      </w:r>
      <w:r>
        <w:rPr>
          <w:rFonts w:ascii="黑体" w:hAnsi="黑体" w:eastAsia="黑体"/>
          <w:b/>
          <w:bCs/>
          <w:color w:val="000000" w:themeColor="text1"/>
          <w14:textFill>
            <w14:solidFill>
              <w14:schemeClr w14:val="tx1"/>
            </w14:solidFill>
          </w14:textFill>
        </w:rPr>
        <w:t xml:space="preserve"> </w:t>
      </w:r>
    </w:p>
    <w:p>
      <w:pPr>
        <w:pStyle w:val="64"/>
        <w:ind w:firstLine="422"/>
        <w:rPr>
          <w:rFonts w:ascii="黑体" w:hAnsi="黑体" w:eastAsia="黑体"/>
          <w:b/>
          <w:bCs/>
          <w:color w:val="000000" w:themeColor="text1"/>
          <w14:textFill>
            <w14:solidFill>
              <w14:schemeClr w14:val="tx1"/>
            </w14:solidFill>
          </w14:textFill>
        </w:rPr>
      </w:pPr>
      <w:r>
        <w:rPr>
          <w:rFonts w:ascii="黑体" w:hAnsi="黑体" w:eastAsia="黑体"/>
          <w:b/>
          <w:bCs/>
          <w:color w:val="000000" w:themeColor="text1"/>
          <w:lang w:val="zh-CN"/>
          <w14:textFill>
            <w14:solidFill>
              <w14:schemeClr w14:val="tx1"/>
            </w14:solidFill>
          </w14:textFill>
        </w:rPr>
        <w:t>装配化装修</w:t>
      </w:r>
      <w:r>
        <w:rPr>
          <w:rFonts w:hint="eastAsia" w:ascii="黑体" w:hAnsi="黑体" w:eastAsia="黑体"/>
          <w:b/>
          <w:bCs/>
          <w:color w:val="000000" w:themeColor="text1"/>
          <w14:textFill>
            <w14:solidFill>
              <w14:schemeClr w14:val="tx1"/>
            </w14:solidFill>
          </w14:textFill>
        </w:rPr>
        <w:t xml:space="preserve"> f</w:t>
      </w:r>
      <w:r>
        <w:rPr>
          <w:rFonts w:ascii="黑体" w:hAnsi="黑体" w:eastAsia="黑体"/>
          <w:b/>
          <w:bCs/>
          <w:color w:val="000000" w:themeColor="text1"/>
          <w14:textFill>
            <w14:solidFill>
              <w14:schemeClr w14:val="tx1"/>
            </w14:solidFill>
          </w14:textFill>
        </w:rPr>
        <w:t>abricated</w:t>
      </w:r>
      <w:r>
        <w:rPr>
          <w:rFonts w:hint="eastAsia" w:ascii="黑体" w:hAnsi="黑体" w:eastAsia="黑体"/>
          <w:b/>
          <w:bCs/>
          <w:color w:val="000000" w:themeColor="text1"/>
          <w14:textFill>
            <w14:solidFill>
              <w14:schemeClr w14:val="tx1"/>
            </w14:solidFill>
          </w14:textFill>
        </w:rPr>
        <w:t xml:space="preserve"> d</w:t>
      </w:r>
      <w:r>
        <w:rPr>
          <w:rFonts w:ascii="黑体" w:hAnsi="黑体" w:eastAsia="黑体"/>
          <w:b/>
          <w:bCs/>
          <w:color w:val="000000" w:themeColor="text1"/>
          <w14:textFill>
            <w14:solidFill>
              <w14:schemeClr w14:val="tx1"/>
            </w14:solidFill>
          </w14:textFill>
        </w:rPr>
        <w:t>ecoration</w:t>
      </w:r>
    </w:p>
    <w:p>
      <w:pPr>
        <w:pStyle w:val="64"/>
        <w:ind w:firstLine="420"/>
        <w:rPr>
          <w:color w:val="000000" w:themeColor="text1"/>
          <w14:textFill>
            <w14:solidFill>
              <w14:schemeClr w14:val="tx1"/>
            </w14:solidFill>
          </w14:textFill>
        </w:rPr>
      </w:pPr>
      <w:r>
        <w:rPr>
          <w:rFonts w:hint="eastAsia"/>
          <w:color w:val="000000" w:themeColor="text1"/>
          <w:lang w:val="zh-CN"/>
          <w14:textFill>
            <w14:solidFill>
              <w14:schemeClr w14:val="tx1"/>
            </w14:solidFill>
          </w14:textFill>
        </w:rPr>
        <w:t>主要采用干式工法、将工厂生产的内</w:t>
      </w:r>
      <w:r>
        <w:rPr>
          <w:rFonts w:hint="eastAsia"/>
          <w:color w:val="000000" w:themeColor="text1"/>
          <w14:textFill>
            <w14:solidFill>
              <w14:schemeClr w14:val="tx1"/>
            </w14:solidFill>
          </w14:textFill>
        </w:rPr>
        <w:t>装</w:t>
      </w:r>
      <w:r>
        <w:rPr>
          <w:rFonts w:hint="eastAsia"/>
          <w:color w:val="000000" w:themeColor="text1"/>
          <w:lang w:val="zh-CN"/>
          <w14:textFill>
            <w14:solidFill>
              <w14:schemeClr w14:val="tx1"/>
            </w14:solidFill>
          </w14:textFill>
        </w:rPr>
        <w:t>部品在现场进行组合安装的装修方式。</w:t>
      </w:r>
    </w:p>
    <w:p>
      <w:pPr>
        <w:pStyle w:val="64"/>
        <w:ind w:firstLine="0" w:firstLineChars="0"/>
        <w:rPr>
          <w:rFonts w:ascii="黑体" w:hAnsi="黑体" w:eastAsia="黑体"/>
          <w:b/>
          <w:bCs/>
          <w:color w:val="000000" w:themeColor="text1"/>
          <w14:textFill>
            <w14:solidFill>
              <w14:schemeClr w14:val="tx1"/>
            </w14:solidFill>
          </w14:textFill>
        </w:rPr>
      </w:pPr>
      <w:r>
        <w:rPr>
          <w:rFonts w:hint="eastAsia" w:ascii="黑体" w:hAnsi="黑体" w:eastAsia="黑体"/>
          <w:b/>
          <w:bCs/>
          <w:color w:val="000000" w:themeColor="text1"/>
          <w14:textFill>
            <w14:solidFill>
              <w14:schemeClr w14:val="tx1"/>
            </w14:solidFill>
          </w14:textFill>
        </w:rPr>
        <w:t xml:space="preserve">3.10 </w:t>
      </w:r>
    </w:p>
    <w:p>
      <w:pPr>
        <w:pStyle w:val="64"/>
        <w:ind w:firstLine="422"/>
        <w:rPr>
          <w:rFonts w:ascii="黑体" w:hAnsi="黑体" w:eastAsia="黑体"/>
          <w:b/>
          <w:bCs/>
          <w:color w:val="000000" w:themeColor="text1"/>
          <w14:textFill>
            <w14:solidFill>
              <w14:schemeClr w14:val="tx1"/>
            </w14:solidFill>
          </w14:textFill>
        </w:rPr>
      </w:pPr>
      <w:r>
        <w:rPr>
          <w:rFonts w:hint="eastAsia" w:ascii="黑体" w:hAnsi="黑体" w:eastAsia="黑体"/>
          <w:b/>
          <w:bCs/>
          <w:color w:val="000000" w:themeColor="text1"/>
          <w14:textFill>
            <w14:solidFill>
              <w14:schemeClr w14:val="tx1"/>
            </w14:solidFill>
          </w14:textFill>
        </w:rPr>
        <w:t>工程总承包 engineering procurement construction （EPC）</w:t>
      </w:r>
    </w:p>
    <w:p>
      <w:pPr>
        <w:pStyle w:val="64"/>
        <w:ind w:firstLine="420"/>
        <w:rPr>
          <w:color w:val="000000" w:themeColor="text1"/>
          <w14:textFill>
            <w14:solidFill>
              <w14:schemeClr w14:val="tx1"/>
            </w14:solidFill>
          </w14:textFill>
        </w:rPr>
      </w:pPr>
      <w:r>
        <w:rPr>
          <w:rFonts w:hint="eastAsia"/>
        </w:rPr>
        <w:t>从事建设工程总承包的单位按照与建设单位签订的合同，对工程项目的设计、采购、施工等实行全过程或若干阶段的承包模式，并对工程的质量、安全、工期等全面负责的工程承包方式</w:t>
      </w:r>
      <w:r>
        <w:rPr>
          <w:rFonts w:hint="eastAsia"/>
          <w:color w:val="000000" w:themeColor="text1"/>
          <w14:textFill>
            <w14:solidFill>
              <w14:schemeClr w14:val="tx1"/>
            </w14:solidFill>
          </w14:textFill>
        </w:rPr>
        <w:t>。</w:t>
      </w:r>
    </w:p>
    <w:p>
      <w:pPr>
        <w:pStyle w:val="110"/>
        <w:spacing w:before="312" w:after="312"/>
        <w:ind w:left="0"/>
        <w:rPr>
          <w:b/>
          <w:bCs/>
        </w:rPr>
      </w:pPr>
      <w:r>
        <w:rPr>
          <w:rFonts w:hint="eastAsia"/>
          <w:b/>
          <w:bCs/>
        </w:rPr>
        <w:t>基本规定</w:t>
      </w:r>
      <w:bookmarkEnd w:id="27"/>
    </w:p>
    <w:p>
      <w:pPr>
        <w:pStyle w:val="64"/>
        <w:ind w:firstLine="0" w:firstLineChars="0"/>
      </w:pPr>
      <w:r>
        <w:rPr>
          <w:rFonts w:ascii="黑体" w:hAnsi="黑体" w:eastAsia="黑体"/>
          <w:b/>
          <w:bCs/>
        </w:rPr>
        <w:t>4</w:t>
      </w:r>
      <w:r>
        <w:rPr>
          <w:rFonts w:hint="eastAsia" w:ascii="黑体" w:hAnsi="黑体" w:eastAsia="黑体"/>
          <w:b/>
          <w:bCs/>
        </w:rPr>
        <w:t>.1</w:t>
      </w:r>
      <w:r>
        <w:rPr>
          <w:rFonts w:hint="eastAsia"/>
        </w:rPr>
        <w:tab/>
      </w:r>
      <w:r>
        <w:rPr>
          <w:rFonts w:hint="eastAsia"/>
        </w:rPr>
        <w:t>装配式建筑的装配率计算应以单体建筑作为计算单元，并应符合下列规定：</w:t>
      </w:r>
    </w:p>
    <w:p>
      <w:pPr>
        <w:pStyle w:val="64"/>
        <w:ind w:firstLine="525" w:firstLineChars="250"/>
      </w:pPr>
      <w:r>
        <w:t xml:space="preserve">a) </w:t>
      </w:r>
      <w:r>
        <w:rPr>
          <w:rFonts w:hint="eastAsia"/>
        </w:rPr>
        <w:t>单体建筑应按项目规划批准文件的建筑编号确认。</w:t>
      </w:r>
    </w:p>
    <w:p>
      <w:pPr>
        <w:pStyle w:val="64"/>
        <w:ind w:firstLine="525" w:firstLineChars="250"/>
      </w:pPr>
      <w:r>
        <w:t xml:space="preserve">b) </w:t>
      </w:r>
      <w:r>
        <w:rPr>
          <w:rFonts w:hint="eastAsia"/>
        </w:rPr>
        <w:t>建筑由主楼和裙房组成时，主楼和裙房可按不同的单体建筑进行计算。</w:t>
      </w:r>
    </w:p>
    <w:p>
      <w:pPr>
        <w:pStyle w:val="64"/>
        <w:ind w:firstLine="525" w:firstLineChars="250"/>
      </w:pPr>
      <w:r>
        <w:t>c)</w:t>
      </w:r>
      <w:r>
        <w:rPr>
          <w:rFonts w:hint="eastAsia"/>
        </w:rPr>
        <w:t xml:space="preserve"> 单体建筑的层数不大于3层，且地上建筑面积不超过500</w:t>
      </w:r>
      <w:bookmarkStart w:id="28" w:name="_Hlk97736221"/>
      <w:r>
        <w:rPr>
          <w:rFonts w:hint="eastAsia"/>
        </w:rPr>
        <w:t>m</w:t>
      </w:r>
      <w:r>
        <w:rPr>
          <w:rFonts w:hint="eastAsia"/>
          <w:vertAlign w:val="superscript"/>
        </w:rPr>
        <w:t>2</w:t>
      </w:r>
      <w:bookmarkEnd w:id="28"/>
      <w:r>
        <w:rPr>
          <w:rFonts w:hint="eastAsia"/>
        </w:rPr>
        <w:t>时，可由多个单体建筑组成建筑组团作为计算单元。</w:t>
      </w:r>
    </w:p>
    <w:p>
      <w:pPr>
        <w:pStyle w:val="64"/>
        <w:ind w:firstLine="525" w:firstLineChars="250"/>
      </w:pPr>
      <w:r>
        <w:t xml:space="preserve">d) </w:t>
      </w:r>
      <w:r>
        <w:rPr>
          <w:rFonts w:hint="eastAsia"/>
        </w:rPr>
        <w:t>当采用未包含在本《规范》规定范围内的装配式建筑新技术时，可采取专家论证的方式确定应用比例、计算方式及分值。</w:t>
      </w:r>
    </w:p>
    <w:p>
      <w:pPr>
        <w:pStyle w:val="64"/>
        <w:ind w:firstLine="0" w:firstLineChars="0"/>
      </w:pPr>
      <w:r>
        <w:rPr>
          <w:rFonts w:hint="eastAsia" w:ascii="黑体" w:hAnsi="黑体" w:eastAsia="黑体"/>
          <w:b/>
          <w:bCs/>
        </w:rPr>
        <w:t>4.2</w:t>
      </w:r>
      <w:r>
        <w:rPr>
          <w:rFonts w:hint="eastAsia"/>
        </w:rPr>
        <w:t xml:space="preserve"> 设计阶段宜进行预评价，并应按设计文件计算装配率。</w:t>
      </w:r>
    </w:p>
    <w:p>
      <w:pPr>
        <w:pStyle w:val="64"/>
        <w:ind w:firstLine="0" w:firstLineChars="0"/>
      </w:pPr>
      <w:r>
        <w:rPr>
          <w:rFonts w:hint="eastAsia" w:ascii="黑体" w:hAnsi="黑体" w:eastAsia="黑体"/>
          <w:b/>
          <w:bCs/>
        </w:rPr>
        <w:t>4.3</w:t>
      </w:r>
      <w:r>
        <w:rPr>
          <w:rFonts w:hint="eastAsia"/>
        </w:rPr>
        <w:t xml:space="preserve"> 项目评价应在项目竣工验收后进行，并应按竣工验收资料计算装配率和确定评价等级。</w:t>
      </w:r>
    </w:p>
    <w:p>
      <w:pPr>
        <w:pStyle w:val="64"/>
        <w:ind w:firstLine="0" w:firstLineChars="0"/>
      </w:pPr>
      <w:r>
        <w:rPr>
          <w:rFonts w:ascii="黑体" w:hAnsi="黑体" w:eastAsia="黑体"/>
          <w:b/>
          <w:bCs/>
        </w:rPr>
        <w:t>4</w:t>
      </w:r>
      <w:r>
        <w:rPr>
          <w:rFonts w:hint="eastAsia" w:ascii="黑体" w:hAnsi="黑体" w:eastAsia="黑体"/>
          <w:b/>
          <w:bCs/>
        </w:rPr>
        <w:t>.</w:t>
      </w:r>
      <w:r>
        <w:rPr>
          <w:rFonts w:ascii="黑体" w:hAnsi="黑体" w:eastAsia="黑体"/>
          <w:b/>
          <w:bCs/>
        </w:rPr>
        <w:t>4</w:t>
      </w:r>
      <w:r>
        <w:rPr>
          <w:rFonts w:hint="eastAsia"/>
        </w:rPr>
        <w:tab/>
      </w:r>
      <w:r>
        <w:rPr>
          <w:rFonts w:hint="eastAsia"/>
        </w:rPr>
        <w:t>装配式建筑应同时满足下列要求：</w:t>
      </w:r>
    </w:p>
    <w:p>
      <w:pPr>
        <w:pStyle w:val="64"/>
        <w:ind w:firstLine="525" w:firstLineChars="250"/>
      </w:pPr>
      <w:r>
        <w:t xml:space="preserve">a) </w:t>
      </w:r>
      <w:r>
        <w:rPr>
          <w:rFonts w:hint="eastAsia"/>
        </w:rPr>
        <w:t>主体结构部分的评价分值不应低于20分；</w:t>
      </w:r>
    </w:p>
    <w:p>
      <w:pPr>
        <w:pStyle w:val="64"/>
        <w:ind w:firstLine="525" w:firstLineChars="250"/>
      </w:pPr>
      <w:r>
        <w:t xml:space="preserve">b) </w:t>
      </w:r>
      <w:r>
        <w:rPr>
          <w:rFonts w:hint="eastAsia"/>
        </w:rPr>
        <w:t>围护墙和内隔墙部分的评价分值不应低于10分；</w:t>
      </w:r>
    </w:p>
    <w:p>
      <w:pPr>
        <w:pStyle w:val="64"/>
        <w:ind w:firstLine="525" w:firstLineChars="250"/>
      </w:pPr>
      <w:r>
        <w:t xml:space="preserve">c) </w:t>
      </w:r>
      <w:r>
        <w:rPr>
          <w:rFonts w:hint="eastAsia"/>
        </w:rPr>
        <w:t>采用全装修；</w:t>
      </w:r>
    </w:p>
    <w:p>
      <w:pPr>
        <w:pStyle w:val="64"/>
        <w:ind w:firstLine="525" w:firstLineChars="250"/>
        <w:sectPr>
          <w:footerReference r:id="rId8" w:type="default"/>
          <w:pgSz w:w="11906" w:h="16838"/>
          <w:pgMar w:top="1440" w:right="1800" w:bottom="1440" w:left="1800" w:header="851" w:footer="992" w:gutter="0"/>
          <w:cols w:space="425" w:num="1"/>
          <w:docGrid w:type="lines" w:linePitch="312" w:charSpace="0"/>
        </w:sectPr>
      </w:pPr>
      <w:r>
        <w:t xml:space="preserve">d) </w:t>
      </w:r>
      <w:r>
        <w:rPr>
          <w:rFonts w:hint="eastAsia"/>
        </w:rPr>
        <w:t>采用</w:t>
      </w:r>
      <w:r>
        <w:t>标准化设计</w:t>
      </w:r>
      <w:r>
        <w:rPr>
          <w:rFonts w:hint="eastAsia"/>
        </w:rPr>
        <w:t>，评价分值不低于2分；</w:t>
      </w:r>
    </w:p>
    <w:p>
      <w:pPr>
        <w:pStyle w:val="64"/>
        <w:ind w:firstLine="525" w:firstLineChars="250"/>
        <w:rPr>
          <w:strike/>
          <w:highlight w:val="yellow"/>
        </w:rPr>
      </w:pPr>
      <w:r>
        <w:t xml:space="preserve">e) </w:t>
      </w:r>
      <w:r>
        <w:rPr>
          <w:rFonts w:hint="eastAsia"/>
        </w:rPr>
        <w:t>装配率不低于50%。</w:t>
      </w:r>
    </w:p>
    <w:p>
      <w:pPr>
        <w:pStyle w:val="64"/>
        <w:ind w:firstLine="0" w:firstLineChars="0"/>
      </w:pPr>
      <w:r>
        <w:rPr>
          <w:rFonts w:hint="eastAsia" w:ascii="黑体" w:hAnsi="黑体" w:eastAsia="黑体"/>
          <w:b/>
          <w:bCs/>
        </w:rPr>
        <w:t>4.</w:t>
      </w:r>
      <w:r>
        <w:rPr>
          <w:rFonts w:ascii="黑体" w:hAnsi="黑体" w:eastAsia="黑体"/>
          <w:b/>
          <w:bCs/>
        </w:rPr>
        <w:t>5</w:t>
      </w:r>
      <w:r>
        <w:rPr>
          <w:rFonts w:hint="eastAsia"/>
        </w:rPr>
        <w:t xml:space="preserve"> 装配式建筑项目宜采用工程总承包模式。</w:t>
      </w:r>
    </w:p>
    <w:p>
      <w:pPr>
        <w:pStyle w:val="64"/>
        <w:ind w:firstLine="0" w:firstLineChars="0"/>
      </w:pPr>
      <w:r>
        <w:rPr>
          <w:rFonts w:hint="eastAsia" w:ascii="黑体" w:hAnsi="黑体" w:eastAsia="黑体"/>
          <w:b/>
          <w:bCs/>
        </w:rPr>
        <w:t>4.</w:t>
      </w:r>
      <w:r>
        <w:rPr>
          <w:rFonts w:ascii="黑体" w:hAnsi="黑体" w:eastAsia="黑体"/>
          <w:b/>
          <w:bCs/>
        </w:rPr>
        <w:t>6</w:t>
      </w:r>
      <w:r>
        <w:rPr>
          <w:rFonts w:hint="eastAsia"/>
        </w:rPr>
        <w:t xml:space="preserve"> 装配式建筑宜采用装配化装修。</w:t>
      </w:r>
    </w:p>
    <w:p>
      <w:pPr>
        <w:pStyle w:val="110"/>
        <w:spacing w:before="312" w:after="312"/>
        <w:ind w:left="0"/>
        <w:rPr>
          <w:b/>
          <w:bCs/>
        </w:rPr>
      </w:pPr>
      <w:r>
        <w:rPr>
          <w:rFonts w:hint="eastAsia"/>
          <w:b/>
          <w:bCs/>
        </w:rPr>
        <w:t>装配率计算</w:t>
      </w:r>
    </w:p>
    <w:p>
      <w:pPr>
        <w:pStyle w:val="64"/>
        <w:ind w:firstLine="0" w:firstLineChars="0"/>
        <w:jc w:val="left"/>
        <w:rPr>
          <w:rFonts w:ascii="Cambria Math" w:hAnsi="Cambria Math" w:cs="Cambria Math"/>
          <w:iCs/>
          <w:sz w:val="24"/>
          <w:szCs w:val="22"/>
          <w:highlight w:val="yellow"/>
        </w:rPr>
      </w:pPr>
      <w:r>
        <w:rPr>
          <w:rFonts w:hint="eastAsia" w:ascii="黑体" w:hAnsi="黑体" w:eastAsia="黑体"/>
          <w:b/>
          <w:bCs/>
        </w:rPr>
        <w:t>5.1</w:t>
      </w:r>
      <w:r>
        <w:t xml:space="preserve"> </w:t>
      </w:r>
      <w:r>
        <w:rPr>
          <w:rFonts w:hint="eastAsia"/>
        </w:rPr>
        <w:t>装配率应根据表1中评价项分值按（公式1）计算</w:t>
      </w:r>
      <w:bookmarkStart w:id="29" w:name="_Hlk114170063"/>
      <w:r>
        <w:rPr>
          <w:rFonts w:hint="eastAsia"/>
        </w:rPr>
        <w:t>：</w:t>
      </w:r>
    </w:p>
    <w:p>
      <w:pPr>
        <w:pStyle w:val="64"/>
        <w:ind w:firstLine="420"/>
        <w:jc w:val="center"/>
        <w:rPr>
          <w:rFonts w:eastAsiaTheme="minorEastAsia"/>
          <w:iCs/>
        </w:rPr>
      </w:pPr>
      <w:r>
        <w:rPr>
          <w:rFonts w:hint="eastAsia" w:ascii="Cambria Math" w:hAnsi="Cambria Math" w:cs="Cambria Math" w:eastAsiaTheme="minorEastAsia"/>
          <w:i/>
        </w:rPr>
        <w:t xml:space="preserve"> </w:t>
      </w:r>
      <w:r>
        <w:rPr>
          <w:rFonts w:ascii="Cambria Math" w:hAnsi="Cambria Math" w:cs="Cambria Math" w:eastAsiaTheme="minorEastAsia"/>
          <w:i/>
        </w:rPr>
        <w:t xml:space="preserve">           </w:t>
      </w:r>
      <m:oMath>
        <m:r>
          <m:rPr/>
          <w:rPr>
            <w:rFonts w:ascii="Cambria Math" w:hAnsi="Cambria Math"/>
          </w:rPr>
          <m:t>P</m:t>
        </m:r>
        <m:r>
          <m:rPr>
            <m:sty m:val="p"/>
          </m:rPr>
          <w:rPr>
            <w:rFonts w:ascii="Cambria Math" w:hAnsi="Cambria Math"/>
          </w:rPr>
          <m:t>=</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sty m:val="p"/>
                      </m:rPr>
                      <w:rPr>
                        <w:rFonts w:ascii="Cambria Math" w:hAnsi="Cambria Math"/>
                      </w:rPr>
                      <m:t>Q</m:t>
                    </m:r>
                    <m:ctrlPr>
                      <w:rPr>
                        <w:rFonts w:ascii="Cambria Math" w:hAnsi="Cambria Math"/>
                      </w:rPr>
                    </m:ctrlPr>
                  </m:e>
                  <m:sub>
                    <m:r>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Q</m:t>
                    </m:r>
                    <m:ctrlPr>
                      <w:rPr>
                        <w:rFonts w:ascii="Cambria Math" w:hAnsi="Cambria Math"/>
                      </w:rPr>
                    </m:ctrlPr>
                  </m:e>
                  <m:sub>
                    <m:r>
                      <m:rPr/>
                      <w:rPr>
                        <w:rFonts w:ascii="Cambria Math" w:hAnsi="Cambria Math"/>
                      </w:rPr>
                      <m:t>2</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Q</m:t>
                    </m:r>
                    <m:ctrlPr>
                      <w:rPr>
                        <w:rFonts w:ascii="Cambria Math" w:hAnsi="Cambria Math"/>
                      </w:rPr>
                    </m:ctrlPr>
                  </m:e>
                  <m:sub>
                    <m:r>
                      <m:rPr/>
                      <w:rPr>
                        <w:rFonts w:ascii="Cambria Math" w:hAnsi="Cambria Math"/>
                      </w:rPr>
                      <m:t>3</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Q</m:t>
                    </m:r>
                    <m:ctrlPr>
                      <w:rPr>
                        <w:rFonts w:ascii="Cambria Math" w:hAnsi="Cambria Math"/>
                      </w:rPr>
                    </m:ctrlPr>
                  </m:e>
                  <m:sub>
                    <m:r>
                      <m:rPr>
                        <m:sty m:val="p"/>
                      </m:rPr>
                      <w:rPr>
                        <w:rFonts w:ascii="Cambria Math" w:hAnsi="Cambria Math"/>
                      </w:rPr>
                      <m:t>4</m:t>
                    </m:r>
                    <m:ctrlPr>
                      <w:rPr>
                        <w:rFonts w:ascii="Cambria Math" w:hAnsi="Cambria Math"/>
                      </w:rPr>
                    </m:ctrlPr>
                  </m:sub>
                </m:sSub>
                <m:ctrlPr>
                  <w:rPr>
                    <w:rFonts w:ascii="Cambria Math" w:hAnsi="Cambria Math"/>
                  </w:rPr>
                </m:ctrlPr>
              </m:num>
              <m:den>
                <m:r>
                  <m:rPr>
                    <m:sty m:val="p"/>
                  </m:rPr>
                  <w:rPr>
                    <w:rFonts w:ascii="Cambria Math" w:hAnsi="Cambria Math"/>
                  </w:rPr>
                  <m:t>100−</m:t>
                </m:r>
                <m:sSub>
                  <m:sSubPr>
                    <m:ctrlPr>
                      <w:rPr>
                        <w:rFonts w:ascii="Cambria Math" w:hAnsi="Cambria Math"/>
                      </w:rPr>
                    </m:ctrlPr>
                  </m:sSubPr>
                  <m:e>
                    <m:r>
                      <m:rPr>
                        <m:sty m:val="p"/>
                      </m:rPr>
                      <w:rPr>
                        <w:rFonts w:ascii="Cambria Math" w:hAnsi="Cambria Math"/>
                      </w:rPr>
                      <m:t>Q</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rPr>
                </m:ctrlPr>
              </m:den>
            </m:f>
            <m:ctrlPr>
              <w:rPr>
                <w:rFonts w:ascii="Cambria Math" w:hAnsi="Cambria Math"/>
                <w:i/>
              </w:rPr>
            </m:ctrlPr>
          </m:e>
        </m:d>
        <m:r>
          <m:rPr/>
          <w:rPr>
            <w:rFonts w:ascii="Cambria Math" w:hAnsi="Cambria Math"/>
          </w:rPr>
          <m:t>×100%+</m:t>
        </m:r>
        <m:f>
          <m:fPr>
            <m:ctrlPr>
              <w:rPr>
                <w:rFonts w:ascii="Cambria Math" w:hAnsi="Cambria Math"/>
                <w:i/>
              </w:rPr>
            </m:ctrlPr>
          </m:fPr>
          <m:num>
            <m:sSub>
              <m:sSubPr>
                <m:ctrlPr>
                  <w:rPr>
                    <w:rFonts w:ascii="Cambria Math" w:hAnsi="Cambria Math"/>
                    <w:i/>
                  </w:rPr>
                </m:ctrlPr>
              </m:sSubPr>
              <m:e>
                <m:r>
                  <m:rPr/>
                  <w:rPr>
                    <w:rFonts w:ascii="Cambria Math" w:hAnsi="Cambria Math"/>
                  </w:rPr>
                  <m:t>Q</m:t>
                </m:r>
                <m:ctrlPr>
                  <w:rPr>
                    <w:rFonts w:ascii="Cambria Math" w:hAnsi="Cambria Math"/>
                    <w:i/>
                  </w:rPr>
                </m:ctrlPr>
              </m:e>
              <m:sub>
                <m:r>
                  <m:rPr/>
                  <w:rPr>
                    <w:rFonts w:ascii="Cambria Math" w:hAnsi="Cambria Math"/>
                  </w:rPr>
                  <m:t>6</m:t>
                </m:r>
                <m:ctrlPr>
                  <w:rPr>
                    <w:rFonts w:ascii="Cambria Math" w:hAnsi="Cambria Math"/>
                    <w:i/>
                  </w:rPr>
                </m:ctrlPr>
              </m:sub>
            </m:sSub>
            <m:ctrlPr>
              <w:rPr>
                <w:rFonts w:ascii="Cambria Math" w:hAnsi="Cambria Math"/>
                <w:i/>
              </w:rPr>
            </m:ctrlPr>
          </m:num>
          <m:den>
            <m:r>
              <m:rPr/>
              <w:rPr>
                <w:rFonts w:ascii="Cambria Math" w:hAnsi="Cambria Math"/>
              </w:rPr>
              <m:t>100</m:t>
            </m:r>
            <m:ctrlPr>
              <w:rPr>
                <w:rFonts w:ascii="Cambria Math" w:hAnsi="Cambria Math"/>
                <w:i/>
              </w:rPr>
            </m:ctrlPr>
          </m:den>
        </m:f>
        <m:r>
          <m:rPr/>
          <w:rPr>
            <w:rFonts w:ascii="Cambria Math" w:hAnsi="Cambria Math"/>
          </w:rPr>
          <m:t>×100%</m:t>
        </m:r>
      </m:oMath>
      <w:r>
        <w:rPr>
          <w:rFonts w:hint="eastAsia" w:ascii="Cambria Math" w:hAnsi="Cambria Math" w:cs="Cambria Math" w:eastAsiaTheme="minorEastAsia"/>
          <w:i/>
        </w:rPr>
        <w:t xml:space="preserve"> </w:t>
      </w:r>
      <w:r>
        <w:rPr>
          <w:rFonts w:ascii="Cambria Math" w:hAnsi="Cambria Math" w:cs="Cambria Math" w:eastAsiaTheme="minorEastAsia"/>
          <w:i/>
        </w:rPr>
        <w:t xml:space="preserve"> </w:t>
      </w:r>
      <w:r>
        <w:rPr>
          <w:rFonts w:hint="eastAsia" w:ascii="Cambria Math" w:hAnsi="Cambria Math" w:cs="Cambria Math" w:eastAsiaTheme="minorEastAsia"/>
          <w:i/>
        </w:rPr>
        <w:t xml:space="preserve"> </w:t>
      </w:r>
      <w:r>
        <w:rPr>
          <w:rFonts w:ascii="Cambria Math" w:hAnsi="Cambria Math" w:cs="Cambria Math" w:eastAsiaTheme="minorEastAsia"/>
          <w:i/>
        </w:rPr>
        <w:t xml:space="preserve">                </w:t>
      </w:r>
      <w:r>
        <w:rPr>
          <w:rFonts w:hint="eastAsia"/>
        </w:rPr>
        <w:t xml:space="preserve"> </w:t>
      </w:r>
      <w:r>
        <w:t xml:space="preserve"> </w:t>
      </w:r>
      <w:r>
        <w:rPr>
          <w:rFonts w:hint="eastAsia"/>
        </w:rPr>
        <w:t>（公式1）</w:t>
      </w:r>
    </w:p>
    <w:bookmarkEnd w:id="29"/>
    <w:p>
      <w:pPr>
        <w:pStyle w:val="64"/>
        <w:ind w:firstLine="420"/>
      </w:pPr>
      <w:r>
        <w:rPr>
          <w:rFonts w:hint="eastAsia"/>
        </w:rPr>
        <w:t>式中：P</w:t>
      </w:r>
      <w:r>
        <w:t xml:space="preserve"> </w:t>
      </w:r>
      <w:r>
        <w:rPr>
          <w:rFonts w:hint="eastAsia"/>
        </w:rPr>
        <w:t>──装配率；</w:t>
      </w:r>
    </w:p>
    <w:p>
      <w:pPr>
        <w:pStyle w:val="64"/>
        <w:ind w:firstLine="1050" w:firstLineChars="500"/>
      </w:pPr>
      <w:r>
        <w:rPr>
          <w:rFonts w:hint="eastAsia"/>
        </w:rPr>
        <w:t>Q</w:t>
      </w:r>
      <w:r>
        <w:rPr>
          <w:rFonts w:hint="eastAsia"/>
          <w:vertAlign w:val="subscript"/>
        </w:rPr>
        <w:t>1</w:t>
      </w:r>
      <w:r>
        <w:rPr>
          <w:rFonts w:hint="eastAsia"/>
        </w:rPr>
        <w:t>──主体结构指标实际得分值；</w:t>
      </w:r>
    </w:p>
    <w:p>
      <w:pPr>
        <w:pStyle w:val="64"/>
        <w:ind w:firstLine="1050" w:firstLineChars="500"/>
      </w:pPr>
      <w:r>
        <w:rPr>
          <w:rFonts w:hint="eastAsia"/>
        </w:rPr>
        <w:t>Q</w:t>
      </w:r>
      <w:r>
        <w:rPr>
          <w:rFonts w:hint="eastAsia"/>
          <w:vertAlign w:val="subscript"/>
        </w:rPr>
        <w:t>2</w:t>
      </w:r>
      <w:r>
        <w:rPr>
          <w:rFonts w:hint="eastAsia"/>
        </w:rPr>
        <w:t>──围护墙和内隔墙指标实际得分值；</w:t>
      </w:r>
    </w:p>
    <w:p>
      <w:pPr>
        <w:pStyle w:val="64"/>
        <w:ind w:firstLine="1050" w:firstLineChars="500"/>
      </w:pPr>
      <w:r>
        <w:rPr>
          <w:rFonts w:hint="eastAsia"/>
        </w:rPr>
        <w:t>Q</w:t>
      </w:r>
      <w:r>
        <w:rPr>
          <w:rFonts w:hint="eastAsia"/>
          <w:vertAlign w:val="subscript"/>
        </w:rPr>
        <w:t>3</w:t>
      </w:r>
      <w:r>
        <w:rPr>
          <w:rFonts w:hint="eastAsia"/>
        </w:rPr>
        <w:t>──装修与设备管线指标实际得分值；</w:t>
      </w:r>
    </w:p>
    <w:p>
      <w:pPr>
        <w:pStyle w:val="64"/>
        <w:ind w:firstLine="1050" w:firstLineChars="500"/>
      </w:pPr>
      <w:r>
        <w:rPr>
          <w:rFonts w:hint="eastAsia"/>
        </w:rPr>
        <w:t>Q</w:t>
      </w:r>
      <w:r>
        <w:rPr>
          <w:rFonts w:hint="eastAsia"/>
          <w:vertAlign w:val="subscript"/>
        </w:rPr>
        <w:t>4</w:t>
      </w:r>
      <w:r>
        <w:rPr>
          <w:rFonts w:hint="eastAsia"/>
        </w:rPr>
        <w:t>──设计标准化指标实际得分值；</w:t>
      </w:r>
    </w:p>
    <w:p>
      <w:pPr>
        <w:pStyle w:val="64"/>
        <w:ind w:firstLine="1050" w:firstLineChars="500"/>
      </w:pPr>
      <w:r>
        <w:rPr>
          <w:rFonts w:hint="eastAsia"/>
        </w:rPr>
        <w:t>Q</w:t>
      </w:r>
      <w:r>
        <w:rPr>
          <w:rFonts w:hint="eastAsia"/>
          <w:vertAlign w:val="subscript"/>
        </w:rPr>
        <w:t>5</w:t>
      </w:r>
      <w:r>
        <w:rPr>
          <w:rFonts w:hint="eastAsia"/>
        </w:rPr>
        <w:t>──装配率评价项目Q</w:t>
      </w:r>
      <w:r>
        <w:rPr>
          <w:rFonts w:hint="eastAsia"/>
          <w:vertAlign w:val="subscript"/>
        </w:rPr>
        <w:t>1</w:t>
      </w:r>
      <w:r>
        <w:rPr>
          <w:rFonts w:hint="eastAsia"/>
        </w:rPr>
        <w:t>、Q</w:t>
      </w:r>
      <w:r>
        <w:rPr>
          <w:rFonts w:hint="eastAsia"/>
          <w:vertAlign w:val="subscript"/>
        </w:rPr>
        <w:t>2</w:t>
      </w:r>
      <w:r>
        <w:rPr>
          <w:rFonts w:hint="eastAsia"/>
        </w:rPr>
        <w:t>、Q</w:t>
      </w:r>
      <w:r>
        <w:rPr>
          <w:rFonts w:hint="eastAsia"/>
          <w:vertAlign w:val="subscript"/>
        </w:rPr>
        <w:t>3</w:t>
      </w:r>
      <w:r>
        <w:rPr>
          <w:rFonts w:hint="eastAsia"/>
        </w:rPr>
        <w:t>、Q</w:t>
      </w:r>
      <w:r>
        <w:rPr>
          <w:rFonts w:hint="eastAsia"/>
          <w:vertAlign w:val="subscript"/>
        </w:rPr>
        <w:t>4</w:t>
      </w:r>
      <w:r>
        <w:rPr>
          <w:rFonts w:hint="eastAsia"/>
        </w:rPr>
        <w:t>中缺少的评价项分值总和；</w:t>
      </w:r>
    </w:p>
    <w:p>
      <w:pPr>
        <w:pStyle w:val="64"/>
        <w:ind w:firstLine="1050" w:firstLineChars="500"/>
      </w:pPr>
      <w:r>
        <w:rPr>
          <w:rFonts w:hint="eastAsia"/>
        </w:rPr>
        <w:t>Q</w:t>
      </w:r>
      <w:r>
        <w:rPr>
          <w:rFonts w:hint="eastAsia"/>
          <w:vertAlign w:val="subscript"/>
        </w:rPr>
        <w:t>6</w:t>
      </w:r>
      <w:r>
        <w:rPr>
          <w:rFonts w:hint="eastAsia"/>
        </w:rPr>
        <w:t>──创新项指标实际得分值。</w:t>
      </w:r>
    </w:p>
    <w:p>
      <w:pPr>
        <w:pStyle w:val="64"/>
        <w:ind w:firstLine="199" w:firstLineChars="95"/>
        <w:jc w:val="center"/>
      </w:pPr>
      <w:r>
        <w:rPr>
          <w:rFonts w:hint="eastAsia"/>
        </w:rPr>
        <w:t>表 1</w:t>
      </w:r>
      <w:r>
        <w:rPr>
          <w:rFonts w:hint="eastAsia"/>
        </w:rPr>
        <w:tab/>
      </w:r>
      <w:r>
        <w:rPr>
          <w:rFonts w:hint="eastAsia"/>
        </w:rPr>
        <w:t>装配式建筑装配率计算表</w:t>
      </w:r>
    </w:p>
    <w:tbl>
      <w:tblPr>
        <w:tblStyle w:val="29"/>
        <w:tblW w:w="9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0"/>
        <w:gridCol w:w="3580"/>
        <w:gridCol w:w="2305"/>
        <w:gridCol w:w="1525"/>
        <w:gridCol w:w="10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40" w:type="dxa"/>
            <w:gridSpan w:val="2"/>
            <w:shd w:val="clear" w:color="auto" w:fill="auto"/>
            <w:vAlign w:val="center"/>
          </w:tcPr>
          <w:p>
            <w:pPr>
              <w:widowControl/>
              <w:spacing w:line="240" w:lineRule="atLeast"/>
              <w:jc w:val="center"/>
              <w:rPr>
                <w:rFonts w:ascii="宋体" w:hAnsi="宋体" w:cs="宋体"/>
                <w:kern w:val="0"/>
              </w:rPr>
            </w:pPr>
            <w:bookmarkStart w:id="30" w:name="_Hlk143077284"/>
            <w:r>
              <w:rPr>
                <w:rFonts w:hint="eastAsia" w:ascii="Microsoft YaHei UI" w:hAnsi="宋体" w:eastAsia="Microsoft YaHei UI" w:cs="宋体"/>
                <w:b/>
                <w:w w:val="95"/>
                <w:kern w:val="0"/>
                <w:szCs w:val="22"/>
                <w:lang w:eastAsia="en-US"/>
              </w:rPr>
              <w:t>指标项</w:t>
            </w:r>
          </w:p>
        </w:tc>
        <w:tc>
          <w:tcPr>
            <w:tcW w:w="2305" w:type="dxa"/>
            <w:shd w:val="clear" w:color="auto" w:fill="auto"/>
            <w:vAlign w:val="center"/>
          </w:tcPr>
          <w:p>
            <w:pPr>
              <w:widowControl/>
              <w:spacing w:line="240" w:lineRule="atLeast"/>
              <w:jc w:val="center"/>
              <w:rPr>
                <w:rFonts w:ascii="宋体" w:hAnsi="宋体" w:cs="宋体"/>
                <w:kern w:val="0"/>
              </w:rPr>
            </w:pPr>
            <w:r>
              <w:rPr>
                <w:rFonts w:hint="eastAsia" w:ascii="Microsoft YaHei UI" w:hAnsi="宋体" w:eastAsia="Microsoft YaHei UI" w:cs="宋体"/>
                <w:b/>
                <w:w w:val="95"/>
                <w:kern w:val="0"/>
                <w:szCs w:val="22"/>
                <w:lang w:eastAsia="en-US"/>
              </w:rPr>
              <w:t>指标要求</w:t>
            </w:r>
          </w:p>
        </w:tc>
        <w:tc>
          <w:tcPr>
            <w:tcW w:w="1525" w:type="dxa"/>
            <w:shd w:val="clear" w:color="auto" w:fill="auto"/>
            <w:vAlign w:val="center"/>
          </w:tcPr>
          <w:p>
            <w:pPr>
              <w:widowControl/>
              <w:spacing w:line="240" w:lineRule="atLeast"/>
              <w:jc w:val="center"/>
              <w:rPr>
                <w:rFonts w:ascii="宋体" w:hAnsi="宋体" w:cs="宋体"/>
                <w:kern w:val="0"/>
              </w:rPr>
            </w:pPr>
            <w:r>
              <w:rPr>
                <w:rFonts w:hint="eastAsia" w:ascii="Microsoft YaHei UI" w:hAnsi="宋体" w:eastAsia="Microsoft YaHei UI" w:cs="宋体"/>
                <w:b/>
                <w:w w:val="95"/>
                <w:kern w:val="0"/>
                <w:szCs w:val="22"/>
                <w:lang w:eastAsia="en-US"/>
              </w:rPr>
              <w:t>指标分值</w:t>
            </w:r>
          </w:p>
        </w:tc>
        <w:tc>
          <w:tcPr>
            <w:tcW w:w="1070" w:type="dxa"/>
            <w:shd w:val="clear" w:color="auto" w:fill="auto"/>
            <w:vAlign w:val="center"/>
          </w:tcPr>
          <w:p>
            <w:pPr>
              <w:widowControl/>
              <w:spacing w:line="240" w:lineRule="atLeast"/>
              <w:jc w:val="center"/>
              <w:rPr>
                <w:rFonts w:ascii="宋体" w:hAnsi="宋体" w:cs="宋体"/>
                <w:kern w:val="0"/>
              </w:rPr>
            </w:pPr>
            <w:r>
              <w:rPr>
                <w:rFonts w:hint="eastAsia" w:ascii="Microsoft YaHei UI" w:hAnsi="宋体" w:eastAsia="Microsoft YaHei UI" w:cs="宋体"/>
                <w:b/>
                <w:w w:val="95"/>
                <w:kern w:val="0"/>
                <w:szCs w:val="22"/>
                <w:lang w:eastAsia="en-US"/>
              </w:rPr>
              <w:t>最低分值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jc w:val="center"/>
        </w:trPr>
        <w:tc>
          <w:tcPr>
            <w:tcW w:w="1160" w:type="dxa"/>
            <w:vMerge w:val="restart"/>
            <w:shd w:val="clear" w:color="auto" w:fill="auto"/>
            <w:vAlign w:val="center"/>
          </w:tcPr>
          <w:p>
            <w:pPr>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主体</w:t>
            </w:r>
            <w:r>
              <w:rPr>
                <w:rFonts w:hint="eastAsia" w:asciiTheme="minorEastAsia" w:hAnsiTheme="minorEastAsia" w:eastAsiaTheme="minorEastAsia" w:cstheme="minorEastAsia"/>
                <w:bCs/>
                <w:w w:val="95"/>
                <w:kern w:val="0"/>
                <w:lang w:eastAsia="en-US"/>
              </w:rPr>
              <w:t>结构</w:t>
            </w:r>
            <w:r>
              <w:rPr>
                <w:rFonts w:hint="eastAsia" w:asciiTheme="minorEastAsia" w:hAnsiTheme="minorEastAsia" w:eastAsiaTheme="minorEastAsia" w:cstheme="minorEastAsia"/>
                <w:kern w:val="0"/>
              </w:rPr>
              <w:t>（</w:t>
            </w:r>
            <w:r>
              <w:rPr>
                <w:rFonts w:hint="eastAsia" w:ascii="Times New Roman" w:hAnsi="宋体" w:eastAsia="Times New Roman" w:cs="宋体"/>
                <w:kern w:val="0"/>
                <w:szCs w:val="22"/>
                <w:lang w:eastAsia="en-US"/>
              </w:rPr>
              <w:t>50</w:t>
            </w:r>
            <w:r>
              <w:rPr>
                <w:rFonts w:hint="eastAsia" w:asciiTheme="minorEastAsia" w:hAnsiTheme="minorEastAsia" w:eastAsiaTheme="minorEastAsia" w:cstheme="minorEastAsia"/>
                <w:kern w:val="0"/>
              </w:rPr>
              <w:t>分）</w:t>
            </w:r>
          </w:p>
        </w:tc>
        <w:tc>
          <w:tcPr>
            <w:tcW w:w="3580" w:type="dxa"/>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柱、支撑、承重墙、延性墙板等竖向构件</w:t>
            </w:r>
          </w:p>
        </w:tc>
        <w:tc>
          <w:tcPr>
            <w:tcW w:w="2305" w:type="dxa"/>
            <w:shd w:val="clear" w:color="auto" w:fill="auto"/>
            <w:vAlign w:val="center"/>
          </w:tcPr>
          <w:p>
            <w:pPr>
              <w:widowControl/>
              <w:spacing w:line="240" w:lineRule="atLeast"/>
              <w:jc w:val="left"/>
              <w:rPr>
                <w:rFonts w:asciiTheme="minorEastAsia" w:hAnsiTheme="minorEastAsia" w:eastAsiaTheme="minorEastAsia" w:cstheme="minorEastAsia"/>
              </w:rPr>
            </w:pPr>
            <w:r>
              <w:rPr>
                <w:rFonts w:hint="eastAsia" w:asciiTheme="minorEastAsia" w:hAnsiTheme="minorEastAsia" w:eastAsiaTheme="minorEastAsia" w:cstheme="minorEastAsia"/>
              </w:rPr>
              <w:t>取下列两种指标一：</w:t>
            </w:r>
          </w:p>
          <w:p>
            <w:pPr>
              <w:widowControl/>
              <w:spacing w:line="240" w:lineRule="atLeast"/>
              <w:jc w:val="left"/>
              <w:rPr>
                <w:rFonts w:asciiTheme="minorEastAsia" w:hAnsiTheme="minorEastAsia" w:eastAsiaTheme="minorEastAsia" w:cstheme="minorEastAsia"/>
              </w:rPr>
            </w:pPr>
            <w:r>
              <w:rPr>
                <w:rFonts w:hint="eastAsia" w:ascii="Times New Roman" w:hAnsi="宋体" w:eastAsia="Times New Roman" w:cs="宋体"/>
                <w:kern w:val="0"/>
                <w:szCs w:val="22"/>
              </w:rPr>
              <w:t>①35%</w:t>
            </w:r>
            <w:r>
              <w:rPr>
                <w:rFonts w:hint="eastAsia" w:asciiTheme="minorEastAsia" w:hAnsiTheme="minorEastAsia" w:eastAsiaTheme="minorEastAsia" w:cstheme="minorEastAsia"/>
              </w:rPr>
              <w:t>≤比例≤</w:t>
            </w:r>
            <w:r>
              <w:rPr>
                <w:rFonts w:hint="eastAsia" w:ascii="Times New Roman" w:hAnsi="宋体" w:eastAsia="Times New Roman" w:cs="宋体"/>
                <w:kern w:val="0"/>
                <w:szCs w:val="22"/>
              </w:rPr>
              <w:t>80%；</w:t>
            </w:r>
          </w:p>
          <w:p>
            <w:pPr>
              <w:autoSpaceDE w:val="0"/>
              <w:autoSpaceDN w:val="0"/>
              <w:adjustRightInd/>
              <w:spacing w:line="240" w:lineRule="auto"/>
              <w:ind w:right="453"/>
              <w:rPr>
                <w:rFonts w:asciiTheme="minorEastAsia" w:hAnsiTheme="minorEastAsia" w:eastAsiaTheme="minorEastAsia" w:cstheme="minorEastAsia"/>
              </w:rPr>
            </w:pPr>
            <w:r>
              <w:rPr>
                <w:rFonts w:hint="eastAsia" w:ascii="Times New Roman" w:hAnsi="宋体" w:eastAsia="Times New Roman" w:cs="宋体"/>
                <w:kern w:val="0"/>
                <w:szCs w:val="22"/>
                <w:lang w:eastAsia="en-US"/>
              </w:rPr>
              <w:t>②15%</w:t>
            </w:r>
            <w:r>
              <w:rPr>
                <w:rFonts w:hint="eastAsia" w:asciiTheme="minorEastAsia" w:hAnsiTheme="minorEastAsia" w:eastAsiaTheme="minorEastAsia" w:cstheme="minorEastAsia"/>
              </w:rPr>
              <w:t>≤比例&lt;</w:t>
            </w:r>
            <w:r>
              <w:rPr>
                <w:rFonts w:hint="eastAsia" w:ascii="Times New Roman" w:hAnsi="宋体" w:eastAsia="Times New Roman" w:cs="宋体"/>
                <w:kern w:val="0"/>
                <w:szCs w:val="22"/>
                <w:lang w:eastAsia="en-US"/>
              </w:rPr>
              <w:t>35%</w:t>
            </w:r>
          </w:p>
        </w:tc>
        <w:tc>
          <w:tcPr>
            <w:tcW w:w="1525" w:type="dxa"/>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lang w:eastAsia="en-US"/>
              </w:rPr>
            </w:pPr>
            <w:r>
              <w:rPr>
                <w:rFonts w:hint="eastAsia" w:ascii="Times New Roman" w:hAnsi="宋体" w:eastAsia="Times New Roman" w:cs="宋体"/>
                <w:kern w:val="0"/>
                <w:szCs w:val="22"/>
                <w:lang w:eastAsia="en-US"/>
              </w:rPr>
              <w:t>①20</w:t>
            </w:r>
            <w:r>
              <w:rPr>
                <w:rFonts w:hint="eastAsia" w:asciiTheme="minorEastAsia" w:hAnsiTheme="minorEastAsia" w:eastAsiaTheme="minorEastAsia" w:cstheme="minorEastAsia"/>
                <w:kern w:val="0"/>
              </w:rPr>
              <w:t>～</w:t>
            </w:r>
            <w:r>
              <w:rPr>
                <w:rFonts w:hint="eastAsia" w:ascii="Times New Roman" w:hAnsi="宋体" w:eastAsia="Times New Roman" w:cs="宋体"/>
                <w:kern w:val="0"/>
                <w:szCs w:val="22"/>
                <w:lang w:eastAsia="en-US"/>
              </w:rPr>
              <w:t>30*</w:t>
            </w:r>
          </w:p>
          <w:p>
            <w:pPr>
              <w:autoSpaceDE w:val="0"/>
              <w:autoSpaceDN w:val="0"/>
              <w:snapToGrid w:val="0"/>
              <w:spacing w:line="240" w:lineRule="atLeast"/>
              <w:jc w:val="center"/>
              <w:rPr>
                <w:rFonts w:asciiTheme="minorEastAsia" w:hAnsiTheme="minorEastAsia" w:eastAsiaTheme="minorEastAsia" w:cstheme="minorEastAsia"/>
              </w:rPr>
            </w:pPr>
            <w:r>
              <w:rPr>
                <w:rFonts w:hint="eastAsia" w:ascii="Times New Roman" w:hAnsi="宋体" w:eastAsia="Times New Roman" w:cs="宋体"/>
                <w:kern w:val="0"/>
                <w:szCs w:val="22"/>
                <w:lang w:eastAsia="en-US"/>
              </w:rPr>
              <w:t>②5</w:t>
            </w:r>
            <w:r>
              <w:rPr>
                <w:rFonts w:hint="eastAsia" w:asciiTheme="minorEastAsia" w:hAnsiTheme="minorEastAsia" w:eastAsiaTheme="minorEastAsia" w:cstheme="minorEastAsia"/>
                <w:kern w:val="0"/>
              </w:rPr>
              <w:t>～</w:t>
            </w:r>
            <w:r>
              <w:rPr>
                <w:rFonts w:hint="eastAsia" w:ascii="Times New Roman" w:hAnsi="宋体" w:eastAsia="Times New Roman" w:cs="宋体"/>
                <w:kern w:val="0"/>
                <w:szCs w:val="22"/>
                <w:lang w:eastAsia="en-US"/>
              </w:rPr>
              <w:t>20*</w:t>
            </w:r>
          </w:p>
        </w:tc>
        <w:tc>
          <w:tcPr>
            <w:tcW w:w="1070" w:type="dxa"/>
            <w:vMerge w:val="restart"/>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rPr>
            </w:pPr>
            <w:r>
              <w:rPr>
                <w:rFonts w:hint="eastAsia" w:ascii="Times New Roman" w:hAnsi="宋体" w:eastAsia="Times New Roman" w:cs="宋体"/>
                <w:kern w:val="0"/>
                <w:szCs w:val="22"/>
                <w:lang w:eastAsia="en-US"/>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1" w:hRule="atLeast"/>
          <w:jc w:val="center"/>
        </w:trPr>
        <w:tc>
          <w:tcPr>
            <w:tcW w:w="1160" w:type="dxa"/>
            <w:vMerge w:val="continue"/>
            <w:vAlign w:val="center"/>
          </w:tcPr>
          <w:p>
            <w:pPr>
              <w:widowControl/>
              <w:spacing w:line="240" w:lineRule="atLeast"/>
              <w:ind w:firstLine="420"/>
              <w:jc w:val="left"/>
              <w:rPr>
                <w:rFonts w:asciiTheme="minorEastAsia" w:hAnsiTheme="minorEastAsia" w:eastAsiaTheme="minorEastAsia" w:cstheme="minorEastAsia"/>
                <w:kern w:val="0"/>
              </w:rPr>
            </w:pPr>
          </w:p>
        </w:tc>
        <w:tc>
          <w:tcPr>
            <w:tcW w:w="3580" w:type="dxa"/>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梁、板、楼梯、阳台、空调板等水平构件</w:t>
            </w:r>
          </w:p>
        </w:tc>
        <w:tc>
          <w:tcPr>
            <w:tcW w:w="2305" w:type="dxa"/>
            <w:shd w:val="clear" w:color="auto" w:fill="auto"/>
            <w:vAlign w:val="center"/>
          </w:tcPr>
          <w:p>
            <w:pPr>
              <w:widowControl/>
              <w:spacing w:line="240" w:lineRule="atLeast"/>
              <w:jc w:val="left"/>
              <w:rPr>
                <w:rFonts w:asciiTheme="minorEastAsia" w:hAnsiTheme="minorEastAsia" w:eastAsiaTheme="minorEastAsia" w:cstheme="minorEastAsia"/>
              </w:rPr>
            </w:pPr>
            <w:r>
              <w:rPr>
                <w:rFonts w:hint="eastAsia" w:asciiTheme="minorEastAsia" w:hAnsiTheme="minorEastAsia" w:eastAsiaTheme="minorEastAsia" w:cstheme="minorEastAsia"/>
              </w:rPr>
              <w:t>取下列两种指标一：</w:t>
            </w:r>
          </w:p>
          <w:p>
            <w:pPr>
              <w:widowControl/>
              <w:spacing w:line="240" w:lineRule="atLeast"/>
              <w:jc w:val="left"/>
              <w:rPr>
                <w:rFonts w:asciiTheme="minorEastAsia" w:hAnsiTheme="minorEastAsia" w:eastAsiaTheme="minorEastAsia" w:cstheme="minorEastAsia"/>
              </w:rPr>
            </w:pPr>
            <w:r>
              <w:rPr>
                <w:rFonts w:hint="eastAsia" w:ascii="Times New Roman" w:hAnsi="宋体" w:eastAsia="Times New Roman" w:cs="宋体"/>
                <w:kern w:val="0"/>
                <w:szCs w:val="22"/>
              </w:rPr>
              <w:t>①60%</w:t>
            </w:r>
            <w:r>
              <w:rPr>
                <w:rFonts w:hint="eastAsia" w:asciiTheme="minorEastAsia" w:hAnsiTheme="minorEastAsia" w:eastAsiaTheme="minorEastAsia" w:cstheme="minorEastAsia"/>
              </w:rPr>
              <w:t>≤比例≤</w:t>
            </w:r>
            <w:r>
              <w:rPr>
                <w:rFonts w:hint="eastAsia" w:ascii="Times New Roman" w:hAnsi="宋体" w:eastAsia="Times New Roman" w:cs="宋体"/>
                <w:kern w:val="0"/>
                <w:szCs w:val="22"/>
              </w:rPr>
              <w:t>80%</w:t>
            </w:r>
            <w:r>
              <w:rPr>
                <w:rFonts w:hint="eastAsia" w:asciiTheme="minorEastAsia" w:hAnsiTheme="minorEastAsia" w:eastAsiaTheme="minorEastAsia" w:cstheme="minorEastAsia"/>
              </w:rPr>
              <w:t>；</w:t>
            </w:r>
          </w:p>
          <w:p>
            <w:pPr>
              <w:widowControl/>
              <w:spacing w:line="240" w:lineRule="atLeast"/>
              <w:jc w:val="left"/>
              <w:rPr>
                <w:rFonts w:asciiTheme="minorEastAsia" w:hAnsiTheme="minorEastAsia" w:eastAsiaTheme="minorEastAsia" w:cstheme="minorEastAsia"/>
              </w:rPr>
            </w:pPr>
            <w:r>
              <w:rPr>
                <w:rFonts w:hint="eastAsia" w:ascii="Times New Roman" w:hAnsi="宋体" w:eastAsia="Times New Roman" w:cs="宋体"/>
                <w:kern w:val="0"/>
                <w:szCs w:val="22"/>
                <w:lang w:eastAsia="en-US"/>
              </w:rPr>
              <w:t>②40%</w:t>
            </w:r>
            <w:r>
              <w:rPr>
                <w:rFonts w:hint="eastAsia" w:asciiTheme="minorEastAsia" w:hAnsiTheme="minorEastAsia" w:eastAsiaTheme="minorEastAsia" w:cstheme="minorEastAsia"/>
              </w:rPr>
              <w:t>≤比例&lt;</w:t>
            </w:r>
            <w:r>
              <w:rPr>
                <w:rFonts w:hint="eastAsia" w:ascii="Times New Roman" w:hAnsi="宋体" w:eastAsia="Times New Roman" w:cs="宋体"/>
                <w:kern w:val="0"/>
                <w:szCs w:val="22"/>
                <w:lang w:eastAsia="en-US"/>
              </w:rPr>
              <w:t>60%</w:t>
            </w:r>
          </w:p>
        </w:tc>
        <w:tc>
          <w:tcPr>
            <w:tcW w:w="1525" w:type="dxa"/>
            <w:shd w:val="clear" w:color="auto" w:fill="auto"/>
            <w:vAlign w:val="center"/>
          </w:tcPr>
          <w:p>
            <w:pPr>
              <w:autoSpaceDE w:val="0"/>
              <w:autoSpaceDN w:val="0"/>
              <w:snapToGrid w:val="0"/>
              <w:spacing w:line="240" w:lineRule="atLeast"/>
              <w:jc w:val="center"/>
              <w:rPr>
                <w:rFonts w:ascii="Times New Roman" w:hAnsi="宋体" w:eastAsia="Times New Roman" w:cs="宋体"/>
                <w:kern w:val="0"/>
                <w:szCs w:val="22"/>
                <w:lang w:eastAsia="en-US"/>
              </w:rPr>
            </w:pPr>
            <w:r>
              <w:rPr>
                <w:rFonts w:hint="eastAsia" w:ascii="Times New Roman" w:hAnsi="宋体" w:eastAsia="Times New Roman" w:cs="宋体"/>
                <w:kern w:val="0"/>
                <w:szCs w:val="22"/>
                <w:lang w:eastAsia="en-US"/>
              </w:rPr>
              <w:t>①10</w:t>
            </w:r>
            <w:r>
              <w:rPr>
                <w:rFonts w:hint="eastAsia" w:asciiTheme="minorEastAsia" w:hAnsiTheme="minorEastAsia" w:eastAsiaTheme="minorEastAsia" w:cstheme="minorEastAsia"/>
              </w:rPr>
              <w:t>～</w:t>
            </w:r>
            <w:r>
              <w:rPr>
                <w:rFonts w:hint="eastAsia" w:ascii="Times New Roman" w:hAnsi="宋体" w:eastAsia="Times New Roman" w:cs="宋体"/>
                <w:kern w:val="0"/>
                <w:szCs w:val="22"/>
                <w:lang w:eastAsia="en-US"/>
              </w:rPr>
              <w:t>20*</w:t>
            </w:r>
          </w:p>
          <w:p>
            <w:pPr>
              <w:autoSpaceDE w:val="0"/>
              <w:autoSpaceDN w:val="0"/>
              <w:snapToGrid w:val="0"/>
              <w:spacing w:line="240" w:lineRule="atLeast"/>
              <w:jc w:val="center"/>
              <w:rPr>
                <w:rFonts w:asciiTheme="minorEastAsia" w:hAnsiTheme="minorEastAsia" w:eastAsiaTheme="minorEastAsia" w:cstheme="minorEastAsia"/>
              </w:rPr>
            </w:pPr>
            <w:r>
              <w:rPr>
                <w:rFonts w:hint="eastAsia" w:ascii="Times New Roman" w:hAnsi="宋体" w:eastAsia="Times New Roman" w:cs="宋体"/>
                <w:kern w:val="0"/>
                <w:szCs w:val="22"/>
                <w:lang w:eastAsia="en-US"/>
              </w:rPr>
              <w:t>②5</w:t>
            </w:r>
            <w:r>
              <w:rPr>
                <w:rFonts w:hint="eastAsia" w:asciiTheme="minorEastAsia" w:hAnsiTheme="minorEastAsia" w:eastAsiaTheme="minorEastAsia" w:cstheme="minorEastAsia"/>
              </w:rPr>
              <w:t>～</w:t>
            </w:r>
            <w:r>
              <w:rPr>
                <w:rFonts w:hint="eastAsia" w:ascii="Times New Roman" w:hAnsi="宋体" w:eastAsia="Times New Roman" w:cs="宋体"/>
                <w:kern w:val="0"/>
                <w:szCs w:val="22"/>
                <w:lang w:eastAsia="en-US"/>
              </w:rPr>
              <w:t>10*</w:t>
            </w:r>
          </w:p>
        </w:tc>
        <w:tc>
          <w:tcPr>
            <w:tcW w:w="1070" w:type="dxa"/>
            <w:vMerge w:val="continue"/>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0" w:type="dxa"/>
            <w:vMerge w:val="restart"/>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围护墙和内隔墙（</w:t>
            </w:r>
            <w:r>
              <w:rPr>
                <w:rFonts w:ascii="Times New Roman" w:hAnsi="宋体" w:cs="宋体"/>
                <w:kern w:val="0"/>
                <w:szCs w:val="22"/>
              </w:rPr>
              <w:t>20</w:t>
            </w:r>
            <w:r>
              <w:rPr>
                <w:rFonts w:hint="eastAsia" w:asciiTheme="minorEastAsia" w:hAnsiTheme="minorEastAsia" w:eastAsiaTheme="minorEastAsia" w:cstheme="minorEastAsia"/>
                <w:kern w:val="0"/>
              </w:rPr>
              <w:t>分）</w:t>
            </w:r>
          </w:p>
        </w:tc>
        <w:tc>
          <w:tcPr>
            <w:tcW w:w="3580" w:type="dxa"/>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非承重围护墙非砌筑</w:t>
            </w:r>
            <w:r>
              <w:rPr>
                <w:rFonts w:hint="eastAsia" w:asciiTheme="minorEastAsia" w:hAnsiTheme="minorEastAsia" w:eastAsiaTheme="minorEastAsia" w:cstheme="minorEastAsia"/>
              </w:rPr>
              <w:t>和非现场浇筑墙体</w:t>
            </w:r>
          </w:p>
        </w:tc>
        <w:tc>
          <w:tcPr>
            <w:tcW w:w="2305" w:type="dxa"/>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比例≥</w:t>
            </w:r>
            <w:r>
              <w:rPr>
                <w:rFonts w:hint="eastAsia" w:ascii="Times New Roman" w:hAnsi="宋体" w:eastAsia="Times New Roman" w:cs="宋体"/>
                <w:kern w:val="0"/>
                <w:szCs w:val="22"/>
                <w:lang w:eastAsia="en-US"/>
              </w:rPr>
              <w:t>80%</w:t>
            </w:r>
          </w:p>
        </w:tc>
        <w:tc>
          <w:tcPr>
            <w:tcW w:w="1525" w:type="dxa"/>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rPr>
            </w:pPr>
            <w:r>
              <w:rPr>
                <w:rFonts w:hint="eastAsia" w:ascii="Times New Roman" w:hAnsi="宋体" w:eastAsia="Times New Roman" w:cs="宋体"/>
                <w:kern w:val="0"/>
                <w:szCs w:val="22"/>
                <w:lang w:eastAsia="en-US"/>
              </w:rPr>
              <w:t>5</w:t>
            </w:r>
          </w:p>
        </w:tc>
        <w:tc>
          <w:tcPr>
            <w:tcW w:w="1070" w:type="dxa"/>
            <w:vMerge w:val="restart"/>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rPr>
            </w:pPr>
            <w:r>
              <w:rPr>
                <w:rFonts w:hint="eastAsia" w:ascii="Times New Roman" w:hAnsi="宋体" w:eastAsia="Times New Roman" w:cs="宋体"/>
                <w:kern w:val="0"/>
                <w:szCs w:val="22"/>
                <w:lang w:eastAsia="en-US"/>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0" w:type="dxa"/>
            <w:vMerge w:val="continue"/>
            <w:vAlign w:val="center"/>
          </w:tcPr>
          <w:p>
            <w:pPr>
              <w:widowControl/>
              <w:spacing w:line="240" w:lineRule="atLeast"/>
              <w:ind w:firstLine="420"/>
              <w:jc w:val="left"/>
              <w:rPr>
                <w:rFonts w:asciiTheme="minorEastAsia" w:hAnsiTheme="minorEastAsia" w:eastAsiaTheme="minorEastAsia" w:cstheme="minorEastAsia"/>
                <w:kern w:val="0"/>
              </w:rPr>
            </w:pPr>
          </w:p>
        </w:tc>
        <w:tc>
          <w:tcPr>
            <w:tcW w:w="3580" w:type="dxa"/>
            <w:tcBorders>
              <w:bottom w:val="nil"/>
            </w:tcBorders>
            <w:shd w:val="clear" w:color="auto" w:fill="auto"/>
            <w:vAlign w:val="center"/>
          </w:tcPr>
          <w:p>
            <w:pPr>
              <w:widowControl/>
              <w:spacing w:line="240" w:lineRule="atLeast"/>
              <w:jc w:val="center"/>
              <w:rPr>
                <w:rFonts w:asciiTheme="minorEastAsia" w:hAnsiTheme="minorEastAsia" w:eastAsiaTheme="minorEastAsia" w:cstheme="minorEastAsia"/>
              </w:rPr>
            </w:pPr>
            <w:r>
              <w:rPr>
                <w:rFonts w:hint="eastAsia" w:asciiTheme="minorEastAsia" w:hAnsiTheme="minorEastAsia" w:eastAsiaTheme="minorEastAsia" w:cstheme="minorEastAsia"/>
              </w:rPr>
              <w:t>围护墙与保温装饰一体化</w:t>
            </w:r>
          </w:p>
        </w:tc>
        <w:tc>
          <w:tcPr>
            <w:tcW w:w="2305" w:type="dxa"/>
            <w:tcBorders>
              <w:bottom w:val="nil"/>
            </w:tcBorders>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imes New Roman" w:hAnsi="宋体" w:eastAsia="Times New Roman" w:cs="宋体"/>
                <w:kern w:val="0"/>
                <w:szCs w:val="22"/>
                <w:lang w:eastAsia="en-US"/>
              </w:rPr>
              <w:t>50%</w:t>
            </w:r>
            <w:r>
              <w:rPr>
                <w:rFonts w:hint="eastAsia" w:asciiTheme="minorEastAsia" w:hAnsiTheme="minorEastAsia" w:eastAsiaTheme="minorEastAsia" w:cstheme="minorEastAsia"/>
                <w:kern w:val="0"/>
              </w:rPr>
              <w:t>≤比例≤</w:t>
            </w:r>
            <w:r>
              <w:rPr>
                <w:rFonts w:hint="eastAsia" w:ascii="Times New Roman" w:hAnsi="宋体" w:eastAsia="Times New Roman" w:cs="宋体"/>
                <w:kern w:val="0"/>
                <w:szCs w:val="22"/>
                <w:lang w:eastAsia="en-US"/>
              </w:rPr>
              <w:t>80</w:t>
            </w:r>
            <w:r>
              <w:rPr>
                <w:rFonts w:hint="eastAsia" w:asciiTheme="minorEastAsia" w:hAnsiTheme="minorEastAsia" w:eastAsiaTheme="minorEastAsia" w:cstheme="minorEastAsia"/>
                <w:kern w:val="0"/>
              </w:rPr>
              <w:t>%</w:t>
            </w:r>
          </w:p>
        </w:tc>
        <w:tc>
          <w:tcPr>
            <w:tcW w:w="1525" w:type="dxa"/>
            <w:tcBorders>
              <w:bottom w:val="nil"/>
            </w:tcBorders>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rPr>
            </w:pPr>
            <w:r>
              <w:rPr>
                <w:rFonts w:hint="eastAsia" w:ascii="Times New Roman" w:hAnsi="宋体" w:eastAsia="Times New Roman" w:cs="宋体"/>
                <w:kern w:val="0"/>
                <w:szCs w:val="22"/>
                <w:lang w:eastAsia="en-US"/>
              </w:rPr>
              <w:t>2</w:t>
            </w:r>
            <w:r>
              <w:rPr>
                <w:rFonts w:hint="eastAsia" w:asciiTheme="minorEastAsia" w:hAnsiTheme="minorEastAsia" w:eastAsiaTheme="minorEastAsia" w:cstheme="minorEastAsia"/>
                <w:kern w:val="0"/>
              </w:rPr>
              <w:t>～</w:t>
            </w:r>
            <w:r>
              <w:rPr>
                <w:rFonts w:hint="eastAsia" w:ascii="Times New Roman" w:hAnsi="宋体" w:eastAsia="Times New Roman" w:cs="宋体"/>
                <w:kern w:val="0"/>
                <w:szCs w:val="22"/>
                <w:lang w:eastAsia="en-US"/>
              </w:rPr>
              <w:t>5*</w:t>
            </w:r>
          </w:p>
        </w:tc>
        <w:tc>
          <w:tcPr>
            <w:tcW w:w="1070" w:type="dxa"/>
            <w:vMerge w:val="continue"/>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0" w:type="dxa"/>
            <w:vMerge w:val="continue"/>
            <w:vAlign w:val="center"/>
          </w:tcPr>
          <w:p>
            <w:pPr>
              <w:widowControl/>
              <w:spacing w:line="240" w:lineRule="atLeast"/>
              <w:ind w:firstLine="420"/>
              <w:jc w:val="left"/>
              <w:rPr>
                <w:rFonts w:asciiTheme="minorEastAsia" w:hAnsiTheme="minorEastAsia" w:eastAsiaTheme="minorEastAsia" w:cstheme="minorEastAsia"/>
                <w:kern w:val="0"/>
              </w:rPr>
            </w:pPr>
          </w:p>
        </w:tc>
        <w:tc>
          <w:tcPr>
            <w:tcW w:w="3580" w:type="dxa"/>
            <w:tcBorders>
              <w:top w:val="nil"/>
              <w:bottom w:val="nil"/>
            </w:tcBorders>
            <w:shd w:val="clear" w:color="auto" w:fill="auto"/>
            <w:vAlign w:val="center"/>
          </w:tcPr>
          <w:p>
            <w:pPr>
              <w:widowControl/>
              <w:spacing w:line="240" w:lineRule="atLeast"/>
              <w:jc w:val="center"/>
              <w:rPr>
                <w:rFonts w:asciiTheme="minorEastAsia" w:hAnsiTheme="minorEastAsia" w:eastAsiaTheme="minorEastAsia" w:cstheme="minorEastAsia"/>
              </w:rPr>
            </w:pPr>
            <w:r>
              <w:rPr>
                <w:rFonts w:hint="eastAsia" w:asciiTheme="minorEastAsia" w:hAnsiTheme="minorEastAsia" w:eastAsiaTheme="minorEastAsia" w:cstheme="minorEastAsia"/>
              </w:rPr>
              <w:t>（围护墙与保温一体化）</w:t>
            </w:r>
          </w:p>
        </w:tc>
        <w:tc>
          <w:tcPr>
            <w:tcW w:w="2305" w:type="dxa"/>
            <w:tcBorders>
              <w:top w:val="nil"/>
              <w:bottom w:val="nil"/>
            </w:tcBorders>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imes New Roman" w:hAnsi="宋体" w:eastAsia="Times New Roman" w:cs="宋体"/>
                <w:kern w:val="0"/>
                <w:szCs w:val="22"/>
                <w:lang w:eastAsia="en-US"/>
              </w:rPr>
              <w:t>（50%</w:t>
            </w:r>
            <w:r>
              <w:rPr>
                <w:rFonts w:hint="eastAsia" w:asciiTheme="minorEastAsia" w:hAnsiTheme="minorEastAsia" w:eastAsiaTheme="minorEastAsia" w:cstheme="minorEastAsia"/>
                <w:kern w:val="0"/>
              </w:rPr>
              <w:t>≤比例≤</w:t>
            </w:r>
            <w:r>
              <w:rPr>
                <w:rFonts w:hint="eastAsia" w:ascii="Times New Roman" w:hAnsi="宋体" w:eastAsia="Times New Roman" w:cs="宋体"/>
                <w:kern w:val="0"/>
                <w:szCs w:val="22"/>
                <w:lang w:eastAsia="en-US"/>
              </w:rPr>
              <w:t>80%）</w:t>
            </w:r>
          </w:p>
        </w:tc>
        <w:tc>
          <w:tcPr>
            <w:tcW w:w="1525" w:type="dxa"/>
            <w:tcBorders>
              <w:top w:val="nil"/>
              <w:bottom w:val="nil"/>
            </w:tcBorders>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rPr>
            </w:pPr>
            <w:r>
              <w:rPr>
                <w:rFonts w:hint="eastAsia" w:ascii="Times New Roman" w:hAnsi="宋体" w:eastAsia="Times New Roman" w:cs="宋体"/>
                <w:kern w:val="0"/>
                <w:szCs w:val="22"/>
                <w:lang w:eastAsia="en-US"/>
              </w:rPr>
              <w:t>（1.4</w:t>
            </w:r>
            <w:r>
              <w:rPr>
                <w:rFonts w:hint="eastAsia" w:asciiTheme="minorEastAsia" w:hAnsiTheme="minorEastAsia" w:eastAsiaTheme="minorEastAsia" w:cstheme="minorEastAsia"/>
                <w:kern w:val="0"/>
              </w:rPr>
              <w:t>～</w:t>
            </w:r>
            <w:r>
              <w:rPr>
                <w:rFonts w:hint="eastAsia" w:ascii="Times New Roman" w:hAnsi="宋体" w:eastAsia="Times New Roman" w:cs="宋体"/>
                <w:kern w:val="0"/>
                <w:szCs w:val="22"/>
                <w:lang w:eastAsia="en-US"/>
              </w:rPr>
              <w:t>3.5*）</w:t>
            </w:r>
          </w:p>
        </w:tc>
        <w:tc>
          <w:tcPr>
            <w:tcW w:w="1070" w:type="dxa"/>
            <w:vMerge w:val="continue"/>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0" w:type="dxa"/>
            <w:vMerge w:val="continue"/>
            <w:vAlign w:val="center"/>
          </w:tcPr>
          <w:p>
            <w:pPr>
              <w:widowControl/>
              <w:spacing w:line="240" w:lineRule="atLeast"/>
              <w:ind w:firstLine="420"/>
              <w:jc w:val="left"/>
              <w:rPr>
                <w:rFonts w:asciiTheme="minorEastAsia" w:hAnsiTheme="minorEastAsia" w:eastAsiaTheme="minorEastAsia" w:cstheme="minorEastAsia"/>
                <w:kern w:val="0"/>
              </w:rPr>
            </w:pPr>
          </w:p>
        </w:tc>
        <w:tc>
          <w:tcPr>
            <w:tcW w:w="3580" w:type="dxa"/>
            <w:tcBorders>
              <w:top w:val="nil"/>
            </w:tcBorders>
            <w:shd w:val="clear" w:color="auto" w:fill="auto"/>
            <w:vAlign w:val="center"/>
          </w:tcPr>
          <w:p>
            <w:pPr>
              <w:widowControl/>
              <w:spacing w:line="240" w:lineRule="atLeast"/>
              <w:jc w:val="center"/>
              <w:rPr>
                <w:rFonts w:asciiTheme="minorEastAsia" w:hAnsiTheme="minorEastAsia" w:eastAsiaTheme="minorEastAsia" w:cstheme="minorEastAsia"/>
              </w:rPr>
            </w:pPr>
            <w:r>
              <w:rPr>
                <w:rFonts w:hint="eastAsia" w:asciiTheme="minorEastAsia" w:hAnsiTheme="minorEastAsia" w:eastAsiaTheme="minorEastAsia" w:cstheme="minorEastAsia"/>
              </w:rPr>
              <w:t>（保温装饰一体化）</w:t>
            </w:r>
          </w:p>
        </w:tc>
        <w:tc>
          <w:tcPr>
            <w:tcW w:w="2305" w:type="dxa"/>
            <w:tcBorders>
              <w:top w:val="nil"/>
            </w:tcBorders>
            <w:shd w:val="clear" w:color="auto" w:fill="auto"/>
            <w:vAlign w:val="center"/>
          </w:tcPr>
          <w:p>
            <w:pPr>
              <w:widowControl/>
              <w:spacing w:line="240" w:lineRule="atLeast"/>
              <w:jc w:val="center"/>
              <w:rPr>
                <w:rFonts w:asciiTheme="minorEastAsia" w:hAnsiTheme="minorEastAsia" w:eastAsiaTheme="minorEastAsia" w:cstheme="minorEastAsia"/>
              </w:rPr>
            </w:pPr>
            <w:r>
              <w:rPr>
                <w:rFonts w:hint="eastAsia" w:ascii="Times New Roman" w:hAnsi="宋体" w:eastAsia="Times New Roman" w:cs="宋体"/>
                <w:kern w:val="0"/>
                <w:szCs w:val="22"/>
                <w:lang w:eastAsia="en-US"/>
              </w:rPr>
              <w:t>（50%</w:t>
            </w:r>
            <w:r>
              <w:rPr>
                <w:rFonts w:hint="eastAsia" w:asciiTheme="minorEastAsia" w:hAnsiTheme="minorEastAsia" w:eastAsiaTheme="minorEastAsia" w:cstheme="minorEastAsia"/>
              </w:rPr>
              <w:t>≤比例≤</w:t>
            </w:r>
            <w:r>
              <w:rPr>
                <w:rFonts w:hint="eastAsia" w:ascii="Times New Roman" w:hAnsi="宋体" w:eastAsia="Times New Roman" w:cs="宋体"/>
                <w:kern w:val="0"/>
                <w:szCs w:val="22"/>
                <w:lang w:eastAsia="en-US"/>
              </w:rPr>
              <w:t>80%）</w:t>
            </w:r>
          </w:p>
        </w:tc>
        <w:tc>
          <w:tcPr>
            <w:tcW w:w="1525" w:type="dxa"/>
            <w:tcBorders>
              <w:top w:val="nil"/>
            </w:tcBorders>
            <w:shd w:val="clear" w:color="auto" w:fill="auto"/>
            <w:vAlign w:val="center"/>
          </w:tcPr>
          <w:p>
            <w:pPr>
              <w:widowControl/>
              <w:spacing w:line="240" w:lineRule="atLeast"/>
              <w:jc w:val="center"/>
              <w:rPr>
                <w:rFonts w:asciiTheme="minorEastAsia" w:hAnsiTheme="minorEastAsia" w:eastAsiaTheme="minorEastAsia" w:cstheme="minorEastAsia"/>
              </w:rPr>
            </w:pPr>
            <w:r>
              <w:rPr>
                <w:rFonts w:hint="eastAsia" w:ascii="Times New Roman" w:hAnsi="宋体" w:eastAsia="Times New Roman" w:cs="宋体"/>
                <w:kern w:val="0"/>
                <w:szCs w:val="22"/>
                <w:lang w:eastAsia="en-US"/>
              </w:rPr>
              <w:t>（1.4</w:t>
            </w:r>
            <w:r>
              <w:rPr>
                <w:rFonts w:hint="eastAsia" w:asciiTheme="minorEastAsia" w:hAnsiTheme="minorEastAsia" w:eastAsiaTheme="minorEastAsia" w:cstheme="minorEastAsia"/>
              </w:rPr>
              <w:t>～</w:t>
            </w:r>
            <w:r>
              <w:rPr>
                <w:rFonts w:hint="eastAsia" w:ascii="Times New Roman" w:hAnsi="宋体" w:eastAsia="Times New Roman" w:cs="宋体"/>
                <w:kern w:val="0"/>
                <w:szCs w:val="22"/>
                <w:lang w:eastAsia="en-US"/>
              </w:rPr>
              <w:t>3.5*）</w:t>
            </w:r>
          </w:p>
        </w:tc>
        <w:tc>
          <w:tcPr>
            <w:tcW w:w="1070" w:type="dxa"/>
            <w:vMerge w:val="continue"/>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0" w:type="dxa"/>
            <w:vMerge w:val="continue"/>
            <w:vAlign w:val="center"/>
          </w:tcPr>
          <w:p>
            <w:pPr>
              <w:widowControl/>
              <w:spacing w:line="240" w:lineRule="atLeast"/>
              <w:ind w:firstLine="420"/>
              <w:jc w:val="left"/>
              <w:rPr>
                <w:rFonts w:asciiTheme="minorEastAsia" w:hAnsiTheme="minorEastAsia" w:eastAsiaTheme="minorEastAsia" w:cstheme="minorEastAsia"/>
                <w:kern w:val="0"/>
              </w:rPr>
            </w:pPr>
          </w:p>
        </w:tc>
        <w:tc>
          <w:tcPr>
            <w:tcW w:w="3580" w:type="dxa"/>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内隔墙非砌筑</w:t>
            </w:r>
          </w:p>
        </w:tc>
        <w:tc>
          <w:tcPr>
            <w:tcW w:w="2305" w:type="dxa"/>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比例≥</w:t>
            </w:r>
            <w:r>
              <w:rPr>
                <w:rFonts w:hint="eastAsia" w:ascii="Times New Roman" w:hAnsi="宋体" w:eastAsia="Times New Roman" w:cs="宋体"/>
                <w:kern w:val="0"/>
                <w:szCs w:val="22"/>
                <w:lang w:eastAsia="en-US"/>
              </w:rPr>
              <w:t>50%</w:t>
            </w:r>
          </w:p>
        </w:tc>
        <w:tc>
          <w:tcPr>
            <w:tcW w:w="1525" w:type="dxa"/>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rPr>
            </w:pPr>
            <w:r>
              <w:rPr>
                <w:rFonts w:hint="eastAsia" w:ascii="Times New Roman" w:hAnsi="宋体" w:eastAsia="Times New Roman" w:cs="宋体"/>
                <w:kern w:val="0"/>
                <w:szCs w:val="22"/>
                <w:lang w:eastAsia="en-US"/>
              </w:rPr>
              <w:t>5</w:t>
            </w:r>
          </w:p>
        </w:tc>
        <w:tc>
          <w:tcPr>
            <w:tcW w:w="1070" w:type="dxa"/>
            <w:vMerge w:val="continue"/>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0" w:type="dxa"/>
            <w:vMerge w:val="continue"/>
            <w:vAlign w:val="center"/>
          </w:tcPr>
          <w:p>
            <w:pPr>
              <w:widowControl/>
              <w:spacing w:line="240" w:lineRule="atLeast"/>
              <w:ind w:firstLine="420"/>
              <w:jc w:val="left"/>
              <w:rPr>
                <w:rFonts w:asciiTheme="minorEastAsia" w:hAnsiTheme="minorEastAsia" w:eastAsiaTheme="minorEastAsia" w:cstheme="minorEastAsia"/>
                <w:kern w:val="0"/>
              </w:rPr>
            </w:pPr>
          </w:p>
        </w:tc>
        <w:tc>
          <w:tcPr>
            <w:tcW w:w="3580" w:type="dxa"/>
            <w:tcBorders>
              <w:bottom w:val="nil"/>
            </w:tcBorders>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内隔墙与管线、装修一体化</w:t>
            </w:r>
          </w:p>
        </w:tc>
        <w:tc>
          <w:tcPr>
            <w:tcW w:w="2305" w:type="dxa"/>
            <w:tcBorders>
              <w:bottom w:val="nil"/>
            </w:tcBorders>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imes New Roman" w:hAnsi="宋体" w:eastAsia="Times New Roman" w:cs="宋体"/>
                <w:kern w:val="0"/>
                <w:szCs w:val="22"/>
                <w:lang w:eastAsia="en-US"/>
              </w:rPr>
              <w:t>50%</w:t>
            </w:r>
            <w:r>
              <w:rPr>
                <w:rFonts w:hint="eastAsia" w:asciiTheme="minorEastAsia" w:hAnsiTheme="minorEastAsia" w:eastAsiaTheme="minorEastAsia" w:cstheme="minorEastAsia"/>
                <w:kern w:val="0"/>
              </w:rPr>
              <w:t>≤比例≤</w:t>
            </w:r>
            <w:r>
              <w:rPr>
                <w:rFonts w:hint="eastAsia" w:ascii="Times New Roman" w:hAnsi="宋体" w:eastAsia="Times New Roman" w:cs="宋体"/>
                <w:kern w:val="0"/>
                <w:szCs w:val="22"/>
                <w:lang w:eastAsia="en-US"/>
              </w:rPr>
              <w:t>80%</w:t>
            </w:r>
          </w:p>
        </w:tc>
        <w:tc>
          <w:tcPr>
            <w:tcW w:w="1525" w:type="dxa"/>
            <w:tcBorders>
              <w:bottom w:val="nil"/>
            </w:tcBorders>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rPr>
            </w:pPr>
            <w:r>
              <w:rPr>
                <w:rFonts w:hint="eastAsia" w:ascii="Times New Roman" w:hAnsi="宋体" w:eastAsia="Times New Roman" w:cs="宋体"/>
                <w:kern w:val="0"/>
                <w:szCs w:val="22"/>
                <w:lang w:eastAsia="en-US"/>
              </w:rPr>
              <w:t>2</w:t>
            </w:r>
            <w:r>
              <w:rPr>
                <w:rFonts w:hint="eastAsia" w:asciiTheme="minorEastAsia" w:hAnsiTheme="minorEastAsia" w:eastAsiaTheme="minorEastAsia" w:cstheme="minorEastAsia"/>
                <w:kern w:val="0"/>
              </w:rPr>
              <w:t>～</w:t>
            </w:r>
            <w:r>
              <w:rPr>
                <w:rFonts w:ascii="Times New Roman" w:hAnsi="宋体" w:cs="宋体"/>
                <w:kern w:val="0"/>
                <w:szCs w:val="22"/>
              </w:rPr>
              <w:t>5</w:t>
            </w:r>
            <w:r>
              <w:rPr>
                <w:rFonts w:hint="eastAsia" w:ascii="Times New Roman" w:hAnsi="宋体" w:eastAsia="Times New Roman" w:cs="宋体"/>
                <w:kern w:val="0"/>
                <w:szCs w:val="22"/>
                <w:lang w:eastAsia="en-US"/>
              </w:rPr>
              <w:t>*</w:t>
            </w:r>
          </w:p>
        </w:tc>
        <w:tc>
          <w:tcPr>
            <w:tcW w:w="1070" w:type="dxa"/>
            <w:vMerge w:val="continue"/>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0" w:type="dxa"/>
            <w:vMerge w:val="continue"/>
            <w:vAlign w:val="center"/>
          </w:tcPr>
          <w:p>
            <w:pPr>
              <w:widowControl/>
              <w:spacing w:line="240" w:lineRule="atLeast"/>
              <w:ind w:firstLine="420"/>
              <w:jc w:val="left"/>
              <w:rPr>
                <w:rFonts w:asciiTheme="minorEastAsia" w:hAnsiTheme="minorEastAsia" w:eastAsiaTheme="minorEastAsia" w:cstheme="minorEastAsia"/>
                <w:kern w:val="0"/>
              </w:rPr>
            </w:pPr>
          </w:p>
        </w:tc>
        <w:tc>
          <w:tcPr>
            <w:tcW w:w="3580" w:type="dxa"/>
            <w:tcBorders>
              <w:top w:val="nil"/>
            </w:tcBorders>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（内隔墙与管线一体化）</w:t>
            </w:r>
          </w:p>
        </w:tc>
        <w:tc>
          <w:tcPr>
            <w:tcW w:w="2305" w:type="dxa"/>
            <w:tcBorders>
              <w:top w:val="nil"/>
            </w:tcBorders>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imes New Roman" w:hAnsi="宋体" w:eastAsia="Times New Roman" w:cs="宋体"/>
                <w:kern w:val="0"/>
                <w:szCs w:val="22"/>
                <w:lang w:eastAsia="en-US"/>
              </w:rPr>
              <w:t>（50%</w:t>
            </w:r>
            <w:r>
              <w:rPr>
                <w:rFonts w:hint="eastAsia" w:asciiTheme="minorEastAsia" w:hAnsiTheme="minorEastAsia" w:eastAsiaTheme="minorEastAsia" w:cstheme="minorEastAsia"/>
                <w:kern w:val="0"/>
              </w:rPr>
              <w:t>≤比例≤</w:t>
            </w:r>
            <w:r>
              <w:rPr>
                <w:rFonts w:hint="eastAsia" w:ascii="Times New Roman" w:hAnsi="宋体" w:eastAsia="Times New Roman" w:cs="宋体"/>
                <w:kern w:val="0"/>
                <w:szCs w:val="22"/>
                <w:lang w:eastAsia="en-US"/>
              </w:rPr>
              <w:t>80%）</w:t>
            </w:r>
          </w:p>
        </w:tc>
        <w:tc>
          <w:tcPr>
            <w:tcW w:w="1525" w:type="dxa"/>
            <w:tcBorders>
              <w:top w:val="nil"/>
            </w:tcBorders>
            <w:shd w:val="clear" w:color="auto" w:fill="auto"/>
            <w:vAlign w:val="center"/>
          </w:tcPr>
          <w:p>
            <w:pPr>
              <w:widowControl/>
              <w:spacing w:line="240" w:lineRule="atLeast"/>
              <w:jc w:val="center"/>
              <w:rPr>
                <w:rFonts w:ascii="Times New Roman" w:hAnsi="宋体" w:eastAsia="Times New Roman" w:cs="宋体"/>
                <w:kern w:val="0"/>
                <w:szCs w:val="22"/>
                <w:lang w:eastAsia="en-US"/>
              </w:rPr>
            </w:pPr>
            <w:r>
              <w:rPr>
                <w:rFonts w:hint="eastAsia" w:ascii="Times New Roman" w:hAnsi="宋体" w:eastAsia="Times New Roman" w:cs="宋体"/>
                <w:kern w:val="0"/>
                <w:szCs w:val="22"/>
                <w:lang w:eastAsia="en-US"/>
              </w:rPr>
              <w:t>（1.4</w:t>
            </w:r>
            <w:r>
              <w:rPr>
                <w:rFonts w:hint="eastAsia" w:ascii="Times New Roman" w:hAnsi="宋体" w:cs="宋体"/>
                <w:kern w:val="0"/>
                <w:szCs w:val="22"/>
              </w:rPr>
              <w:t xml:space="preserve"> </w:t>
            </w:r>
            <w:r>
              <w:rPr>
                <w:rFonts w:hint="eastAsia" w:asciiTheme="minorEastAsia" w:hAnsiTheme="minorEastAsia" w:eastAsiaTheme="minorEastAsia" w:cstheme="minorEastAsia"/>
                <w:kern w:val="0"/>
                <w:szCs w:val="22"/>
              </w:rPr>
              <w:t>~</w:t>
            </w:r>
            <w:r>
              <w:rPr>
                <w:rFonts w:hint="eastAsia" w:ascii="Times New Roman" w:hAnsi="宋体" w:cs="宋体"/>
                <w:kern w:val="0"/>
                <w:szCs w:val="22"/>
              </w:rPr>
              <w:t xml:space="preserve"> </w:t>
            </w:r>
            <w:r>
              <w:rPr>
                <w:rFonts w:hint="eastAsia" w:ascii="Times New Roman" w:hAnsi="宋体" w:eastAsia="Times New Roman" w:cs="宋体"/>
                <w:kern w:val="0"/>
                <w:szCs w:val="22"/>
                <w:lang w:eastAsia="en-US"/>
              </w:rPr>
              <w:t>3.5*）</w:t>
            </w:r>
          </w:p>
        </w:tc>
        <w:tc>
          <w:tcPr>
            <w:tcW w:w="1070" w:type="dxa"/>
            <w:vMerge w:val="continue"/>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0" w:type="dxa"/>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装修和设备管线（</w:t>
            </w:r>
            <w:r>
              <w:rPr>
                <w:rFonts w:ascii="Times New Roman" w:hAnsi="宋体" w:eastAsia="Times New Roman" w:cs="宋体"/>
                <w:kern w:val="0"/>
                <w:szCs w:val="22"/>
              </w:rPr>
              <w:t>24</w:t>
            </w:r>
            <w:r>
              <w:rPr>
                <w:rFonts w:hint="eastAsia" w:asciiTheme="minorEastAsia" w:hAnsiTheme="minorEastAsia" w:eastAsiaTheme="minorEastAsia" w:cstheme="minorEastAsia"/>
                <w:kern w:val="0"/>
              </w:rPr>
              <w:t>分）</w:t>
            </w:r>
          </w:p>
        </w:tc>
        <w:tc>
          <w:tcPr>
            <w:tcW w:w="3580" w:type="dxa"/>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全装修</w:t>
            </w:r>
          </w:p>
        </w:tc>
        <w:tc>
          <w:tcPr>
            <w:tcW w:w="2305" w:type="dxa"/>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imes New Roman" w:hAnsi="宋体" w:eastAsia="Times New Roman" w:cs="宋体"/>
                <w:kern w:val="0"/>
                <w:szCs w:val="22"/>
                <w:lang w:eastAsia="en-US"/>
              </w:rPr>
              <w:t>-</w:t>
            </w:r>
          </w:p>
        </w:tc>
        <w:tc>
          <w:tcPr>
            <w:tcW w:w="1525" w:type="dxa"/>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rPr>
            </w:pPr>
            <w:r>
              <w:rPr>
                <w:rFonts w:hint="eastAsia" w:ascii="Times New Roman" w:hAnsi="宋体" w:eastAsia="Times New Roman" w:cs="宋体"/>
                <w:kern w:val="0"/>
                <w:szCs w:val="22"/>
                <w:lang w:eastAsia="en-US"/>
              </w:rPr>
              <w:t>6</w:t>
            </w:r>
          </w:p>
        </w:tc>
        <w:tc>
          <w:tcPr>
            <w:tcW w:w="1070" w:type="dxa"/>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rPr>
            </w:pPr>
            <w:r>
              <w:rPr>
                <w:rFonts w:hint="eastAsia" w:ascii="Times New Roman" w:hAnsi="宋体" w:eastAsia="Times New Roman" w:cs="宋体"/>
                <w:kern w:val="0"/>
                <w:szCs w:val="22"/>
                <w:lang w:eastAsia="en-US"/>
              </w:rPr>
              <w:t>6</w:t>
            </w:r>
          </w:p>
        </w:tc>
      </w:tr>
    </w:tbl>
    <w:p>
      <w:pPr>
        <w:widowControl/>
        <w:spacing w:line="240" w:lineRule="atLeast"/>
        <w:ind w:firstLine="420"/>
        <w:jc w:val="left"/>
        <w:rPr>
          <w:rFonts w:asciiTheme="minorEastAsia" w:hAnsiTheme="minorEastAsia" w:eastAsiaTheme="minorEastAsia" w:cstheme="minorEastAsia"/>
          <w:kern w:val="0"/>
        </w:rPr>
        <w:sectPr>
          <w:footerReference r:id="rId9" w:type="default"/>
          <w:type w:val="continuous"/>
          <w:pgSz w:w="11906" w:h="16838"/>
          <w:pgMar w:top="1440" w:right="1800" w:bottom="1440" w:left="1800" w:header="851" w:footer="992" w:gutter="0"/>
          <w:cols w:space="425" w:num="1"/>
          <w:docGrid w:type="lines" w:linePitch="312" w:charSpace="0"/>
        </w:sectPr>
      </w:pPr>
    </w:p>
    <w:tbl>
      <w:tblPr>
        <w:tblStyle w:val="29"/>
        <w:tblW w:w="9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0"/>
        <w:gridCol w:w="1807"/>
        <w:gridCol w:w="1773"/>
        <w:gridCol w:w="2305"/>
        <w:gridCol w:w="1525"/>
        <w:gridCol w:w="10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0" w:type="dxa"/>
            <w:vMerge w:val="restart"/>
            <w:vAlign w:val="center"/>
          </w:tcPr>
          <w:p>
            <w:pPr>
              <w:pStyle w:val="2"/>
              <w:ind w:firstLine="210"/>
            </w:pPr>
          </w:p>
        </w:tc>
        <w:tc>
          <w:tcPr>
            <w:tcW w:w="3580" w:type="dxa"/>
            <w:gridSpan w:val="2"/>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干式工法楼面、地面</w:t>
            </w:r>
          </w:p>
        </w:tc>
        <w:tc>
          <w:tcPr>
            <w:tcW w:w="2305" w:type="dxa"/>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比例≥</w:t>
            </w:r>
            <w:r>
              <w:rPr>
                <w:rFonts w:hint="eastAsia" w:ascii="Times New Roman" w:hAnsi="宋体" w:eastAsia="Times New Roman" w:cs="宋体"/>
                <w:kern w:val="0"/>
                <w:szCs w:val="22"/>
                <w:lang w:eastAsia="en-US"/>
              </w:rPr>
              <w:t>70%</w:t>
            </w:r>
          </w:p>
        </w:tc>
        <w:tc>
          <w:tcPr>
            <w:tcW w:w="1525" w:type="dxa"/>
            <w:shd w:val="clear" w:color="auto" w:fill="auto"/>
            <w:vAlign w:val="center"/>
          </w:tcPr>
          <w:p>
            <w:pPr>
              <w:widowControl/>
              <w:spacing w:line="240" w:lineRule="atLeast"/>
              <w:jc w:val="center"/>
              <w:rPr>
                <w:rFonts w:asciiTheme="minorEastAsia" w:hAnsiTheme="minorEastAsia" w:eastAsiaTheme="minorEastAsia" w:cstheme="minorEastAsia"/>
              </w:rPr>
            </w:pPr>
            <w:r>
              <w:rPr>
                <w:rFonts w:ascii="Times New Roman" w:hAnsi="宋体" w:cs="宋体"/>
                <w:kern w:val="0"/>
                <w:szCs w:val="22"/>
              </w:rPr>
              <w:t>5</w:t>
            </w:r>
          </w:p>
        </w:tc>
        <w:tc>
          <w:tcPr>
            <w:tcW w:w="1070" w:type="dxa"/>
            <w:vMerge w:val="restart"/>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0" w:type="dxa"/>
            <w:vMerge w:val="continue"/>
            <w:vAlign w:val="center"/>
          </w:tcPr>
          <w:p>
            <w:pPr>
              <w:widowControl/>
              <w:spacing w:line="240" w:lineRule="atLeast"/>
              <w:ind w:firstLine="420"/>
              <w:jc w:val="left"/>
              <w:rPr>
                <w:rFonts w:asciiTheme="minorEastAsia" w:hAnsiTheme="minorEastAsia" w:eastAsiaTheme="minorEastAsia" w:cstheme="minorEastAsia"/>
                <w:kern w:val="0"/>
              </w:rPr>
            </w:pPr>
          </w:p>
        </w:tc>
        <w:tc>
          <w:tcPr>
            <w:tcW w:w="3580" w:type="dxa"/>
            <w:gridSpan w:val="2"/>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集成厨房</w:t>
            </w:r>
          </w:p>
        </w:tc>
        <w:tc>
          <w:tcPr>
            <w:tcW w:w="2305" w:type="dxa"/>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ascii="Times New Roman" w:hAnsi="宋体" w:eastAsia="Times New Roman" w:cs="宋体"/>
                <w:kern w:val="0"/>
                <w:szCs w:val="22"/>
                <w:lang w:eastAsia="en-US"/>
              </w:rPr>
              <w:t>7</w:t>
            </w:r>
            <w:r>
              <w:rPr>
                <w:rFonts w:hint="eastAsia" w:ascii="Times New Roman" w:hAnsi="宋体" w:eastAsia="Times New Roman" w:cs="宋体"/>
                <w:kern w:val="0"/>
                <w:szCs w:val="22"/>
                <w:lang w:eastAsia="en-US"/>
              </w:rPr>
              <w:t>0%</w:t>
            </w:r>
            <w:r>
              <w:rPr>
                <w:rFonts w:hint="eastAsia" w:asciiTheme="minorEastAsia" w:hAnsiTheme="minorEastAsia" w:eastAsiaTheme="minorEastAsia" w:cstheme="minorEastAsia"/>
              </w:rPr>
              <w:t>≤比例≤</w:t>
            </w:r>
            <w:r>
              <w:rPr>
                <w:rFonts w:ascii="Times New Roman" w:hAnsi="宋体" w:eastAsia="Times New Roman" w:cs="宋体"/>
                <w:kern w:val="0"/>
                <w:szCs w:val="22"/>
                <w:lang w:eastAsia="en-US"/>
              </w:rPr>
              <w:t>9</w:t>
            </w:r>
            <w:r>
              <w:rPr>
                <w:rFonts w:hint="eastAsia" w:ascii="Times New Roman" w:hAnsi="宋体" w:eastAsia="Times New Roman" w:cs="宋体"/>
                <w:kern w:val="0"/>
                <w:szCs w:val="22"/>
                <w:lang w:eastAsia="en-US"/>
              </w:rPr>
              <w:t>0%</w:t>
            </w:r>
          </w:p>
        </w:tc>
        <w:tc>
          <w:tcPr>
            <w:tcW w:w="1525" w:type="dxa"/>
            <w:shd w:val="clear" w:color="auto" w:fill="auto"/>
            <w:vAlign w:val="center"/>
          </w:tcPr>
          <w:p>
            <w:pPr>
              <w:widowControl/>
              <w:spacing w:line="240" w:lineRule="atLeast"/>
              <w:jc w:val="center"/>
              <w:rPr>
                <w:rFonts w:asciiTheme="minorEastAsia" w:hAnsiTheme="minorEastAsia" w:eastAsiaTheme="minorEastAsia" w:cstheme="minorEastAsia"/>
              </w:rPr>
            </w:pPr>
            <w:r>
              <w:rPr>
                <w:rFonts w:ascii="Times New Roman" w:hAnsi="宋体" w:eastAsia="Times New Roman" w:cs="宋体"/>
                <w:kern w:val="0"/>
                <w:szCs w:val="22"/>
                <w:lang w:eastAsia="en-US"/>
              </w:rPr>
              <w:t>3~4</w:t>
            </w:r>
            <w:r>
              <w:rPr>
                <w:rFonts w:hint="eastAsia" w:ascii="Times New Roman" w:hAnsi="宋体" w:eastAsia="Times New Roman" w:cs="宋体"/>
                <w:kern w:val="0"/>
                <w:szCs w:val="22"/>
                <w:lang w:eastAsia="en-US"/>
              </w:rPr>
              <w:t>*</w:t>
            </w:r>
          </w:p>
        </w:tc>
        <w:tc>
          <w:tcPr>
            <w:tcW w:w="1070" w:type="dxa"/>
            <w:vMerge w:val="continue"/>
            <w:shd w:val="clear" w:color="auto" w:fill="auto"/>
            <w:vAlign w:val="center"/>
          </w:tcPr>
          <w:p>
            <w:pPr>
              <w:widowControl/>
              <w:spacing w:line="240" w:lineRule="atLeast"/>
              <w:ind w:firstLine="420"/>
              <w:jc w:val="center"/>
              <w:rPr>
                <w:rFonts w:asciiTheme="minorEastAsia" w:hAnsiTheme="minorEastAsia" w:eastAsiaTheme="minorEastAsia" w:cstheme="minorEastAsia"/>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0" w:type="dxa"/>
            <w:vMerge w:val="continue"/>
            <w:vAlign w:val="center"/>
          </w:tcPr>
          <w:p>
            <w:pPr>
              <w:widowControl/>
              <w:spacing w:line="240" w:lineRule="atLeast"/>
              <w:ind w:firstLine="420"/>
              <w:jc w:val="left"/>
              <w:rPr>
                <w:rFonts w:asciiTheme="minorEastAsia" w:hAnsiTheme="minorEastAsia" w:eastAsiaTheme="minorEastAsia" w:cstheme="minorEastAsia"/>
                <w:kern w:val="0"/>
              </w:rPr>
            </w:pPr>
          </w:p>
        </w:tc>
        <w:tc>
          <w:tcPr>
            <w:tcW w:w="3580" w:type="dxa"/>
            <w:gridSpan w:val="2"/>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集成卫生间</w:t>
            </w:r>
          </w:p>
        </w:tc>
        <w:tc>
          <w:tcPr>
            <w:tcW w:w="2305" w:type="dxa"/>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ascii="Times New Roman" w:hAnsi="宋体" w:eastAsia="Times New Roman" w:cs="宋体"/>
                <w:kern w:val="0"/>
                <w:szCs w:val="22"/>
                <w:lang w:eastAsia="en-US"/>
              </w:rPr>
              <w:t>7</w:t>
            </w:r>
            <w:r>
              <w:rPr>
                <w:rFonts w:hint="eastAsia" w:ascii="Times New Roman" w:hAnsi="宋体" w:eastAsia="Times New Roman" w:cs="宋体"/>
                <w:kern w:val="0"/>
                <w:szCs w:val="22"/>
                <w:lang w:eastAsia="en-US"/>
              </w:rPr>
              <w:t>0%</w:t>
            </w:r>
            <w:r>
              <w:rPr>
                <w:rFonts w:hint="eastAsia" w:asciiTheme="minorEastAsia" w:hAnsiTheme="minorEastAsia" w:eastAsiaTheme="minorEastAsia" w:cstheme="minorEastAsia"/>
              </w:rPr>
              <w:t>≤比例≤</w:t>
            </w:r>
            <w:r>
              <w:rPr>
                <w:rFonts w:ascii="Times New Roman" w:hAnsi="宋体" w:eastAsia="Times New Roman" w:cs="宋体"/>
                <w:kern w:val="0"/>
                <w:szCs w:val="22"/>
                <w:lang w:eastAsia="en-US"/>
              </w:rPr>
              <w:t>9</w:t>
            </w:r>
            <w:r>
              <w:rPr>
                <w:rFonts w:hint="eastAsia" w:ascii="Times New Roman" w:hAnsi="宋体" w:eastAsia="Times New Roman" w:cs="宋体"/>
                <w:kern w:val="0"/>
                <w:szCs w:val="22"/>
                <w:lang w:eastAsia="en-US"/>
              </w:rPr>
              <w:t>0%</w:t>
            </w:r>
          </w:p>
        </w:tc>
        <w:tc>
          <w:tcPr>
            <w:tcW w:w="1525" w:type="dxa"/>
            <w:shd w:val="clear" w:color="auto" w:fill="auto"/>
            <w:vAlign w:val="center"/>
          </w:tcPr>
          <w:p>
            <w:pPr>
              <w:widowControl/>
              <w:spacing w:line="240" w:lineRule="atLeast"/>
              <w:jc w:val="center"/>
              <w:rPr>
                <w:rFonts w:asciiTheme="minorEastAsia" w:hAnsiTheme="minorEastAsia" w:eastAsiaTheme="minorEastAsia" w:cstheme="minorEastAsia"/>
              </w:rPr>
            </w:pPr>
            <w:r>
              <w:rPr>
                <w:rFonts w:ascii="Times New Roman" w:hAnsi="宋体" w:eastAsia="Times New Roman" w:cs="宋体"/>
                <w:kern w:val="0"/>
                <w:szCs w:val="22"/>
                <w:lang w:eastAsia="en-US"/>
              </w:rPr>
              <w:t>3~4</w:t>
            </w:r>
            <w:r>
              <w:rPr>
                <w:rFonts w:hint="eastAsia" w:ascii="Times New Roman" w:hAnsi="宋体" w:eastAsia="Times New Roman" w:cs="宋体"/>
                <w:kern w:val="0"/>
                <w:szCs w:val="22"/>
                <w:lang w:eastAsia="en-US"/>
              </w:rPr>
              <w:t>*</w:t>
            </w:r>
          </w:p>
        </w:tc>
        <w:tc>
          <w:tcPr>
            <w:tcW w:w="1070" w:type="dxa"/>
            <w:vMerge w:val="continue"/>
            <w:shd w:val="clear" w:color="auto" w:fill="auto"/>
            <w:vAlign w:val="center"/>
          </w:tcPr>
          <w:p>
            <w:pPr>
              <w:widowControl/>
              <w:spacing w:line="240" w:lineRule="atLeast"/>
              <w:ind w:firstLine="420"/>
              <w:jc w:val="center"/>
              <w:rPr>
                <w:rFonts w:asciiTheme="minorEastAsia" w:hAnsiTheme="minorEastAsia" w:eastAsiaTheme="minorEastAsia" w:cstheme="minorEastAsia"/>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0" w:type="dxa"/>
            <w:vMerge w:val="continue"/>
            <w:vAlign w:val="center"/>
          </w:tcPr>
          <w:p>
            <w:pPr>
              <w:widowControl/>
              <w:spacing w:line="240" w:lineRule="atLeast"/>
              <w:ind w:firstLine="420"/>
              <w:jc w:val="left"/>
              <w:rPr>
                <w:rFonts w:asciiTheme="minorEastAsia" w:hAnsiTheme="minorEastAsia" w:eastAsiaTheme="minorEastAsia" w:cstheme="minorEastAsia"/>
                <w:kern w:val="0"/>
              </w:rPr>
            </w:pPr>
          </w:p>
        </w:tc>
        <w:tc>
          <w:tcPr>
            <w:tcW w:w="3580" w:type="dxa"/>
            <w:gridSpan w:val="2"/>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管线分离</w:t>
            </w:r>
          </w:p>
        </w:tc>
        <w:tc>
          <w:tcPr>
            <w:tcW w:w="2305" w:type="dxa"/>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imes New Roman" w:hAnsi="宋体" w:eastAsia="Times New Roman" w:cs="宋体"/>
                <w:kern w:val="0"/>
                <w:szCs w:val="22"/>
                <w:lang w:eastAsia="en-US"/>
              </w:rPr>
              <w:t>50%</w:t>
            </w:r>
            <w:r>
              <w:rPr>
                <w:rFonts w:hint="eastAsia" w:asciiTheme="minorEastAsia" w:hAnsiTheme="minorEastAsia" w:eastAsiaTheme="minorEastAsia" w:cstheme="minorEastAsia"/>
              </w:rPr>
              <w:t>≤比例≤</w:t>
            </w:r>
            <w:r>
              <w:rPr>
                <w:rFonts w:hint="eastAsia" w:ascii="Times New Roman" w:hAnsi="宋体" w:eastAsia="Times New Roman" w:cs="宋体"/>
                <w:kern w:val="0"/>
                <w:szCs w:val="22"/>
                <w:lang w:eastAsia="en-US"/>
              </w:rPr>
              <w:t>70%</w:t>
            </w:r>
          </w:p>
        </w:tc>
        <w:tc>
          <w:tcPr>
            <w:tcW w:w="1525" w:type="dxa"/>
            <w:shd w:val="clear" w:color="auto" w:fill="auto"/>
            <w:vAlign w:val="center"/>
          </w:tcPr>
          <w:p>
            <w:pPr>
              <w:widowControl/>
              <w:spacing w:line="240" w:lineRule="atLeast"/>
              <w:jc w:val="center"/>
              <w:rPr>
                <w:rFonts w:asciiTheme="minorEastAsia" w:hAnsiTheme="minorEastAsia" w:eastAsiaTheme="minorEastAsia" w:cstheme="minorEastAsia"/>
              </w:rPr>
            </w:pPr>
            <w:r>
              <w:rPr>
                <w:rFonts w:ascii="Times New Roman" w:hAnsi="宋体" w:cs="宋体"/>
                <w:kern w:val="0"/>
                <w:szCs w:val="22"/>
              </w:rPr>
              <w:t>4</w:t>
            </w:r>
            <w:r>
              <w:rPr>
                <w:rFonts w:ascii="Times New Roman" w:hAnsi="宋体" w:eastAsia="Times New Roman" w:cs="宋体"/>
                <w:kern w:val="0"/>
                <w:szCs w:val="22"/>
                <w:lang w:eastAsia="en-US"/>
              </w:rPr>
              <w:t>~</w:t>
            </w:r>
            <w:r>
              <w:rPr>
                <w:rFonts w:ascii="Times New Roman" w:hAnsi="宋体" w:cs="宋体"/>
                <w:kern w:val="0"/>
                <w:szCs w:val="22"/>
              </w:rPr>
              <w:t>5</w:t>
            </w:r>
            <w:r>
              <w:rPr>
                <w:rFonts w:hint="eastAsia" w:ascii="Times New Roman" w:hAnsi="宋体" w:eastAsia="Times New Roman" w:cs="宋体"/>
                <w:kern w:val="0"/>
                <w:szCs w:val="22"/>
                <w:lang w:eastAsia="en-US"/>
              </w:rPr>
              <w:t>*</w:t>
            </w:r>
          </w:p>
        </w:tc>
        <w:tc>
          <w:tcPr>
            <w:tcW w:w="1070" w:type="dxa"/>
            <w:vMerge w:val="continue"/>
            <w:shd w:val="clear" w:color="auto" w:fill="auto"/>
            <w:vAlign w:val="center"/>
          </w:tcPr>
          <w:p>
            <w:pPr>
              <w:widowControl/>
              <w:spacing w:line="240" w:lineRule="atLeast"/>
              <w:ind w:firstLine="420"/>
              <w:jc w:val="center"/>
              <w:rPr>
                <w:rFonts w:asciiTheme="minorEastAsia" w:hAnsiTheme="minorEastAsia" w:eastAsiaTheme="minorEastAsia" w:cstheme="minorEastAsia"/>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0" w:type="dxa"/>
            <w:vMerge w:val="restart"/>
            <w:shd w:val="clear" w:color="auto" w:fill="auto"/>
            <w:vAlign w:val="center"/>
          </w:tcPr>
          <w:p>
            <w:pPr>
              <w:widowControl/>
              <w:spacing w:line="240" w:lineRule="atLeast"/>
              <w:jc w:val="center"/>
              <w:rPr>
                <w:rFonts w:asciiTheme="minorEastAsia" w:hAnsiTheme="minorEastAsia" w:eastAsiaTheme="minorEastAsia" w:cstheme="minorEastAsia"/>
              </w:rPr>
            </w:pPr>
            <w:r>
              <w:rPr>
                <w:rFonts w:hint="eastAsia" w:asciiTheme="minorEastAsia" w:hAnsiTheme="minorEastAsia" w:eastAsiaTheme="minorEastAsia" w:cstheme="minorEastAsia"/>
              </w:rPr>
              <w:t>设计</w:t>
            </w:r>
          </w:p>
          <w:p>
            <w:pPr>
              <w:widowControl/>
              <w:spacing w:line="240" w:lineRule="atLeast"/>
              <w:jc w:val="center"/>
              <w:rPr>
                <w:rFonts w:asciiTheme="minorEastAsia" w:hAnsiTheme="minorEastAsia" w:eastAsiaTheme="minorEastAsia" w:cstheme="minorEastAsia"/>
              </w:rPr>
            </w:pPr>
            <w:r>
              <w:rPr>
                <w:rFonts w:hint="eastAsia" w:asciiTheme="minorEastAsia" w:hAnsiTheme="minorEastAsia" w:eastAsiaTheme="minorEastAsia" w:cstheme="minorEastAsia"/>
              </w:rPr>
              <w:t>标准化</w:t>
            </w:r>
          </w:p>
          <w:p>
            <w:pPr>
              <w:widowControl/>
              <w:spacing w:line="240" w:lineRule="atLeast"/>
              <w:jc w:val="center"/>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imes New Roman" w:hAnsi="宋体" w:eastAsia="Times New Roman" w:cs="宋体"/>
                <w:kern w:val="0"/>
                <w:szCs w:val="22"/>
                <w:lang w:eastAsia="en-US"/>
              </w:rPr>
              <w:t>6</w:t>
            </w:r>
            <w:r>
              <w:rPr>
                <w:rFonts w:hint="eastAsia" w:asciiTheme="minorEastAsia" w:hAnsiTheme="minorEastAsia" w:eastAsiaTheme="minorEastAsia" w:cstheme="minorEastAsia"/>
              </w:rPr>
              <w:t>分）</w:t>
            </w:r>
          </w:p>
        </w:tc>
        <w:tc>
          <w:tcPr>
            <w:tcW w:w="3580" w:type="dxa"/>
            <w:gridSpan w:val="2"/>
            <w:shd w:val="clear" w:color="auto" w:fill="auto"/>
            <w:vAlign w:val="center"/>
          </w:tcPr>
          <w:p>
            <w:pPr>
              <w:widowControl/>
              <w:spacing w:line="240" w:lineRule="atLeast"/>
              <w:jc w:val="center"/>
              <w:rPr>
                <w:rFonts w:asciiTheme="minorEastAsia" w:hAnsiTheme="minorEastAsia" w:eastAsiaTheme="minorEastAsia" w:cstheme="minorEastAsia"/>
              </w:rPr>
            </w:pPr>
            <w:r>
              <w:rPr>
                <w:rFonts w:hint="eastAsia" w:asciiTheme="minorEastAsia" w:hAnsiTheme="minorEastAsia" w:eastAsiaTheme="minorEastAsia" w:cstheme="minorEastAsia"/>
              </w:rPr>
              <w:t>标准化预制部件</w:t>
            </w:r>
          </w:p>
        </w:tc>
        <w:tc>
          <w:tcPr>
            <w:tcW w:w="2305" w:type="dxa"/>
            <w:shd w:val="clear" w:color="auto" w:fill="auto"/>
            <w:vAlign w:val="center"/>
          </w:tcPr>
          <w:p>
            <w:pPr>
              <w:widowControl/>
              <w:spacing w:line="240" w:lineRule="atLeast"/>
              <w:jc w:val="center"/>
              <w:rPr>
                <w:rFonts w:asciiTheme="minorEastAsia" w:hAnsiTheme="minorEastAsia" w:eastAsiaTheme="minorEastAsia" w:cstheme="minorEastAsia"/>
              </w:rPr>
            </w:pPr>
            <w:r>
              <w:rPr>
                <w:rFonts w:hint="eastAsia" w:ascii="Times New Roman" w:hAnsi="宋体" w:eastAsia="Times New Roman" w:cs="宋体"/>
                <w:kern w:val="0"/>
                <w:szCs w:val="22"/>
                <w:lang w:eastAsia="en-US"/>
              </w:rPr>
              <w:t>50%</w:t>
            </w:r>
            <w:r>
              <w:rPr>
                <w:rFonts w:hint="eastAsia" w:asciiTheme="minorEastAsia" w:hAnsiTheme="minorEastAsia" w:eastAsiaTheme="minorEastAsia" w:cstheme="minorEastAsia"/>
              </w:rPr>
              <w:t>≤比例≤</w:t>
            </w:r>
            <w:r>
              <w:rPr>
                <w:rFonts w:hint="eastAsia" w:ascii="Times New Roman" w:hAnsi="宋体" w:eastAsia="Times New Roman" w:cs="宋体"/>
                <w:kern w:val="0"/>
                <w:szCs w:val="22"/>
                <w:lang w:eastAsia="en-US"/>
              </w:rPr>
              <w:t>70%</w:t>
            </w:r>
          </w:p>
        </w:tc>
        <w:tc>
          <w:tcPr>
            <w:tcW w:w="1525" w:type="dxa"/>
            <w:shd w:val="clear" w:color="auto" w:fill="auto"/>
            <w:vAlign w:val="center"/>
          </w:tcPr>
          <w:p>
            <w:pPr>
              <w:widowControl/>
              <w:spacing w:line="240" w:lineRule="atLeast"/>
              <w:jc w:val="center"/>
              <w:rPr>
                <w:rFonts w:asciiTheme="minorEastAsia" w:hAnsiTheme="minorEastAsia" w:eastAsiaTheme="minorEastAsia" w:cstheme="minorEastAsia"/>
              </w:rPr>
            </w:pPr>
            <w:r>
              <w:rPr>
                <w:rFonts w:ascii="Times New Roman" w:hAnsi="宋体" w:eastAsia="Times New Roman" w:cs="宋体"/>
                <w:kern w:val="0"/>
                <w:szCs w:val="22"/>
                <w:lang w:eastAsia="en-US"/>
              </w:rPr>
              <w:t>1~</w:t>
            </w:r>
            <w:r>
              <w:rPr>
                <w:rFonts w:hint="eastAsia" w:ascii="Times New Roman" w:hAnsi="宋体" w:cs="宋体"/>
                <w:kern w:val="0"/>
                <w:szCs w:val="22"/>
              </w:rPr>
              <w:t>3</w:t>
            </w:r>
            <w:r>
              <w:rPr>
                <w:rFonts w:hint="eastAsia" w:ascii="Times New Roman" w:hAnsi="宋体" w:eastAsia="Times New Roman" w:cs="宋体"/>
                <w:kern w:val="0"/>
                <w:szCs w:val="22"/>
                <w:lang w:eastAsia="en-US"/>
              </w:rPr>
              <w:t>*</w:t>
            </w:r>
          </w:p>
        </w:tc>
        <w:tc>
          <w:tcPr>
            <w:tcW w:w="1070" w:type="dxa"/>
            <w:vMerge w:val="restart"/>
            <w:shd w:val="clear" w:color="auto" w:fill="auto"/>
            <w:vAlign w:val="center"/>
          </w:tcPr>
          <w:p>
            <w:pPr>
              <w:widowControl/>
              <w:spacing w:line="240" w:lineRule="atLeast"/>
              <w:jc w:val="center"/>
              <w:rPr>
                <w:rFonts w:asciiTheme="minorEastAsia" w:hAnsiTheme="minorEastAsia" w:eastAsiaTheme="minorEastAsia" w:cstheme="minorEastAsia"/>
              </w:rPr>
            </w:pPr>
            <w:r>
              <w:rPr>
                <w:rFonts w:ascii="Times New Roman" w:hAnsi="宋体" w:eastAsia="Times New Roman" w:cs="宋体"/>
                <w:kern w:val="0"/>
                <w:szCs w:val="22"/>
                <w:lang w:eastAsia="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0" w:type="dxa"/>
            <w:vMerge w:val="continue"/>
            <w:shd w:val="clear" w:color="auto" w:fill="auto"/>
            <w:vAlign w:val="center"/>
          </w:tcPr>
          <w:p>
            <w:pPr>
              <w:widowControl/>
              <w:spacing w:line="240" w:lineRule="atLeast"/>
              <w:jc w:val="center"/>
              <w:rPr>
                <w:rFonts w:asciiTheme="minorEastAsia" w:hAnsiTheme="minorEastAsia" w:eastAsiaTheme="minorEastAsia" w:cstheme="minorEastAsia"/>
                <w:kern w:val="0"/>
              </w:rPr>
            </w:pPr>
          </w:p>
        </w:tc>
        <w:tc>
          <w:tcPr>
            <w:tcW w:w="3580" w:type="dxa"/>
            <w:gridSpan w:val="2"/>
            <w:shd w:val="clear" w:color="auto" w:fill="auto"/>
            <w:vAlign w:val="center"/>
          </w:tcPr>
          <w:p>
            <w:pPr>
              <w:widowControl/>
              <w:spacing w:line="240" w:lineRule="atLeast"/>
              <w:jc w:val="center"/>
              <w:rPr>
                <w:rFonts w:asciiTheme="minorEastAsia" w:hAnsiTheme="minorEastAsia" w:eastAsiaTheme="minorEastAsia" w:cstheme="minorEastAsia"/>
              </w:rPr>
            </w:pPr>
            <w:r>
              <w:rPr>
                <w:rFonts w:hint="eastAsia" w:asciiTheme="minorEastAsia" w:hAnsiTheme="minorEastAsia" w:eastAsiaTheme="minorEastAsia" w:cstheme="minorEastAsia"/>
              </w:rPr>
              <w:t>平面布置标准化或柱网标准化</w:t>
            </w:r>
          </w:p>
        </w:tc>
        <w:tc>
          <w:tcPr>
            <w:tcW w:w="2305" w:type="dxa"/>
            <w:shd w:val="clear" w:color="auto" w:fill="auto"/>
            <w:vAlign w:val="center"/>
          </w:tcPr>
          <w:p>
            <w:pPr>
              <w:widowControl/>
              <w:spacing w:line="240" w:lineRule="atLeast"/>
              <w:jc w:val="center"/>
              <w:rPr>
                <w:rFonts w:asciiTheme="minorEastAsia" w:hAnsiTheme="minorEastAsia" w:cstheme="minorEastAsia"/>
              </w:rPr>
            </w:pPr>
            <w:r>
              <w:rPr>
                <w:rFonts w:hint="eastAsia" w:ascii="Times New Roman" w:hAnsi="宋体" w:eastAsia="Times New Roman" w:cs="宋体"/>
                <w:kern w:val="0"/>
                <w:szCs w:val="22"/>
                <w:lang w:eastAsia="en-US"/>
              </w:rPr>
              <w:t>50%</w:t>
            </w:r>
            <w:r>
              <w:rPr>
                <w:rFonts w:hint="eastAsia" w:asciiTheme="minorEastAsia" w:hAnsiTheme="minorEastAsia" w:eastAsiaTheme="minorEastAsia" w:cstheme="minorEastAsia"/>
              </w:rPr>
              <w:t>≤比例≤</w:t>
            </w:r>
            <w:r>
              <w:rPr>
                <w:rFonts w:hint="eastAsia" w:ascii="Times New Roman" w:hAnsi="宋体" w:eastAsia="Times New Roman" w:cs="宋体"/>
                <w:kern w:val="0"/>
                <w:szCs w:val="22"/>
                <w:lang w:eastAsia="en-US"/>
              </w:rPr>
              <w:t>70%</w:t>
            </w:r>
          </w:p>
        </w:tc>
        <w:tc>
          <w:tcPr>
            <w:tcW w:w="1525" w:type="dxa"/>
            <w:shd w:val="clear" w:color="auto" w:fill="auto"/>
            <w:vAlign w:val="center"/>
          </w:tcPr>
          <w:p>
            <w:pPr>
              <w:widowControl/>
              <w:spacing w:line="240" w:lineRule="atLeast"/>
              <w:jc w:val="center"/>
              <w:rPr>
                <w:rFonts w:asciiTheme="minorEastAsia" w:hAnsiTheme="minorEastAsia" w:eastAsiaTheme="minorEastAsia" w:cstheme="minorEastAsia"/>
              </w:rPr>
            </w:pPr>
            <w:r>
              <w:rPr>
                <w:rFonts w:ascii="Times New Roman" w:hAnsi="宋体" w:eastAsia="Times New Roman" w:cs="宋体"/>
                <w:kern w:val="0"/>
                <w:szCs w:val="22"/>
                <w:lang w:eastAsia="en-US"/>
              </w:rPr>
              <w:t>1~</w:t>
            </w:r>
            <w:r>
              <w:rPr>
                <w:rFonts w:hint="eastAsia" w:ascii="Times New Roman" w:hAnsi="宋体" w:cs="宋体"/>
                <w:kern w:val="0"/>
                <w:szCs w:val="22"/>
              </w:rPr>
              <w:t>3</w:t>
            </w:r>
            <w:r>
              <w:rPr>
                <w:rFonts w:hint="eastAsia" w:ascii="Times New Roman" w:hAnsi="宋体" w:eastAsia="Times New Roman" w:cs="宋体"/>
                <w:kern w:val="0"/>
                <w:szCs w:val="22"/>
                <w:lang w:eastAsia="en-US"/>
              </w:rPr>
              <w:t>*</w:t>
            </w:r>
          </w:p>
        </w:tc>
        <w:tc>
          <w:tcPr>
            <w:tcW w:w="1070" w:type="dxa"/>
            <w:vMerge w:val="continue"/>
            <w:shd w:val="clear" w:color="auto" w:fill="auto"/>
            <w:vAlign w:val="center"/>
          </w:tcPr>
          <w:p>
            <w:pPr>
              <w:widowControl/>
              <w:spacing w:line="240" w:lineRule="atLeast"/>
              <w:jc w:val="center"/>
              <w:rPr>
                <w:rFonts w:asciiTheme="minorEastAsia" w:hAnsiTheme="minorEastAsia" w:eastAsiaTheme="minorEastAsia" w:cstheme="minorEastAsia"/>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0" w:type="dxa"/>
            <w:vMerge w:val="restart"/>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创新项</w:t>
            </w:r>
          </w:p>
          <w:p>
            <w:pPr>
              <w:widowControl/>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w:t>
            </w:r>
            <w:r>
              <w:rPr>
                <w:rFonts w:hint="eastAsia" w:ascii="Times New Roman" w:hAnsi="宋体" w:cs="宋体" w:eastAsiaTheme="minorEastAsia"/>
                <w:kern w:val="0"/>
                <w:szCs w:val="22"/>
              </w:rPr>
              <w:t>8</w:t>
            </w:r>
            <w:r>
              <w:rPr>
                <w:rFonts w:hint="eastAsia" w:asciiTheme="minorEastAsia" w:hAnsiTheme="minorEastAsia" w:eastAsiaTheme="minorEastAsia" w:cstheme="minorEastAsia"/>
                <w:kern w:val="0"/>
              </w:rPr>
              <w:t>分）</w:t>
            </w:r>
          </w:p>
        </w:tc>
        <w:tc>
          <w:tcPr>
            <w:tcW w:w="1807" w:type="dxa"/>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工程承包方式</w:t>
            </w:r>
          </w:p>
        </w:tc>
        <w:tc>
          <w:tcPr>
            <w:tcW w:w="1773" w:type="dxa"/>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工程总承包（EPC）</w:t>
            </w:r>
          </w:p>
        </w:tc>
        <w:tc>
          <w:tcPr>
            <w:tcW w:w="2305" w:type="dxa"/>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rPr>
            </w:pPr>
            <w:r>
              <w:rPr>
                <w:rFonts w:hint="eastAsia" w:ascii="Times New Roman" w:hAnsi="宋体" w:eastAsia="Times New Roman" w:cs="宋体"/>
                <w:kern w:val="0"/>
                <w:szCs w:val="22"/>
                <w:lang w:eastAsia="en-US"/>
              </w:rPr>
              <w:t>-</w:t>
            </w:r>
          </w:p>
        </w:tc>
        <w:tc>
          <w:tcPr>
            <w:tcW w:w="1525" w:type="dxa"/>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rPr>
            </w:pPr>
            <w:r>
              <w:rPr>
                <w:rFonts w:ascii="Times New Roman" w:hAnsi="宋体" w:cs="宋体"/>
                <w:kern w:val="0"/>
                <w:szCs w:val="22"/>
              </w:rPr>
              <w:t>2</w:t>
            </w:r>
          </w:p>
        </w:tc>
        <w:tc>
          <w:tcPr>
            <w:tcW w:w="1070" w:type="dxa"/>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asciiTheme="minorEastAsia" w:hAnsiTheme="minorEastAsia" w:eastAsiaTheme="minorEastAsia" w:cstheme="minorEastAsia"/>
                <w:kern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0" w:type="dxa"/>
            <w:vMerge w:val="continue"/>
            <w:shd w:val="clear" w:color="auto" w:fill="auto"/>
            <w:vAlign w:val="center"/>
          </w:tcPr>
          <w:p>
            <w:pPr>
              <w:widowControl/>
              <w:spacing w:line="240" w:lineRule="atLeast"/>
              <w:jc w:val="center"/>
              <w:rPr>
                <w:rFonts w:asciiTheme="minorEastAsia" w:hAnsiTheme="minorEastAsia" w:eastAsiaTheme="minorEastAsia" w:cstheme="minorEastAsia"/>
                <w:kern w:val="0"/>
              </w:rPr>
            </w:pPr>
          </w:p>
        </w:tc>
        <w:tc>
          <w:tcPr>
            <w:tcW w:w="3580" w:type="dxa"/>
            <w:gridSpan w:val="2"/>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装配式装修</w:t>
            </w:r>
          </w:p>
        </w:tc>
        <w:tc>
          <w:tcPr>
            <w:tcW w:w="2305" w:type="dxa"/>
            <w:shd w:val="clear" w:color="auto" w:fill="auto"/>
            <w:vAlign w:val="center"/>
          </w:tcPr>
          <w:p>
            <w:pPr>
              <w:autoSpaceDE w:val="0"/>
              <w:autoSpaceDN w:val="0"/>
              <w:snapToGrid w:val="0"/>
              <w:spacing w:line="240" w:lineRule="atLeast"/>
              <w:jc w:val="center"/>
              <w:rPr>
                <w:rFonts w:ascii="Times New Roman" w:hAnsi="宋体" w:cs="宋体" w:eastAsiaTheme="minorEastAsia"/>
                <w:kern w:val="0"/>
                <w:szCs w:val="22"/>
              </w:rPr>
            </w:pPr>
            <w:r>
              <w:rPr>
                <w:rFonts w:ascii="Times New Roman" w:hAnsi="宋体" w:cs="宋体" w:eastAsiaTheme="minorEastAsia"/>
                <w:kern w:val="0"/>
                <w:szCs w:val="22"/>
              </w:rPr>
              <w:t>-</w:t>
            </w:r>
          </w:p>
        </w:tc>
        <w:tc>
          <w:tcPr>
            <w:tcW w:w="1525" w:type="dxa"/>
            <w:shd w:val="clear" w:color="auto" w:fill="auto"/>
            <w:vAlign w:val="center"/>
          </w:tcPr>
          <w:p>
            <w:pPr>
              <w:autoSpaceDE w:val="0"/>
              <w:autoSpaceDN w:val="0"/>
              <w:snapToGrid w:val="0"/>
              <w:spacing w:line="240" w:lineRule="atLeast"/>
              <w:jc w:val="center"/>
              <w:rPr>
                <w:rFonts w:ascii="Times New Roman" w:hAnsi="宋体" w:cs="宋体" w:eastAsiaTheme="minorEastAsia"/>
                <w:kern w:val="0"/>
                <w:szCs w:val="22"/>
              </w:rPr>
            </w:pPr>
            <w:r>
              <w:rPr>
                <w:rFonts w:hint="eastAsia" w:ascii="Times New Roman" w:hAnsi="宋体" w:cs="宋体" w:eastAsiaTheme="minorEastAsia"/>
                <w:kern w:val="0"/>
                <w:szCs w:val="22"/>
              </w:rPr>
              <w:t>1</w:t>
            </w:r>
          </w:p>
        </w:tc>
        <w:tc>
          <w:tcPr>
            <w:tcW w:w="1070" w:type="dxa"/>
            <w:shd w:val="clear" w:color="auto" w:fill="auto"/>
            <w:vAlign w:val="center"/>
          </w:tcPr>
          <w:p>
            <w:pPr>
              <w:widowControl/>
              <w:spacing w:line="240" w:lineRule="atLeast"/>
              <w:ind w:firstLine="420" w:firstLineChars="200"/>
              <w:rPr>
                <w:rFonts w:ascii="Times New Roman" w:hAnsi="宋体" w:eastAsia="Times New Roman" w:cs="宋体"/>
                <w:kern w:val="0"/>
                <w:szCs w:val="22"/>
                <w:lang w:eastAsia="en-US"/>
              </w:rPr>
            </w:pPr>
            <w:r>
              <w:rPr>
                <w:rFonts w:asciiTheme="minorEastAsia" w:hAnsiTheme="minorEastAsia" w:eastAsiaTheme="minorEastAsia" w:cstheme="minorEastAsia"/>
                <w:kern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0" w:type="dxa"/>
            <w:vMerge w:val="continue"/>
            <w:shd w:val="clear" w:color="auto" w:fill="auto"/>
            <w:vAlign w:val="center"/>
          </w:tcPr>
          <w:p>
            <w:pPr>
              <w:widowControl/>
              <w:spacing w:line="240" w:lineRule="atLeast"/>
              <w:jc w:val="center"/>
              <w:rPr>
                <w:rFonts w:asciiTheme="minorEastAsia" w:hAnsiTheme="minorEastAsia" w:eastAsiaTheme="minorEastAsia" w:cstheme="minorEastAsia"/>
                <w:kern w:val="0"/>
              </w:rPr>
            </w:pPr>
          </w:p>
        </w:tc>
        <w:tc>
          <w:tcPr>
            <w:tcW w:w="3580" w:type="dxa"/>
            <w:gridSpan w:val="2"/>
            <w:vMerge w:val="restart"/>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信息化管理（含B</w:t>
            </w:r>
            <w:r>
              <w:rPr>
                <w:rFonts w:asciiTheme="minorEastAsia" w:hAnsiTheme="minorEastAsia" w:eastAsiaTheme="minorEastAsia" w:cstheme="minorEastAsia"/>
                <w:kern w:val="0"/>
              </w:rPr>
              <w:t>IM</w:t>
            </w:r>
            <w:r>
              <w:rPr>
                <w:rFonts w:hint="eastAsia" w:asciiTheme="minorEastAsia" w:hAnsiTheme="minorEastAsia" w:eastAsiaTheme="minorEastAsia" w:cstheme="minorEastAsia"/>
                <w:kern w:val="0"/>
              </w:rPr>
              <w:t>技术）</w:t>
            </w:r>
          </w:p>
        </w:tc>
        <w:tc>
          <w:tcPr>
            <w:tcW w:w="2305" w:type="dxa"/>
            <w:shd w:val="clear" w:color="auto" w:fill="auto"/>
            <w:vAlign w:val="center"/>
          </w:tcPr>
          <w:p>
            <w:pPr>
              <w:autoSpaceDE w:val="0"/>
              <w:autoSpaceDN w:val="0"/>
              <w:snapToGrid w:val="0"/>
              <w:spacing w:line="240" w:lineRule="atLeast"/>
              <w:jc w:val="center"/>
              <w:rPr>
                <w:rFonts w:ascii="Times New Roman" w:hAnsi="宋体" w:cs="宋体" w:eastAsiaTheme="minorEastAsia"/>
                <w:kern w:val="0"/>
                <w:szCs w:val="22"/>
              </w:rPr>
            </w:pPr>
            <w:r>
              <w:rPr>
                <w:rFonts w:hint="eastAsia" w:asciiTheme="minorEastAsia" w:hAnsiTheme="minorEastAsia" w:eastAsiaTheme="minorEastAsia" w:cstheme="minorEastAsia"/>
              </w:rPr>
              <w:t>设计阶段</w:t>
            </w:r>
          </w:p>
        </w:tc>
        <w:tc>
          <w:tcPr>
            <w:tcW w:w="1525" w:type="dxa"/>
            <w:shd w:val="clear" w:color="auto" w:fill="auto"/>
            <w:vAlign w:val="center"/>
          </w:tcPr>
          <w:p>
            <w:pPr>
              <w:autoSpaceDE w:val="0"/>
              <w:autoSpaceDN w:val="0"/>
              <w:snapToGrid w:val="0"/>
              <w:spacing w:line="240" w:lineRule="atLeast"/>
              <w:jc w:val="center"/>
              <w:rPr>
                <w:rFonts w:ascii="Times New Roman" w:hAnsi="宋体" w:cs="宋体" w:eastAsiaTheme="minorEastAsia"/>
                <w:kern w:val="0"/>
                <w:szCs w:val="22"/>
              </w:rPr>
            </w:pPr>
            <w:r>
              <w:rPr>
                <w:rFonts w:ascii="Times New Roman" w:hAnsi="宋体" w:cs="宋体" w:eastAsiaTheme="minorEastAsia"/>
                <w:kern w:val="0"/>
                <w:szCs w:val="22"/>
              </w:rPr>
              <w:t>1</w:t>
            </w:r>
          </w:p>
        </w:tc>
        <w:tc>
          <w:tcPr>
            <w:tcW w:w="1070" w:type="dxa"/>
            <w:shd w:val="clear" w:color="auto" w:fill="auto"/>
            <w:vAlign w:val="center"/>
          </w:tcPr>
          <w:p>
            <w:pPr>
              <w:widowControl/>
              <w:spacing w:line="240" w:lineRule="atLeast"/>
              <w:jc w:val="center"/>
              <w:rPr>
                <w:rFonts w:ascii="Times New Roman" w:hAnsi="宋体" w:eastAsia="Times New Roman" w:cs="宋体"/>
                <w:kern w:val="0"/>
                <w:szCs w:val="22"/>
                <w:lang w:eastAsia="en-US"/>
              </w:rPr>
            </w:pPr>
            <w:r>
              <w:rPr>
                <w:rFonts w:asciiTheme="minorEastAsia" w:hAnsiTheme="minorEastAsia" w:eastAsiaTheme="minorEastAsia" w:cstheme="minorEastAsia"/>
                <w:kern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0" w:type="dxa"/>
            <w:vMerge w:val="continue"/>
            <w:shd w:val="clear" w:color="auto" w:fill="auto"/>
            <w:vAlign w:val="center"/>
          </w:tcPr>
          <w:p>
            <w:pPr>
              <w:widowControl/>
              <w:spacing w:line="240" w:lineRule="atLeast"/>
              <w:jc w:val="center"/>
              <w:rPr>
                <w:rFonts w:asciiTheme="minorEastAsia" w:hAnsiTheme="minorEastAsia" w:eastAsiaTheme="minorEastAsia" w:cstheme="minorEastAsia"/>
                <w:kern w:val="0"/>
              </w:rPr>
            </w:pPr>
          </w:p>
        </w:tc>
        <w:tc>
          <w:tcPr>
            <w:tcW w:w="3580" w:type="dxa"/>
            <w:gridSpan w:val="2"/>
            <w:vMerge w:val="continue"/>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rPr>
            </w:pPr>
          </w:p>
        </w:tc>
        <w:tc>
          <w:tcPr>
            <w:tcW w:w="2305" w:type="dxa"/>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生产阶段</w:t>
            </w:r>
          </w:p>
        </w:tc>
        <w:tc>
          <w:tcPr>
            <w:tcW w:w="1525" w:type="dxa"/>
            <w:shd w:val="clear" w:color="auto" w:fill="auto"/>
            <w:vAlign w:val="center"/>
          </w:tcPr>
          <w:p>
            <w:pPr>
              <w:autoSpaceDE w:val="0"/>
              <w:autoSpaceDN w:val="0"/>
              <w:snapToGrid w:val="0"/>
              <w:spacing w:line="240" w:lineRule="atLeast"/>
              <w:jc w:val="center"/>
              <w:rPr>
                <w:rFonts w:ascii="Times New Roman" w:hAnsi="宋体" w:cs="宋体" w:eastAsiaTheme="minorEastAsia"/>
                <w:kern w:val="0"/>
                <w:szCs w:val="22"/>
              </w:rPr>
            </w:pPr>
            <w:r>
              <w:rPr>
                <w:rFonts w:hint="eastAsia" w:ascii="Times New Roman" w:hAnsi="宋体" w:cs="宋体" w:eastAsiaTheme="minorEastAsia"/>
                <w:kern w:val="0"/>
                <w:szCs w:val="22"/>
              </w:rPr>
              <w:t>1</w:t>
            </w:r>
          </w:p>
        </w:tc>
        <w:tc>
          <w:tcPr>
            <w:tcW w:w="1070" w:type="dxa"/>
            <w:shd w:val="clear" w:color="auto" w:fill="auto"/>
            <w:vAlign w:val="center"/>
          </w:tcPr>
          <w:p>
            <w:pPr>
              <w:widowControl/>
              <w:spacing w:line="240" w:lineRule="atLeast"/>
              <w:jc w:val="center"/>
              <w:rPr>
                <w:rFonts w:ascii="Times New Roman" w:hAnsi="宋体" w:eastAsia="Times New Roman" w:cs="宋体"/>
                <w:kern w:val="0"/>
                <w:szCs w:val="22"/>
                <w:lang w:eastAsia="en-US"/>
              </w:rPr>
            </w:pPr>
            <w:r>
              <w:rPr>
                <w:rFonts w:asciiTheme="minorEastAsia" w:hAnsiTheme="minorEastAsia" w:eastAsiaTheme="minorEastAsia" w:cstheme="minorEastAsia"/>
                <w:kern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0" w:type="dxa"/>
            <w:vMerge w:val="continue"/>
            <w:shd w:val="clear" w:color="auto" w:fill="auto"/>
            <w:vAlign w:val="center"/>
          </w:tcPr>
          <w:p>
            <w:pPr>
              <w:widowControl/>
              <w:spacing w:line="240" w:lineRule="atLeast"/>
              <w:jc w:val="center"/>
              <w:rPr>
                <w:rFonts w:asciiTheme="minorEastAsia" w:hAnsiTheme="minorEastAsia" w:eastAsiaTheme="minorEastAsia" w:cstheme="minorEastAsia"/>
                <w:kern w:val="0"/>
              </w:rPr>
            </w:pPr>
          </w:p>
        </w:tc>
        <w:tc>
          <w:tcPr>
            <w:tcW w:w="3580" w:type="dxa"/>
            <w:gridSpan w:val="2"/>
            <w:vMerge w:val="continue"/>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rPr>
            </w:pPr>
          </w:p>
        </w:tc>
        <w:tc>
          <w:tcPr>
            <w:tcW w:w="2305" w:type="dxa"/>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rPr>
            </w:pPr>
            <w:r>
              <w:rPr>
                <w:rFonts w:hint="eastAsia" w:asciiTheme="minorEastAsia" w:hAnsiTheme="minorEastAsia" w:eastAsiaTheme="minorEastAsia" w:cstheme="minorEastAsia"/>
                <w:kern w:val="0"/>
              </w:rPr>
              <w:t>施工阶段</w:t>
            </w:r>
          </w:p>
        </w:tc>
        <w:tc>
          <w:tcPr>
            <w:tcW w:w="1525" w:type="dxa"/>
            <w:shd w:val="clear" w:color="auto" w:fill="auto"/>
            <w:vAlign w:val="center"/>
          </w:tcPr>
          <w:p>
            <w:pPr>
              <w:autoSpaceDE w:val="0"/>
              <w:autoSpaceDN w:val="0"/>
              <w:snapToGrid w:val="0"/>
              <w:spacing w:line="240" w:lineRule="atLeast"/>
              <w:jc w:val="center"/>
              <w:rPr>
                <w:rFonts w:ascii="Times New Roman" w:hAnsi="宋体" w:cs="宋体" w:eastAsiaTheme="minorEastAsia"/>
                <w:kern w:val="0"/>
                <w:szCs w:val="22"/>
              </w:rPr>
            </w:pPr>
            <w:r>
              <w:rPr>
                <w:rFonts w:ascii="Times New Roman" w:hAnsi="宋体" w:cs="宋体" w:eastAsiaTheme="minorEastAsia"/>
                <w:kern w:val="0"/>
                <w:szCs w:val="22"/>
              </w:rPr>
              <w:t>1</w:t>
            </w:r>
          </w:p>
        </w:tc>
        <w:tc>
          <w:tcPr>
            <w:tcW w:w="1070" w:type="dxa"/>
            <w:shd w:val="clear" w:color="auto" w:fill="auto"/>
            <w:vAlign w:val="center"/>
          </w:tcPr>
          <w:p>
            <w:pPr>
              <w:widowControl/>
              <w:spacing w:line="240" w:lineRule="atLeast"/>
              <w:jc w:val="center"/>
              <w:rPr>
                <w:rFonts w:ascii="Times New Roman" w:hAnsi="宋体" w:eastAsia="Times New Roman" w:cs="宋体"/>
                <w:kern w:val="0"/>
                <w:szCs w:val="22"/>
                <w:lang w:eastAsia="en-US"/>
              </w:rPr>
            </w:pPr>
            <w:r>
              <w:rPr>
                <w:rFonts w:asciiTheme="minorEastAsia" w:hAnsiTheme="minorEastAsia" w:eastAsiaTheme="minorEastAsia" w:cstheme="minorEastAsia"/>
                <w:kern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0" w:type="dxa"/>
            <w:vMerge w:val="continue"/>
            <w:shd w:val="clear" w:color="auto" w:fill="auto"/>
            <w:vAlign w:val="center"/>
          </w:tcPr>
          <w:p>
            <w:pPr>
              <w:widowControl/>
              <w:spacing w:line="240" w:lineRule="atLeast"/>
              <w:jc w:val="center"/>
              <w:rPr>
                <w:rFonts w:asciiTheme="minorEastAsia" w:hAnsiTheme="minorEastAsia" w:eastAsiaTheme="minorEastAsia" w:cstheme="minorEastAsia"/>
                <w:kern w:val="0"/>
              </w:rPr>
            </w:pPr>
          </w:p>
        </w:tc>
        <w:tc>
          <w:tcPr>
            <w:tcW w:w="3580" w:type="dxa"/>
            <w:gridSpan w:val="2"/>
            <w:vMerge w:val="continue"/>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rPr>
            </w:pPr>
          </w:p>
        </w:tc>
        <w:tc>
          <w:tcPr>
            <w:tcW w:w="2305" w:type="dxa"/>
            <w:shd w:val="clear" w:color="auto" w:fill="auto"/>
            <w:vAlign w:val="center"/>
          </w:tcPr>
          <w:p>
            <w:pPr>
              <w:autoSpaceDE w:val="0"/>
              <w:autoSpaceDN w:val="0"/>
              <w:snapToGrid w:val="0"/>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信息化管理协同</w:t>
            </w:r>
          </w:p>
        </w:tc>
        <w:tc>
          <w:tcPr>
            <w:tcW w:w="1525" w:type="dxa"/>
            <w:shd w:val="clear" w:color="auto" w:fill="auto"/>
            <w:vAlign w:val="center"/>
          </w:tcPr>
          <w:p>
            <w:pPr>
              <w:autoSpaceDE w:val="0"/>
              <w:autoSpaceDN w:val="0"/>
              <w:snapToGrid w:val="0"/>
              <w:spacing w:line="240" w:lineRule="atLeast"/>
              <w:jc w:val="center"/>
              <w:rPr>
                <w:rFonts w:ascii="Times New Roman" w:hAnsi="宋体" w:cs="宋体" w:eastAsiaTheme="minorEastAsia"/>
                <w:kern w:val="0"/>
                <w:szCs w:val="22"/>
              </w:rPr>
            </w:pPr>
            <w:r>
              <w:rPr>
                <w:rFonts w:hint="eastAsia" w:ascii="Times New Roman" w:hAnsi="宋体" w:cs="宋体" w:eastAsiaTheme="minorEastAsia"/>
                <w:kern w:val="0"/>
                <w:szCs w:val="22"/>
              </w:rPr>
              <w:t>2</w:t>
            </w:r>
          </w:p>
        </w:tc>
        <w:tc>
          <w:tcPr>
            <w:tcW w:w="1070" w:type="dxa"/>
            <w:shd w:val="clear" w:color="auto" w:fill="auto"/>
            <w:vAlign w:val="center"/>
          </w:tcPr>
          <w:p>
            <w:pPr>
              <w:widowControl/>
              <w:spacing w:line="240" w:lineRule="atLeast"/>
              <w:jc w:val="center"/>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40" w:type="dxa"/>
            <w:gridSpan w:val="6"/>
            <w:shd w:val="clear" w:color="auto" w:fill="auto"/>
            <w:vAlign w:val="center"/>
          </w:tcPr>
          <w:p>
            <w:pPr>
              <w:pStyle w:val="64"/>
              <w:ind w:firstLine="199" w:firstLineChars="95"/>
              <w:jc w:val="left"/>
            </w:pPr>
            <w:r>
              <w:rPr>
                <w:rFonts w:hint="eastAsia"/>
              </w:rPr>
              <w:t>注：表中带“*”项的分值采用“内插法”计算，计算结果取小数点后 1 位。</w:t>
            </w:r>
          </w:p>
        </w:tc>
      </w:tr>
      <w:bookmarkEnd w:id="30"/>
    </w:tbl>
    <w:p>
      <w:pPr>
        <w:autoSpaceDE w:val="0"/>
        <w:autoSpaceDN w:val="0"/>
        <w:adjustRightInd/>
        <w:spacing w:line="240" w:lineRule="auto"/>
        <w:jc w:val="left"/>
        <w:rPr>
          <w:rFonts w:ascii="宋体" w:hAnsi="Times New Roman"/>
          <w:kern w:val="0"/>
          <w:szCs w:val="20"/>
        </w:rPr>
      </w:pPr>
      <w:r>
        <w:rPr>
          <w:rFonts w:ascii="黑体" w:hAnsi="黑体" w:eastAsia="黑体"/>
          <w:b/>
          <w:bCs/>
          <w:kern w:val="0"/>
          <w:szCs w:val="20"/>
        </w:rPr>
        <w:t>5.2</w:t>
      </w:r>
      <w:r>
        <w:rPr>
          <w:rFonts w:ascii="宋体" w:hAnsi="Times New Roman"/>
          <w:kern w:val="0"/>
          <w:szCs w:val="20"/>
        </w:rPr>
        <w:t xml:space="preserve"> </w:t>
      </w:r>
      <w:r>
        <w:rPr>
          <w:rFonts w:hint="eastAsia" w:ascii="宋体" w:hAnsi="Times New Roman"/>
          <w:kern w:val="0"/>
          <w:szCs w:val="20"/>
        </w:rPr>
        <w:t>主体结构竖向构件中预制部件的应用比例应按（公式2）计算：</w:t>
      </w:r>
    </w:p>
    <w:p>
      <w:pPr>
        <w:tabs>
          <w:tab w:val="left" w:pos="7868"/>
        </w:tabs>
        <w:autoSpaceDE w:val="0"/>
        <w:autoSpaceDN w:val="0"/>
        <w:adjustRightInd/>
        <w:spacing w:line="381" w:lineRule="exact"/>
        <w:ind w:left="3740" w:right="420"/>
        <w:jc w:val="left"/>
        <w:rPr>
          <w:rFonts w:ascii="宋体" w:hAnsi="Times New Roman"/>
          <w:kern w:val="0"/>
          <w:szCs w:val="20"/>
        </w:rPr>
      </w:pPr>
      <w:r>
        <w:rPr>
          <w:rFonts w:ascii="宋体" w:hAnsi="Times New Roman"/>
          <w:kern w:val="0"/>
          <w:szCs w:val="20"/>
        </w:rPr>
        <w:t>Q</w:t>
      </w:r>
      <w:r>
        <w:rPr>
          <w:rFonts w:ascii="宋体" w:hAnsi="Times New Roman"/>
          <w:kern w:val="0"/>
          <w:szCs w:val="20"/>
          <w:vertAlign w:val="subscript"/>
        </w:rPr>
        <w:t>1a</w:t>
      </w:r>
      <w:r>
        <w:rPr>
          <w:rFonts w:ascii="宋体" w:hAnsi="Times New Roman"/>
          <w:kern w:val="0"/>
          <w:szCs w:val="20"/>
        </w:rPr>
        <w:t>=V</w:t>
      </w:r>
      <w:r>
        <w:rPr>
          <w:rFonts w:ascii="宋体" w:hAnsi="Times New Roman"/>
          <w:kern w:val="0"/>
          <w:szCs w:val="20"/>
          <w:vertAlign w:val="subscript"/>
        </w:rPr>
        <w:t>1a</w:t>
      </w:r>
      <w:r>
        <w:rPr>
          <w:rFonts w:ascii="宋体" w:hAnsi="Times New Roman"/>
          <w:kern w:val="0"/>
          <w:szCs w:val="20"/>
        </w:rPr>
        <w:t xml:space="preserve">/V×100%   </w:t>
      </w:r>
      <w:r>
        <w:rPr>
          <w:rFonts w:ascii="宋体" w:hAnsi="Times New Roman"/>
          <w:kern w:val="0"/>
          <w:szCs w:val="20"/>
        </w:rPr>
        <w:tab/>
      </w:r>
      <w:r>
        <w:rPr>
          <w:rFonts w:ascii="宋体" w:hAnsi="Times New Roman"/>
          <w:kern w:val="0"/>
          <w:szCs w:val="20"/>
        </w:rPr>
        <w:t xml:space="preserve"> </w:t>
      </w:r>
      <w:r>
        <w:rPr>
          <w:rFonts w:hint="eastAsia" w:ascii="宋体" w:hAnsi="Times New Roman"/>
          <w:kern w:val="0"/>
          <w:szCs w:val="20"/>
        </w:rPr>
        <w:t>（</w:t>
      </w:r>
      <w:r>
        <w:rPr>
          <w:rFonts w:hint="eastAsia"/>
        </w:rPr>
        <w:t>公式</w:t>
      </w:r>
      <w:r>
        <w:rPr>
          <w:rFonts w:hint="eastAsia" w:ascii="宋体" w:hAnsi="Times New Roman"/>
          <w:kern w:val="0"/>
          <w:szCs w:val="20"/>
        </w:rPr>
        <w:t>2）</w:t>
      </w:r>
    </w:p>
    <w:p>
      <w:pPr>
        <w:autoSpaceDE w:val="0"/>
        <w:autoSpaceDN w:val="0"/>
        <w:adjustRightInd/>
        <w:spacing w:before="16" w:line="285" w:lineRule="auto"/>
        <w:ind w:left="2080" w:right="606" w:hanging="1440"/>
        <w:jc w:val="left"/>
        <w:rPr>
          <w:rFonts w:ascii="宋体" w:hAnsi="Times New Roman"/>
          <w:kern w:val="0"/>
          <w:szCs w:val="20"/>
        </w:rPr>
      </w:pPr>
      <w:r>
        <w:rPr>
          <w:rFonts w:ascii="宋体" w:hAnsi="Times New Roman"/>
          <w:kern w:val="0"/>
          <w:szCs w:val="20"/>
        </w:rPr>
        <w:t>式中：</w:t>
      </w:r>
      <w:r>
        <w:rPr>
          <w:rFonts w:hint="eastAsia" w:ascii="宋体" w:hAnsi="Times New Roman"/>
          <w:kern w:val="0"/>
          <w:szCs w:val="20"/>
        </w:rPr>
        <w:t xml:space="preserve"> </w:t>
      </w:r>
      <w:r>
        <w:rPr>
          <w:rFonts w:ascii="宋体" w:hAnsi="Times New Roman"/>
          <w:kern w:val="0"/>
          <w:szCs w:val="20"/>
        </w:rPr>
        <w:t>Q</w:t>
      </w:r>
      <w:r>
        <w:rPr>
          <w:rFonts w:ascii="宋体" w:hAnsi="Times New Roman"/>
          <w:kern w:val="0"/>
          <w:szCs w:val="20"/>
          <w:vertAlign w:val="subscript"/>
        </w:rPr>
        <w:t>1a</w:t>
      </w:r>
      <w:r>
        <w:rPr>
          <w:rFonts w:hint="eastAsia" w:ascii="宋体" w:hAnsi="Times New Roman"/>
          <w:kern w:val="0"/>
          <w:szCs w:val="20"/>
        </w:rPr>
        <w:t>──</w:t>
      </w:r>
      <w:r>
        <w:rPr>
          <w:rFonts w:ascii="宋体" w:hAnsi="Times New Roman"/>
          <w:kern w:val="0"/>
          <w:szCs w:val="20"/>
        </w:rPr>
        <w:t>主体结构竖向构件中预制部件的应用比例；</w:t>
      </w:r>
    </w:p>
    <w:p>
      <w:pPr>
        <w:autoSpaceDE w:val="0"/>
        <w:autoSpaceDN w:val="0"/>
        <w:adjustRightInd/>
        <w:spacing w:before="32" w:line="285" w:lineRule="auto"/>
        <w:ind w:left="2068" w:right="608" w:hanging="720"/>
        <w:jc w:val="left"/>
        <w:rPr>
          <w:rFonts w:ascii="宋体" w:hAnsi="Times New Roman"/>
          <w:kern w:val="0"/>
          <w:szCs w:val="20"/>
        </w:rPr>
      </w:pPr>
      <w:r>
        <w:rPr>
          <w:rFonts w:ascii="宋体" w:hAnsi="Times New Roman"/>
          <w:kern w:val="0"/>
          <w:szCs w:val="20"/>
        </w:rPr>
        <w:t>V</w:t>
      </w:r>
      <w:r>
        <w:rPr>
          <w:rFonts w:ascii="宋体" w:hAnsi="Times New Roman"/>
          <w:kern w:val="0"/>
          <w:szCs w:val="20"/>
          <w:vertAlign w:val="subscript"/>
        </w:rPr>
        <w:t>1a</w:t>
      </w:r>
      <w:r>
        <w:rPr>
          <w:rFonts w:hint="eastAsia" w:ascii="宋体" w:hAnsi="Times New Roman"/>
          <w:kern w:val="0"/>
          <w:szCs w:val="20"/>
        </w:rPr>
        <w:t>──</w:t>
      </w:r>
      <w:r>
        <w:rPr>
          <w:rFonts w:ascii="宋体" w:hAnsi="Times New Roman"/>
          <w:kern w:val="0"/>
          <w:szCs w:val="20"/>
        </w:rPr>
        <w:t xml:space="preserve">主体结构竖向构件中预制部件体积； </w:t>
      </w:r>
    </w:p>
    <w:p>
      <w:pPr>
        <w:autoSpaceDE w:val="0"/>
        <w:autoSpaceDN w:val="0"/>
        <w:adjustRightInd/>
        <w:spacing w:before="32" w:line="285" w:lineRule="auto"/>
        <w:ind w:left="2068" w:right="608" w:hanging="720"/>
        <w:jc w:val="left"/>
        <w:rPr>
          <w:rFonts w:ascii="宋体" w:hAnsi="Times New Roman"/>
          <w:kern w:val="0"/>
          <w:szCs w:val="20"/>
        </w:rPr>
      </w:pPr>
      <w:r>
        <w:rPr>
          <w:rFonts w:ascii="宋体" w:hAnsi="Times New Roman"/>
          <w:kern w:val="0"/>
          <w:szCs w:val="20"/>
        </w:rPr>
        <w:t>V</w:t>
      </w:r>
      <w:r>
        <w:rPr>
          <w:rFonts w:hint="eastAsia" w:ascii="宋体" w:hAnsi="Times New Roman"/>
          <w:kern w:val="0"/>
          <w:szCs w:val="20"/>
        </w:rPr>
        <w:t>──</w:t>
      </w:r>
      <w:r>
        <w:rPr>
          <w:rFonts w:ascii="宋体" w:hAnsi="Times New Roman"/>
          <w:kern w:val="0"/>
          <w:szCs w:val="20"/>
        </w:rPr>
        <w:t>主体结构竖向构件总体积</w:t>
      </w:r>
      <w:r>
        <w:rPr>
          <w:rFonts w:hint="eastAsia" w:ascii="宋体" w:hAnsi="Times New Roman"/>
          <w:kern w:val="0"/>
          <w:szCs w:val="20"/>
        </w:rPr>
        <w:t xml:space="preserve">。 </w:t>
      </w:r>
      <w:r>
        <w:rPr>
          <w:rFonts w:ascii="宋体" w:hAnsi="Times New Roman"/>
          <w:kern w:val="0"/>
          <w:szCs w:val="20"/>
        </w:rPr>
        <w:t xml:space="preserve"> </w:t>
      </w:r>
    </w:p>
    <w:p>
      <w:pPr>
        <w:autoSpaceDE w:val="0"/>
        <w:autoSpaceDN w:val="0"/>
        <w:adjustRightInd/>
        <w:spacing w:line="240" w:lineRule="auto"/>
        <w:jc w:val="left"/>
        <w:rPr>
          <w:rFonts w:ascii="宋体" w:hAnsi="Times New Roman"/>
          <w:kern w:val="0"/>
          <w:szCs w:val="20"/>
        </w:rPr>
      </w:pPr>
      <w:r>
        <w:rPr>
          <w:rFonts w:ascii="黑体" w:hAnsi="黑体" w:eastAsia="黑体"/>
          <w:b/>
          <w:bCs/>
          <w:kern w:val="0"/>
          <w:szCs w:val="20"/>
        </w:rPr>
        <w:t>5.3</w:t>
      </w:r>
      <w:r>
        <w:rPr>
          <w:rFonts w:hint="eastAsia" w:ascii="宋体" w:hAnsi="Times New Roman"/>
          <w:kern w:val="0"/>
          <w:szCs w:val="20"/>
        </w:rPr>
        <w:t xml:space="preserve"> 主体结构水平构件中预制部件的应用比例应按（公式</w:t>
      </w:r>
      <w:r>
        <w:rPr>
          <w:rFonts w:ascii="宋体" w:hAnsi="Times New Roman"/>
          <w:kern w:val="0"/>
          <w:szCs w:val="20"/>
        </w:rPr>
        <w:t>3</w:t>
      </w:r>
      <w:r>
        <w:rPr>
          <w:rFonts w:hint="eastAsia" w:ascii="宋体" w:hAnsi="Times New Roman"/>
          <w:kern w:val="0"/>
          <w:szCs w:val="20"/>
        </w:rPr>
        <w:t>）计算：</w:t>
      </w:r>
    </w:p>
    <w:p>
      <w:pPr>
        <w:tabs>
          <w:tab w:val="left" w:pos="7868"/>
        </w:tabs>
        <w:autoSpaceDE w:val="0"/>
        <w:autoSpaceDN w:val="0"/>
        <w:adjustRightInd/>
        <w:spacing w:line="381" w:lineRule="exact"/>
        <w:ind w:left="3740" w:right="420"/>
        <w:jc w:val="left"/>
        <w:rPr>
          <w:rFonts w:ascii="宋体" w:hAnsi="Times New Roman"/>
          <w:kern w:val="0"/>
          <w:szCs w:val="20"/>
        </w:rPr>
      </w:pPr>
      <w:r>
        <w:rPr>
          <w:rFonts w:ascii="宋体" w:hAnsi="Times New Roman"/>
          <w:kern w:val="0"/>
          <w:szCs w:val="20"/>
        </w:rPr>
        <w:t xml:space="preserve">  Q</w:t>
      </w:r>
      <w:r>
        <w:rPr>
          <w:rFonts w:ascii="宋体" w:hAnsi="Times New Roman"/>
          <w:kern w:val="0"/>
          <w:szCs w:val="20"/>
          <w:vertAlign w:val="subscript"/>
        </w:rPr>
        <w:t>1b</w:t>
      </w:r>
      <w:r>
        <w:rPr>
          <w:rFonts w:ascii="宋体" w:hAnsi="Times New Roman"/>
          <w:kern w:val="0"/>
          <w:szCs w:val="20"/>
        </w:rPr>
        <w:t>=A</w:t>
      </w:r>
      <w:r>
        <w:rPr>
          <w:rFonts w:ascii="宋体" w:hAnsi="Times New Roman"/>
          <w:kern w:val="0"/>
          <w:szCs w:val="20"/>
          <w:vertAlign w:val="subscript"/>
        </w:rPr>
        <w:t>1b</w:t>
      </w:r>
      <w:r>
        <w:rPr>
          <w:rFonts w:ascii="宋体" w:hAnsi="Times New Roman"/>
          <w:kern w:val="0"/>
          <w:szCs w:val="20"/>
        </w:rPr>
        <w:t>/A</w:t>
      </w:r>
      <w:r>
        <w:rPr>
          <w:rFonts w:ascii="宋体" w:hAnsi="Times New Roman"/>
          <w:kern w:val="0"/>
          <w:szCs w:val="20"/>
          <w:vertAlign w:val="subscript"/>
        </w:rPr>
        <w:t>1</w:t>
      </w:r>
      <w:r>
        <w:rPr>
          <w:rFonts w:ascii="宋体" w:hAnsi="Times New Roman"/>
          <w:kern w:val="0"/>
          <w:szCs w:val="20"/>
        </w:rPr>
        <w:t xml:space="preserve">×100%                         </w:t>
      </w:r>
      <w:r>
        <w:rPr>
          <w:rFonts w:hint="eastAsia" w:ascii="宋体" w:hAnsi="Times New Roman"/>
          <w:kern w:val="0"/>
          <w:szCs w:val="20"/>
        </w:rPr>
        <w:t>（</w:t>
      </w:r>
      <w:r>
        <w:rPr>
          <w:rFonts w:hint="eastAsia"/>
        </w:rPr>
        <w:t>公式</w:t>
      </w:r>
      <w:r>
        <w:rPr>
          <w:rFonts w:hint="eastAsia" w:ascii="宋体" w:hAnsi="Times New Roman"/>
          <w:kern w:val="0"/>
          <w:szCs w:val="20"/>
        </w:rPr>
        <w:t>3）</w:t>
      </w:r>
    </w:p>
    <w:p>
      <w:pPr>
        <w:autoSpaceDE w:val="0"/>
        <w:autoSpaceDN w:val="0"/>
        <w:adjustRightInd/>
        <w:spacing w:before="16" w:line="285" w:lineRule="auto"/>
        <w:ind w:left="2080" w:right="606" w:hanging="1440"/>
        <w:jc w:val="left"/>
        <w:rPr>
          <w:rFonts w:ascii="宋体" w:hAnsi="Times New Roman"/>
          <w:kern w:val="0"/>
          <w:szCs w:val="20"/>
        </w:rPr>
      </w:pPr>
      <w:r>
        <w:rPr>
          <w:rFonts w:ascii="宋体" w:hAnsi="Times New Roman"/>
          <w:kern w:val="0"/>
          <w:szCs w:val="20"/>
        </w:rPr>
        <w:t>式中：Q</w:t>
      </w:r>
      <w:r>
        <w:rPr>
          <w:rFonts w:ascii="宋体" w:hAnsi="Times New Roman"/>
          <w:kern w:val="0"/>
          <w:szCs w:val="20"/>
          <w:vertAlign w:val="subscript"/>
        </w:rPr>
        <w:t>1b</w:t>
      </w:r>
      <w:r>
        <w:rPr>
          <w:rFonts w:ascii="宋体" w:hAnsi="Times New Roman"/>
          <w:kern w:val="0"/>
          <w:szCs w:val="20"/>
        </w:rPr>
        <w:t>──梁、板、楼梯、阳台、空调板</w:t>
      </w:r>
      <w:r>
        <w:rPr>
          <w:rFonts w:hint="eastAsia" w:ascii="宋体" w:hAnsi="Times New Roman"/>
          <w:kern w:val="0"/>
          <w:szCs w:val="20"/>
        </w:rPr>
        <w:t>、凸窗挑板</w:t>
      </w:r>
      <w:r>
        <w:rPr>
          <w:rFonts w:ascii="宋体" w:hAnsi="Times New Roman"/>
          <w:kern w:val="0"/>
          <w:szCs w:val="20"/>
        </w:rPr>
        <w:t>等</w:t>
      </w:r>
      <w:r>
        <w:rPr>
          <w:rFonts w:hint="eastAsia" w:ascii="宋体" w:hAnsi="Times New Roman"/>
          <w:kern w:val="0"/>
          <w:szCs w:val="20"/>
        </w:rPr>
        <w:t>构</w:t>
      </w:r>
      <w:r>
        <w:rPr>
          <w:rFonts w:ascii="宋体" w:hAnsi="Times New Roman"/>
          <w:kern w:val="0"/>
          <w:szCs w:val="20"/>
        </w:rPr>
        <w:t>件中预制部件的应用比例；</w:t>
      </w:r>
    </w:p>
    <w:p>
      <w:pPr>
        <w:autoSpaceDE w:val="0"/>
        <w:autoSpaceDN w:val="0"/>
        <w:adjustRightInd/>
        <w:spacing w:before="16" w:line="285" w:lineRule="auto"/>
        <w:ind w:left="1890" w:leftChars="600" w:right="606" w:hanging="630" w:hangingChars="300"/>
        <w:jc w:val="left"/>
        <w:rPr>
          <w:rFonts w:ascii="宋体" w:hAnsi="Times New Roman"/>
          <w:kern w:val="0"/>
          <w:szCs w:val="20"/>
        </w:rPr>
      </w:pPr>
      <w:r>
        <w:rPr>
          <w:rFonts w:ascii="宋体" w:hAnsi="Times New Roman"/>
          <w:kern w:val="0"/>
          <w:szCs w:val="20"/>
        </w:rPr>
        <w:t>A</w:t>
      </w:r>
      <w:r>
        <w:rPr>
          <w:rFonts w:ascii="宋体" w:hAnsi="Times New Roman"/>
          <w:kern w:val="0"/>
          <w:szCs w:val="20"/>
          <w:vertAlign w:val="subscript"/>
        </w:rPr>
        <w:t>1b</w:t>
      </w:r>
      <w:r>
        <w:rPr>
          <w:rFonts w:ascii="宋体" w:hAnsi="Times New Roman"/>
          <w:kern w:val="0"/>
          <w:szCs w:val="20"/>
        </w:rPr>
        <w:t>──各楼层中预制装配</w:t>
      </w:r>
      <w:bookmarkStart w:id="31" w:name="_Hlk512430997"/>
      <w:r>
        <w:rPr>
          <w:rFonts w:ascii="宋体" w:hAnsi="Times New Roman"/>
          <w:kern w:val="0"/>
          <w:szCs w:val="20"/>
        </w:rPr>
        <w:t>梁、板、楼梯、阳台、空调板</w:t>
      </w:r>
      <w:bookmarkEnd w:id="31"/>
      <w:r>
        <w:rPr>
          <w:rFonts w:hint="eastAsia" w:ascii="宋体" w:hAnsi="Times New Roman"/>
          <w:kern w:val="0"/>
          <w:szCs w:val="20"/>
        </w:rPr>
        <w:t>、凸窗挑板</w:t>
      </w:r>
      <w:r>
        <w:rPr>
          <w:rFonts w:ascii="宋体" w:hAnsi="Times New Roman"/>
          <w:kern w:val="0"/>
          <w:szCs w:val="20"/>
        </w:rPr>
        <w:t>等</w:t>
      </w:r>
      <w:r>
        <w:rPr>
          <w:rFonts w:hint="eastAsia" w:ascii="宋体" w:hAnsi="Times New Roman"/>
          <w:kern w:val="0"/>
          <w:szCs w:val="20"/>
        </w:rPr>
        <w:t>构</w:t>
      </w:r>
      <w:r>
        <w:rPr>
          <w:rFonts w:ascii="宋体" w:hAnsi="Times New Roman"/>
          <w:kern w:val="0"/>
          <w:szCs w:val="20"/>
        </w:rPr>
        <w:t>件的水平投影面积之和；</w:t>
      </w:r>
    </w:p>
    <w:p>
      <w:pPr>
        <w:autoSpaceDE w:val="0"/>
        <w:autoSpaceDN w:val="0"/>
        <w:adjustRightInd/>
        <w:spacing w:before="16" w:line="285" w:lineRule="auto"/>
        <w:ind w:left="1890" w:leftChars="600" w:right="606" w:hanging="630" w:hangingChars="300"/>
        <w:jc w:val="left"/>
        <w:rPr>
          <w:rFonts w:ascii="宋体" w:hAnsi="Times New Roman"/>
          <w:kern w:val="0"/>
          <w:szCs w:val="20"/>
        </w:rPr>
      </w:pPr>
      <w:r>
        <w:rPr>
          <w:rFonts w:ascii="宋体" w:hAnsi="Times New Roman"/>
          <w:kern w:val="0"/>
          <w:szCs w:val="20"/>
        </w:rPr>
        <w:t>A</w:t>
      </w:r>
      <w:r>
        <w:rPr>
          <w:rFonts w:ascii="宋体" w:hAnsi="Times New Roman"/>
          <w:kern w:val="0"/>
          <w:szCs w:val="20"/>
          <w:vertAlign w:val="subscript"/>
        </w:rPr>
        <w:t>1</w:t>
      </w:r>
      <w:r>
        <w:rPr>
          <w:rFonts w:ascii="宋体" w:hAnsi="Times New Roman"/>
          <w:kern w:val="0"/>
          <w:szCs w:val="20"/>
        </w:rPr>
        <w:t>──各楼层</w:t>
      </w:r>
      <w:r>
        <w:rPr>
          <w:rFonts w:hint="eastAsia" w:ascii="宋体" w:hAnsi="Times New Roman"/>
          <w:kern w:val="0"/>
          <w:szCs w:val="20"/>
        </w:rPr>
        <w:t>中</w:t>
      </w:r>
      <w:r>
        <w:rPr>
          <w:rFonts w:ascii="宋体" w:hAnsi="Times New Roman"/>
          <w:kern w:val="0"/>
          <w:szCs w:val="20"/>
        </w:rPr>
        <w:t>梁、板、楼梯、阳台、空调板</w:t>
      </w:r>
      <w:r>
        <w:rPr>
          <w:rFonts w:hint="eastAsia" w:ascii="宋体" w:hAnsi="Times New Roman"/>
          <w:kern w:val="0"/>
          <w:szCs w:val="20"/>
        </w:rPr>
        <w:t>、凸窗挑板</w:t>
      </w:r>
      <w:r>
        <w:rPr>
          <w:rFonts w:ascii="宋体" w:hAnsi="Times New Roman"/>
          <w:kern w:val="0"/>
          <w:szCs w:val="20"/>
        </w:rPr>
        <w:t>等水平受力构件水平投影面积之和。</w:t>
      </w:r>
    </w:p>
    <w:p>
      <w:pPr>
        <w:autoSpaceDE w:val="0"/>
        <w:autoSpaceDN w:val="0"/>
        <w:adjustRightInd/>
        <w:spacing w:line="240" w:lineRule="auto"/>
        <w:jc w:val="left"/>
        <w:rPr>
          <w:rFonts w:ascii="宋体" w:hAnsi="Times New Roman"/>
          <w:kern w:val="0"/>
          <w:szCs w:val="20"/>
        </w:rPr>
      </w:pPr>
      <w:r>
        <w:rPr>
          <w:rFonts w:ascii="黑体" w:hAnsi="黑体" w:eastAsia="黑体"/>
          <w:b/>
          <w:bCs/>
          <w:kern w:val="0"/>
          <w:szCs w:val="20"/>
        </w:rPr>
        <w:t>5.4</w:t>
      </w:r>
      <w:r>
        <w:rPr>
          <w:rFonts w:hint="eastAsia" w:ascii="宋体" w:hAnsi="Times New Roman"/>
          <w:kern w:val="0"/>
          <w:szCs w:val="20"/>
        </w:rPr>
        <w:t xml:space="preserve"> </w:t>
      </w:r>
      <w:r>
        <w:rPr>
          <w:rFonts w:ascii="宋体" w:hAnsi="Times New Roman"/>
          <w:kern w:val="0"/>
          <w:szCs w:val="20"/>
        </w:rPr>
        <w:t>非承重围护墙中非砌筑墙体</w:t>
      </w:r>
      <w:r>
        <w:rPr>
          <w:rFonts w:hint="eastAsia" w:ascii="宋体" w:hAnsi="Times New Roman"/>
          <w:kern w:val="0"/>
          <w:szCs w:val="20"/>
        </w:rPr>
        <w:t>和非现场浇筑墙体</w:t>
      </w:r>
      <w:r>
        <w:rPr>
          <w:rFonts w:ascii="宋体" w:hAnsi="Times New Roman"/>
          <w:kern w:val="0"/>
          <w:szCs w:val="20"/>
        </w:rPr>
        <w:t>的应用比例应按</w:t>
      </w:r>
      <w:r>
        <w:rPr>
          <w:rFonts w:hint="eastAsia" w:ascii="宋体" w:hAnsi="Times New Roman"/>
          <w:kern w:val="0"/>
          <w:szCs w:val="20"/>
        </w:rPr>
        <w:t>（公式</w:t>
      </w:r>
      <w:r>
        <w:rPr>
          <w:rFonts w:ascii="宋体" w:hAnsi="Times New Roman"/>
          <w:kern w:val="0"/>
          <w:szCs w:val="20"/>
        </w:rPr>
        <w:t>4</w:t>
      </w:r>
      <w:r>
        <w:rPr>
          <w:rFonts w:hint="eastAsia" w:ascii="宋体" w:hAnsi="Times New Roman"/>
          <w:kern w:val="0"/>
          <w:szCs w:val="20"/>
        </w:rPr>
        <w:t>）</w:t>
      </w:r>
      <w:r>
        <w:rPr>
          <w:rFonts w:ascii="宋体" w:hAnsi="Times New Roman"/>
          <w:kern w:val="0"/>
          <w:szCs w:val="20"/>
        </w:rPr>
        <w:t>计算：</w:t>
      </w:r>
    </w:p>
    <w:p>
      <w:pPr>
        <w:autoSpaceDE w:val="0"/>
        <w:autoSpaceDN w:val="0"/>
        <w:adjustRightInd/>
        <w:spacing w:line="240" w:lineRule="auto"/>
        <w:ind w:firstLine="3780" w:firstLineChars="1800"/>
        <w:jc w:val="left"/>
        <w:rPr>
          <w:rFonts w:ascii="宋体" w:hAnsi="Times New Roman"/>
          <w:kern w:val="0"/>
          <w:szCs w:val="20"/>
        </w:rPr>
        <w:sectPr>
          <w:footerReference r:id="rId10" w:type="default"/>
          <w:pgSz w:w="11906" w:h="16838"/>
          <w:pgMar w:top="1440" w:right="1800" w:bottom="1440" w:left="1800" w:header="851" w:footer="992" w:gutter="0"/>
          <w:cols w:space="425" w:num="1"/>
          <w:docGrid w:type="lines" w:linePitch="312" w:charSpace="0"/>
        </w:sectPr>
      </w:pPr>
      <w:r>
        <w:rPr>
          <w:rFonts w:ascii="宋体" w:hAnsi="Times New Roman"/>
          <w:kern w:val="0"/>
          <w:szCs w:val="20"/>
        </w:rPr>
        <w:t>Q</w:t>
      </w:r>
      <w:r>
        <w:rPr>
          <w:rFonts w:ascii="宋体" w:hAnsi="Times New Roman"/>
          <w:kern w:val="0"/>
          <w:szCs w:val="20"/>
          <w:vertAlign w:val="subscript"/>
        </w:rPr>
        <w:t>2a</w:t>
      </w:r>
      <w:r>
        <w:rPr>
          <w:rFonts w:ascii="宋体" w:hAnsi="Times New Roman"/>
          <w:kern w:val="0"/>
          <w:szCs w:val="20"/>
        </w:rPr>
        <w:t xml:space="preserve"> =A</w:t>
      </w:r>
      <w:r>
        <w:rPr>
          <w:rFonts w:ascii="宋体" w:hAnsi="Times New Roman"/>
          <w:kern w:val="0"/>
          <w:szCs w:val="20"/>
          <w:vertAlign w:val="subscript"/>
        </w:rPr>
        <w:t>2a</w:t>
      </w:r>
      <w:r>
        <w:rPr>
          <w:rFonts w:ascii="宋体" w:hAnsi="Times New Roman"/>
          <w:kern w:val="0"/>
          <w:szCs w:val="20"/>
        </w:rPr>
        <w:t>/A</w:t>
      </w:r>
      <w:r>
        <w:rPr>
          <w:rFonts w:ascii="宋体" w:hAnsi="Times New Roman"/>
          <w:kern w:val="0"/>
          <w:szCs w:val="20"/>
          <w:vertAlign w:val="subscript"/>
        </w:rPr>
        <w:t>w1</w:t>
      </w:r>
      <w:r>
        <w:rPr>
          <w:rFonts w:ascii="宋体" w:hAnsi="Times New Roman"/>
          <w:kern w:val="0"/>
          <w:szCs w:val="20"/>
        </w:rPr>
        <w:t>×100%</w:t>
      </w:r>
      <w:r>
        <w:rPr>
          <w:rFonts w:ascii="宋体" w:hAnsi="Times New Roman"/>
          <w:kern w:val="0"/>
          <w:szCs w:val="20"/>
        </w:rPr>
        <w:tab/>
      </w:r>
      <w:r>
        <w:rPr>
          <w:rFonts w:ascii="宋体" w:hAnsi="Times New Roman"/>
          <w:kern w:val="0"/>
          <w:szCs w:val="20"/>
        </w:rPr>
        <w:t xml:space="preserve">               </w:t>
      </w:r>
      <w:r>
        <w:rPr>
          <w:rFonts w:hint="eastAsia" w:ascii="宋体" w:hAnsi="Times New Roman"/>
          <w:kern w:val="0"/>
          <w:szCs w:val="20"/>
        </w:rPr>
        <w:t xml:space="preserve">         </w:t>
      </w:r>
    </w:p>
    <w:p>
      <w:pPr>
        <w:autoSpaceDE w:val="0"/>
        <w:autoSpaceDN w:val="0"/>
        <w:adjustRightInd/>
        <w:spacing w:line="240" w:lineRule="auto"/>
        <w:ind w:firstLine="3780" w:firstLineChars="1800"/>
        <w:jc w:val="left"/>
        <w:rPr>
          <w:rFonts w:ascii="宋体" w:hAnsi="Times New Roman"/>
          <w:kern w:val="0"/>
          <w:szCs w:val="20"/>
        </w:rPr>
      </w:pPr>
      <w:r>
        <w:rPr>
          <w:rFonts w:hint="eastAsia" w:ascii="宋体" w:hAnsi="Times New Roman"/>
          <w:kern w:val="0"/>
          <w:szCs w:val="20"/>
        </w:rPr>
        <w:t>（</w:t>
      </w:r>
      <w:r>
        <w:rPr>
          <w:rFonts w:hint="eastAsia"/>
        </w:rPr>
        <w:t>公式</w:t>
      </w:r>
      <w:r>
        <w:rPr>
          <w:rFonts w:hint="eastAsia" w:ascii="宋体" w:hAnsi="Times New Roman"/>
          <w:kern w:val="0"/>
          <w:szCs w:val="20"/>
        </w:rPr>
        <w:t>4）</w:t>
      </w:r>
    </w:p>
    <w:p>
      <w:pPr>
        <w:autoSpaceDE w:val="0"/>
        <w:autoSpaceDN w:val="0"/>
        <w:adjustRightInd/>
        <w:spacing w:before="16" w:line="285" w:lineRule="auto"/>
        <w:ind w:left="2080" w:right="606" w:hanging="1440"/>
        <w:jc w:val="left"/>
        <w:rPr>
          <w:rFonts w:ascii="宋体" w:hAnsi="Times New Roman"/>
          <w:kern w:val="0"/>
          <w:szCs w:val="20"/>
        </w:rPr>
      </w:pPr>
      <w:r>
        <w:rPr>
          <w:rFonts w:ascii="宋体" w:hAnsi="Times New Roman"/>
          <w:kern w:val="0"/>
          <w:szCs w:val="20"/>
        </w:rPr>
        <w:t>式中：Q</w:t>
      </w:r>
      <w:r>
        <w:rPr>
          <w:rFonts w:ascii="宋体" w:hAnsi="Times New Roman"/>
          <w:kern w:val="0"/>
          <w:szCs w:val="20"/>
          <w:vertAlign w:val="subscript"/>
        </w:rPr>
        <w:t>2a</w:t>
      </w:r>
      <w:r>
        <w:rPr>
          <w:rFonts w:ascii="宋体" w:hAnsi="Times New Roman"/>
          <w:kern w:val="0"/>
          <w:szCs w:val="20"/>
        </w:rPr>
        <w:t>──非承重围护墙中非砌筑墙体</w:t>
      </w:r>
      <w:r>
        <w:rPr>
          <w:rFonts w:hint="eastAsia" w:ascii="宋体" w:hAnsi="Times New Roman"/>
          <w:kern w:val="0"/>
          <w:szCs w:val="20"/>
        </w:rPr>
        <w:t>和非现场浇筑墙体</w:t>
      </w:r>
      <w:r>
        <w:rPr>
          <w:rFonts w:ascii="宋体" w:hAnsi="Times New Roman"/>
          <w:kern w:val="0"/>
          <w:szCs w:val="20"/>
        </w:rPr>
        <w:t>的应用比例</w:t>
      </w:r>
      <w:r>
        <w:rPr>
          <w:rFonts w:hint="eastAsia" w:ascii="宋体" w:hAnsi="Times New Roman"/>
          <w:kern w:val="0"/>
          <w:szCs w:val="20"/>
        </w:rPr>
        <w:t>；</w:t>
      </w:r>
    </w:p>
    <w:p>
      <w:pPr>
        <w:autoSpaceDE w:val="0"/>
        <w:autoSpaceDN w:val="0"/>
        <w:adjustRightInd/>
        <w:spacing w:before="16" w:line="285" w:lineRule="auto"/>
        <w:ind w:left="1890" w:leftChars="600" w:right="606" w:hanging="630" w:hangingChars="300"/>
        <w:jc w:val="left"/>
        <w:rPr>
          <w:rFonts w:ascii="宋体" w:hAnsi="Times New Roman"/>
          <w:kern w:val="0"/>
          <w:szCs w:val="20"/>
        </w:rPr>
      </w:pPr>
      <w:r>
        <w:rPr>
          <w:rFonts w:ascii="宋体" w:hAnsi="Times New Roman"/>
          <w:kern w:val="0"/>
          <w:szCs w:val="20"/>
        </w:rPr>
        <w:t>A</w:t>
      </w:r>
      <w:r>
        <w:rPr>
          <w:rFonts w:ascii="宋体" w:hAnsi="Times New Roman"/>
          <w:kern w:val="0"/>
          <w:szCs w:val="20"/>
          <w:vertAlign w:val="subscript"/>
        </w:rPr>
        <w:t>2a</w:t>
      </w:r>
      <w:r>
        <w:rPr>
          <w:rFonts w:ascii="宋体" w:hAnsi="Times New Roman"/>
          <w:kern w:val="0"/>
          <w:szCs w:val="20"/>
        </w:rPr>
        <w:t>──各楼层非承重围护墙中非砌筑墙体</w:t>
      </w:r>
      <w:r>
        <w:rPr>
          <w:rFonts w:hint="eastAsia" w:ascii="宋体" w:hAnsi="Times New Roman"/>
          <w:kern w:val="0"/>
          <w:szCs w:val="20"/>
        </w:rPr>
        <w:t>和非现场浇筑墙体</w:t>
      </w:r>
      <w:r>
        <w:rPr>
          <w:rFonts w:ascii="宋体" w:hAnsi="Times New Roman"/>
          <w:kern w:val="0"/>
          <w:szCs w:val="20"/>
        </w:rPr>
        <w:t>的外表面积之和，计算时可不扣除门、窗及预留洞口等的面积</w:t>
      </w:r>
      <w:r>
        <w:rPr>
          <w:rFonts w:hint="eastAsia" w:ascii="宋体" w:hAnsi="Times New Roman"/>
          <w:kern w:val="0"/>
          <w:szCs w:val="20"/>
        </w:rPr>
        <w:t>；</w:t>
      </w:r>
    </w:p>
    <w:p>
      <w:pPr>
        <w:autoSpaceDE w:val="0"/>
        <w:autoSpaceDN w:val="0"/>
        <w:adjustRightInd/>
        <w:spacing w:before="16" w:line="285" w:lineRule="auto"/>
        <w:ind w:left="1890" w:leftChars="600" w:right="606" w:hanging="630" w:hangingChars="300"/>
        <w:jc w:val="left"/>
        <w:rPr>
          <w:rFonts w:ascii="宋体" w:hAnsi="Times New Roman"/>
          <w:kern w:val="0"/>
          <w:szCs w:val="20"/>
        </w:rPr>
      </w:pPr>
      <w:r>
        <w:rPr>
          <w:rFonts w:ascii="宋体" w:hAnsi="Times New Roman"/>
          <w:kern w:val="0"/>
          <w:szCs w:val="20"/>
        </w:rPr>
        <w:t>A</w:t>
      </w:r>
      <w:r>
        <w:rPr>
          <w:rFonts w:ascii="宋体" w:hAnsi="Times New Roman"/>
          <w:kern w:val="0"/>
          <w:szCs w:val="20"/>
          <w:vertAlign w:val="subscript"/>
        </w:rPr>
        <w:t>w1</w:t>
      </w:r>
      <w:r>
        <w:rPr>
          <w:rFonts w:ascii="宋体" w:hAnsi="Times New Roman"/>
          <w:kern w:val="0"/>
          <w:szCs w:val="20"/>
        </w:rPr>
        <w:t>──各楼层非承重围护墙外表面积总面积，计算时可不扣除门、窗及预留洞口等的面积</w:t>
      </w:r>
      <w:r>
        <w:rPr>
          <w:rFonts w:hint="eastAsia" w:ascii="宋体" w:hAnsi="Times New Roman"/>
          <w:kern w:val="0"/>
          <w:szCs w:val="20"/>
        </w:rPr>
        <w:t>。</w:t>
      </w:r>
    </w:p>
    <w:p>
      <w:pPr>
        <w:autoSpaceDE w:val="0"/>
        <w:autoSpaceDN w:val="0"/>
        <w:adjustRightInd/>
        <w:spacing w:line="240" w:lineRule="auto"/>
        <w:jc w:val="left"/>
        <w:rPr>
          <w:rFonts w:ascii="宋体" w:hAnsi="Times New Roman"/>
          <w:kern w:val="0"/>
          <w:szCs w:val="20"/>
        </w:rPr>
      </w:pPr>
      <w:r>
        <w:rPr>
          <w:rFonts w:ascii="黑体" w:hAnsi="黑体" w:eastAsia="黑体"/>
          <w:b/>
          <w:bCs/>
          <w:kern w:val="0"/>
          <w:szCs w:val="20"/>
        </w:rPr>
        <w:t>5.5</w:t>
      </w:r>
      <w:r>
        <w:rPr>
          <w:rFonts w:ascii="宋体" w:hAnsi="Times New Roman"/>
          <w:kern w:val="0"/>
          <w:szCs w:val="20"/>
        </w:rPr>
        <w:t xml:space="preserve"> </w:t>
      </w:r>
      <w:r>
        <w:rPr>
          <w:rFonts w:hint="eastAsia" w:ascii="宋体" w:hAnsi="Times New Roman"/>
          <w:kern w:val="0"/>
          <w:szCs w:val="20"/>
        </w:rPr>
        <w:t>围护墙采用</w:t>
      </w:r>
      <w:bookmarkStart w:id="32" w:name="_Hlk511920603"/>
      <w:r>
        <w:rPr>
          <w:rFonts w:hint="eastAsia" w:ascii="宋体" w:hAnsi="Times New Roman"/>
          <w:kern w:val="0"/>
          <w:szCs w:val="20"/>
        </w:rPr>
        <w:t>墙体保温装饰一体化或采用墙体保温一体化或采用保温装饰一体化</w:t>
      </w:r>
      <w:r>
        <w:rPr>
          <w:rFonts w:ascii="宋体" w:hAnsi="Times New Roman"/>
          <w:kern w:val="0"/>
          <w:szCs w:val="20"/>
        </w:rPr>
        <w:t>的</w:t>
      </w:r>
      <w:bookmarkEnd w:id="32"/>
      <w:r>
        <w:rPr>
          <w:rFonts w:hint="eastAsia" w:ascii="宋体" w:hAnsi="Times New Roman"/>
          <w:kern w:val="0"/>
          <w:szCs w:val="20"/>
        </w:rPr>
        <w:t>应用比例应按（公式</w:t>
      </w:r>
      <w:r>
        <w:rPr>
          <w:rFonts w:ascii="宋体" w:hAnsi="Times New Roman"/>
          <w:kern w:val="0"/>
          <w:szCs w:val="20"/>
        </w:rPr>
        <w:t>5</w:t>
      </w:r>
      <w:r>
        <w:rPr>
          <w:rFonts w:hint="eastAsia" w:ascii="宋体" w:hAnsi="Times New Roman"/>
          <w:kern w:val="0"/>
          <w:szCs w:val="20"/>
        </w:rPr>
        <w:t xml:space="preserve">）计算： </w:t>
      </w:r>
      <w:r>
        <w:rPr>
          <w:rFonts w:ascii="宋体" w:hAnsi="Times New Roman"/>
          <w:kern w:val="0"/>
          <w:szCs w:val="20"/>
        </w:rPr>
        <w:t xml:space="preserve"> </w:t>
      </w:r>
    </w:p>
    <w:p>
      <w:pPr>
        <w:autoSpaceDE w:val="0"/>
        <w:autoSpaceDN w:val="0"/>
        <w:adjustRightInd/>
        <w:spacing w:line="240" w:lineRule="auto"/>
        <w:ind w:firstLine="3780" w:firstLineChars="1800"/>
        <w:jc w:val="left"/>
        <w:rPr>
          <w:rFonts w:ascii="宋体" w:hAnsi="Times New Roman"/>
          <w:kern w:val="0"/>
          <w:szCs w:val="20"/>
        </w:rPr>
      </w:pPr>
      <w:r>
        <w:rPr>
          <w:rFonts w:hint="eastAsia" w:ascii="宋体" w:hAnsi="Times New Roman"/>
          <w:kern w:val="0"/>
          <w:szCs w:val="20"/>
        </w:rPr>
        <w:t>Q</w:t>
      </w:r>
      <w:r>
        <w:rPr>
          <w:rFonts w:hint="eastAsia" w:ascii="宋体" w:hAnsi="Times New Roman"/>
          <w:kern w:val="0"/>
          <w:szCs w:val="20"/>
          <w:vertAlign w:val="subscript"/>
        </w:rPr>
        <w:t>2b</w:t>
      </w:r>
      <w:r>
        <w:rPr>
          <w:rFonts w:hint="eastAsia" w:ascii="宋体" w:hAnsi="Times New Roman"/>
          <w:kern w:val="0"/>
          <w:szCs w:val="20"/>
        </w:rPr>
        <w:t>=A</w:t>
      </w:r>
      <w:r>
        <w:rPr>
          <w:rFonts w:hint="eastAsia" w:ascii="宋体" w:hAnsi="Times New Roman"/>
          <w:kern w:val="0"/>
          <w:szCs w:val="20"/>
          <w:vertAlign w:val="subscript"/>
        </w:rPr>
        <w:t>2b</w:t>
      </w:r>
      <w:r>
        <w:rPr>
          <w:rFonts w:hint="eastAsia" w:ascii="宋体" w:hAnsi="Times New Roman"/>
          <w:kern w:val="0"/>
          <w:szCs w:val="20"/>
        </w:rPr>
        <w:t>/A</w:t>
      </w:r>
      <w:r>
        <w:rPr>
          <w:rFonts w:hint="eastAsia" w:ascii="宋体" w:hAnsi="Times New Roman"/>
          <w:kern w:val="0"/>
          <w:szCs w:val="20"/>
          <w:vertAlign w:val="subscript"/>
        </w:rPr>
        <w:t>w2</w:t>
      </w:r>
      <w:r>
        <w:rPr>
          <w:rFonts w:hint="eastAsia" w:ascii="宋体" w:hAnsi="Times New Roman"/>
          <w:kern w:val="0"/>
          <w:szCs w:val="20"/>
        </w:rPr>
        <w:t>×100%</w:t>
      </w:r>
      <w:r>
        <w:rPr>
          <w:rFonts w:hint="eastAsia" w:ascii="宋体" w:hAnsi="Times New Roman"/>
          <w:kern w:val="0"/>
          <w:szCs w:val="20"/>
        </w:rPr>
        <w:tab/>
      </w:r>
      <w:r>
        <w:rPr>
          <w:rFonts w:ascii="宋体" w:hAnsi="Times New Roman"/>
          <w:kern w:val="0"/>
          <w:szCs w:val="20"/>
        </w:rPr>
        <w:t xml:space="preserve">                 </w:t>
      </w:r>
      <w:r>
        <w:rPr>
          <w:rFonts w:hint="eastAsia" w:ascii="宋体" w:hAnsi="Times New Roman"/>
          <w:kern w:val="0"/>
          <w:szCs w:val="20"/>
        </w:rPr>
        <w:t xml:space="preserve">         （</w:t>
      </w:r>
      <w:r>
        <w:rPr>
          <w:rFonts w:hint="eastAsia"/>
        </w:rPr>
        <w:t>公式</w:t>
      </w:r>
      <w:r>
        <w:rPr>
          <w:rFonts w:hint="eastAsia" w:ascii="宋体" w:hAnsi="Times New Roman"/>
          <w:kern w:val="0"/>
          <w:szCs w:val="20"/>
        </w:rPr>
        <w:t>5）</w:t>
      </w:r>
    </w:p>
    <w:p>
      <w:pPr>
        <w:autoSpaceDE w:val="0"/>
        <w:autoSpaceDN w:val="0"/>
        <w:adjustRightInd/>
        <w:spacing w:before="16" w:line="285" w:lineRule="auto"/>
        <w:ind w:left="2080" w:right="606" w:hanging="1440"/>
        <w:jc w:val="left"/>
        <w:rPr>
          <w:rFonts w:ascii="宋体" w:hAnsi="Times New Roman"/>
          <w:kern w:val="0"/>
          <w:szCs w:val="20"/>
        </w:rPr>
      </w:pPr>
      <w:r>
        <w:rPr>
          <w:rFonts w:hint="eastAsia" w:ascii="宋体" w:hAnsi="Times New Roman"/>
          <w:kern w:val="0"/>
          <w:szCs w:val="20"/>
        </w:rPr>
        <w:t>式中：Q</w:t>
      </w:r>
      <w:r>
        <w:rPr>
          <w:rFonts w:hint="eastAsia" w:ascii="宋体" w:hAnsi="Times New Roman"/>
          <w:kern w:val="0"/>
          <w:szCs w:val="20"/>
          <w:vertAlign w:val="subscript"/>
        </w:rPr>
        <w:t>2b</w:t>
      </w:r>
      <w:r>
        <w:rPr>
          <w:rFonts w:hint="eastAsia" w:ascii="宋体" w:hAnsi="Times New Roman"/>
          <w:kern w:val="0"/>
          <w:szCs w:val="20"/>
        </w:rPr>
        <w:t xml:space="preserve">──围护墙采用墙体保温装饰一体化或采用墙体保温一体化或采用保温装饰一体化的应用比例； </w:t>
      </w:r>
    </w:p>
    <w:p>
      <w:pPr>
        <w:autoSpaceDE w:val="0"/>
        <w:autoSpaceDN w:val="0"/>
        <w:adjustRightInd/>
        <w:spacing w:before="16" w:line="285" w:lineRule="auto"/>
        <w:ind w:left="1890" w:leftChars="600" w:right="606" w:hanging="630" w:hangingChars="300"/>
        <w:jc w:val="left"/>
        <w:rPr>
          <w:rFonts w:ascii="宋体" w:hAnsi="Times New Roman"/>
          <w:kern w:val="0"/>
          <w:szCs w:val="20"/>
        </w:rPr>
      </w:pPr>
      <w:r>
        <w:rPr>
          <w:rFonts w:hint="eastAsia" w:ascii="宋体" w:hAnsi="Times New Roman"/>
          <w:kern w:val="0"/>
          <w:szCs w:val="20"/>
        </w:rPr>
        <w:t>A</w:t>
      </w:r>
      <w:r>
        <w:rPr>
          <w:rFonts w:hint="eastAsia" w:ascii="宋体" w:hAnsi="Times New Roman"/>
          <w:kern w:val="0"/>
          <w:szCs w:val="20"/>
          <w:vertAlign w:val="subscript"/>
        </w:rPr>
        <w:t>2b</w:t>
      </w:r>
      <w:r>
        <w:rPr>
          <w:rFonts w:hint="eastAsia" w:ascii="宋体" w:hAnsi="Times New Roman"/>
          <w:kern w:val="0"/>
          <w:szCs w:val="20"/>
        </w:rPr>
        <w:t>──各楼层围护墙采用墙体保温装饰一体化或采用墙体保温一体化或采用保温装饰一体化的墙面外表面积之和，计算时可不扣除门、窗及预留洞口等的面积；</w:t>
      </w:r>
    </w:p>
    <w:p>
      <w:pPr>
        <w:autoSpaceDE w:val="0"/>
        <w:autoSpaceDN w:val="0"/>
        <w:adjustRightInd/>
        <w:spacing w:before="16" w:line="285" w:lineRule="auto"/>
        <w:ind w:left="1890" w:leftChars="600" w:right="606" w:hanging="630" w:hangingChars="300"/>
        <w:jc w:val="left"/>
        <w:rPr>
          <w:rFonts w:ascii="宋体" w:hAnsi="Times New Roman"/>
          <w:kern w:val="0"/>
          <w:szCs w:val="20"/>
        </w:rPr>
      </w:pPr>
      <w:r>
        <w:rPr>
          <w:rFonts w:hint="eastAsia" w:ascii="宋体" w:hAnsi="Times New Roman"/>
          <w:kern w:val="0"/>
          <w:szCs w:val="20"/>
        </w:rPr>
        <w:t>A</w:t>
      </w:r>
      <w:r>
        <w:rPr>
          <w:rFonts w:hint="eastAsia" w:ascii="宋体" w:hAnsi="Times New Roman"/>
          <w:kern w:val="0"/>
          <w:szCs w:val="20"/>
          <w:vertAlign w:val="subscript"/>
        </w:rPr>
        <w:t>w2</w:t>
      </w:r>
      <w:r>
        <w:rPr>
          <w:rFonts w:hint="eastAsia" w:ascii="宋体" w:hAnsi="Times New Roman"/>
          <w:kern w:val="0"/>
          <w:szCs w:val="20"/>
        </w:rPr>
        <w:t>──各楼层围护墙外表面积总面积，计算时可不扣除门、窗及预留洞口等的面积。</w:t>
      </w:r>
    </w:p>
    <w:p>
      <w:pPr>
        <w:autoSpaceDE w:val="0"/>
        <w:autoSpaceDN w:val="0"/>
        <w:adjustRightInd/>
        <w:spacing w:before="16" w:line="285" w:lineRule="auto"/>
        <w:ind w:right="606"/>
        <w:jc w:val="left"/>
        <w:rPr>
          <w:rFonts w:ascii="宋体" w:hAnsi="Times New Roman"/>
          <w:kern w:val="0"/>
          <w:szCs w:val="20"/>
        </w:rPr>
      </w:pPr>
      <w:r>
        <w:rPr>
          <w:rFonts w:ascii="黑体" w:hAnsi="黑体" w:eastAsia="黑体"/>
          <w:b/>
          <w:bCs/>
          <w:kern w:val="0"/>
          <w:szCs w:val="20"/>
        </w:rPr>
        <w:t>5.6</w:t>
      </w:r>
      <w:r>
        <w:rPr>
          <w:rFonts w:ascii="宋体" w:hAnsi="Times New Roman"/>
          <w:kern w:val="0"/>
          <w:szCs w:val="20"/>
        </w:rPr>
        <w:t xml:space="preserve"> </w:t>
      </w:r>
      <w:r>
        <w:rPr>
          <w:rFonts w:hint="eastAsia" w:ascii="宋体" w:hAnsi="Times New Roman"/>
          <w:kern w:val="0"/>
          <w:szCs w:val="20"/>
        </w:rPr>
        <w:t>内隔墙中非砌筑墙体的应用比例应按（公式</w:t>
      </w:r>
      <w:r>
        <w:rPr>
          <w:rFonts w:ascii="宋体" w:hAnsi="Times New Roman"/>
          <w:kern w:val="0"/>
          <w:szCs w:val="20"/>
        </w:rPr>
        <w:t>6</w:t>
      </w:r>
      <w:r>
        <w:rPr>
          <w:rFonts w:hint="eastAsia" w:ascii="宋体" w:hAnsi="Times New Roman"/>
          <w:kern w:val="0"/>
          <w:szCs w:val="20"/>
        </w:rPr>
        <w:t>）计算：</w:t>
      </w:r>
    </w:p>
    <w:p>
      <w:pPr>
        <w:autoSpaceDE w:val="0"/>
        <w:autoSpaceDN w:val="0"/>
        <w:adjustRightInd/>
        <w:spacing w:line="240" w:lineRule="auto"/>
        <w:ind w:firstLine="3780" w:firstLineChars="1800"/>
        <w:jc w:val="left"/>
        <w:rPr>
          <w:rFonts w:ascii="宋体" w:hAnsi="Times New Roman"/>
          <w:kern w:val="0"/>
          <w:szCs w:val="20"/>
        </w:rPr>
      </w:pPr>
      <w:r>
        <w:rPr>
          <w:rFonts w:ascii="宋体" w:hAnsi="Times New Roman"/>
          <w:kern w:val="0"/>
          <w:szCs w:val="20"/>
        </w:rPr>
        <w:t>Q</w:t>
      </w:r>
      <w:r>
        <w:rPr>
          <w:rFonts w:ascii="宋体" w:hAnsi="Times New Roman"/>
          <w:kern w:val="0"/>
          <w:szCs w:val="20"/>
          <w:vertAlign w:val="subscript"/>
        </w:rPr>
        <w:t>2c</w:t>
      </w:r>
      <w:r>
        <w:rPr>
          <w:rFonts w:ascii="宋体" w:hAnsi="Times New Roman"/>
          <w:kern w:val="0"/>
          <w:szCs w:val="20"/>
        </w:rPr>
        <w:t>=A</w:t>
      </w:r>
      <w:r>
        <w:rPr>
          <w:rFonts w:ascii="宋体" w:hAnsi="Times New Roman"/>
          <w:kern w:val="0"/>
          <w:szCs w:val="20"/>
          <w:vertAlign w:val="subscript"/>
        </w:rPr>
        <w:t>2c</w:t>
      </w:r>
      <w:r>
        <w:rPr>
          <w:rFonts w:ascii="宋体" w:hAnsi="Times New Roman"/>
          <w:kern w:val="0"/>
          <w:szCs w:val="20"/>
        </w:rPr>
        <w:t>/A</w:t>
      </w:r>
      <w:r>
        <w:rPr>
          <w:rFonts w:ascii="宋体" w:hAnsi="Times New Roman"/>
          <w:kern w:val="0"/>
          <w:szCs w:val="20"/>
          <w:vertAlign w:val="subscript"/>
        </w:rPr>
        <w:t>w3</w:t>
      </w:r>
      <w:r>
        <w:rPr>
          <w:rFonts w:ascii="宋体" w:hAnsi="Times New Roman"/>
          <w:kern w:val="0"/>
          <w:szCs w:val="20"/>
        </w:rPr>
        <w:t>×100%</w:t>
      </w:r>
      <w:r>
        <w:rPr>
          <w:rFonts w:ascii="宋体" w:hAnsi="Times New Roman"/>
          <w:kern w:val="0"/>
          <w:szCs w:val="20"/>
        </w:rPr>
        <w:tab/>
      </w:r>
      <w:r>
        <w:rPr>
          <w:rFonts w:ascii="宋体" w:hAnsi="Times New Roman"/>
          <w:kern w:val="0"/>
          <w:szCs w:val="20"/>
        </w:rPr>
        <w:t xml:space="preserve">                         </w:t>
      </w:r>
      <w:r>
        <w:rPr>
          <w:rFonts w:hint="eastAsia" w:ascii="宋体" w:hAnsi="Times New Roman"/>
          <w:kern w:val="0"/>
          <w:szCs w:val="20"/>
        </w:rPr>
        <w:t xml:space="preserve"> （</w:t>
      </w:r>
      <w:r>
        <w:rPr>
          <w:rFonts w:hint="eastAsia"/>
        </w:rPr>
        <w:t>公式</w:t>
      </w:r>
      <w:r>
        <w:rPr>
          <w:rFonts w:hint="eastAsia" w:ascii="宋体" w:hAnsi="Times New Roman"/>
          <w:kern w:val="0"/>
          <w:szCs w:val="20"/>
        </w:rPr>
        <w:t>6）</w:t>
      </w:r>
    </w:p>
    <w:p>
      <w:pPr>
        <w:autoSpaceDE w:val="0"/>
        <w:autoSpaceDN w:val="0"/>
        <w:adjustRightInd/>
        <w:spacing w:before="16" w:line="285" w:lineRule="auto"/>
        <w:ind w:left="2080" w:right="606" w:hanging="1440"/>
        <w:jc w:val="left"/>
        <w:rPr>
          <w:rFonts w:ascii="宋体" w:hAnsi="Times New Roman"/>
          <w:kern w:val="0"/>
          <w:szCs w:val="20"/>
        </w:rPr>
      </w:pPr>
      <w:r>
        <w:rPr>
          <w:rFonts w:hint="eastAsia" w:ascii="宋体" w:hAnsi="Times New Roman"/>
          <w:kern w:val="0"/>
          <w:szCs w:val="20"/>
        </w:rPr>
        <w:t>式中：Q</w:t>
      </w:r>
      <w:r>
        <w:rPr>
          <w:rFonts w:hint="eastAsia" w:ascii="宋体" w:hAnsi="Times New Roman"/>
          <w:kern w:val="0"/>
          <w:szCs w:val="20"/>
          <w:vertAlign w:val="subscript"/>
        </w:rPr>
        <w:t>2c</w:t>
      </w:r>
      <w:r>
        <w:rPr>
          <w:rFonts w:hint="eastAsia" w:ascii="宋体" w:hAnsi="Times New Roman"/>
          <w:kern w:val="0"/>
          <w:szCs w:val="20"/>
        </w:rPr>
        <w:t>──内隔墙中非砌筑墙体的应用比例；</w:t>
      </w:r>
    </w:p>
    <w:p>
      <w:pPr>
        <w:autoSpaceDE w:val="0"/>
        <w:autoSpaceDN w:val="0"/>
        <w:adjustRightInd/>
        <w:spacing w:line="240" w:lineRule="auto"/>
        <w:ind w:left="1890" w:leftChars="600" w:hanging="630" w:hangingChars="300"/>
        <w:jc w:val="left"/>
        <w:rPr>
          <w:rFonts w:ascii="宋体" w:hAnsi="Times New Roman"/>
          <w:kern w:val="0"/>
          <w:szCs w:val="20"/>
        </w:rPr>
      </w:pPr>
      <w:r>
        <w:rPr>
          <w:rFonts w:hint="eastAsia" w:ascii="宋体" w:hAnsi="Times New Roman"/>
          <w:kern w:val="0"/>
          <w:szCs w:val="20"/>
        </w:rPr>
        <w:t>A</w:t>
      </w:r>
      <w:r>
        <w:rPr>
          <w:rFonts w:hint="eastAsia" w:ascii="宋体" w:hAnsi="Times New Roman"/>
          <w:kern w:val="0"/>
          <w:szCs w:val="20"/>
          <w:vertAlign w:val="subscript"/>
        </w:rPr>
        <w:t>2c</w:t>
      </w:r>
      <w:r>
        <w:rPr>
          <w:rFonts w:hint="eastAsia" w:ascii="宋体" w:hAnsi="Times New Roman"/>
          <w:kern w:val="0"/>
          <w:szCs w:val="20"/>
        </w:rPr>
        <w:t>──各楼层内隔墙中非砌筑墙体的墙面面积之和，计算时可不扣除门、窗及预留洞口等的面积；</w:t>
      </w:r>
    </w:p>
    <w:p>
      <w:pPr>
        <w:autoSpaceDE w:val="0"/>
        <w:autoSpaceDN w:val="0"/>
        <w:adjustRightInd/>
        <w:spacing w:line="240" w:lineRule="auto"/>
        <w:ind w:left="210" w:leftChars="100" w:firstLine="1050" w:firstLineChars="500"/>
        <w:jc w:val="left"/>
        <w:rPr>
          <w:rFonts w:ascii="宋体" w:hAnsi="Times New Roman"/>
          <w:kern w:val="0"/>
          <w:szCs w:val="20"/>
        </w:rPr>
      </w:pPr>
      <w:r>
        <w:rPr>
          <w:rFonts w:hint="eastAsia" w:ascii="宋体" w:hAnsi="Times New Roman"/>
          <w:kern w:val="0"/>
          <w:szCs w:val="20"/>
        </w:rPr>
        <w:t>A</w:t>
      </w:r>
      <w:r>
        <w:rPr>
          <w:rFonts w:hint="eastAsia" w:ascii="宋体" w:hAnsi="Times New Roman"/>
          <w:kern w:val="0"/>
          <w:szCs w:val="20"/>
          <w:vertAlign w:val="subscript"/>
        </w:rPr>
        <w:t>w3</w:t>
      </w:r>
      <w:r>
        <w:rPr>
          <w:rFonts w:hint="eastAsia" w:ascii="宋体" w:hAnsi="Times New Roman"/>
          <w:kern w:val="0"/>
          <w:szCs w:val="20"/>
        </w:rPr>
        <w:t>──各楼层内隔墙墙面总面积，计算时可不扣除门、窗及预留洞口等的面积。</w:t>
      </w:r>
    </w:p>
    <w:p>
      <w:pPr>
        <w:autoSpaceDE w:val="0"/>
        <w:autoSpaceDN w:val="0"/>
        <w:adjustRightInd/>
        <w:spacing w:line="240" w:lineRule="auto"/>
        <w:jc w:val="left"/>
        <w:rPr>
          <w:rFonts w:ascii="宋体" w:hAnsi="Times New Roman"/>
          <w:kern w:val="0"/>
          <w:szCs w:val="20"/>
        </w:rPr>
      </w:pPr>
      <w:r>
        <w:rPr>
          <w:rFonts w:ascii="黑体" w:hAnsi="黑体" w:eastAsia="黑体"/>
          <w:b/>
          <w:bCs/>
          <w:kern w:val="0"/>
          <w:szCs w:val="20"/>
        </w:rPr>
        <w:t>5.7</w:t>
      </w:r>
      <w:r>
        <w:rPr>
          <w:rFonts w:ascii="宋体" w:hAnsi="Times New Roman"/>
          <w:kern w:val="0"/>
          <w:szCs w:val="20"/>
        </w:rPr>
        <w:t xml:space="preserve"> </w:t>
      </w:r>
      <w:r>
        <w:rPr>
          <w:rFonts w:hint="eastAsia" w:ascii="宋体" w:hAnsi="Times New Roman"/>
          <w:kern w:val="0"/>
          <w:szCs w:val="20"/>
        </w:rPr>
        <w:t>内隔墙</w:t>
      </w:r>
      <w:r>
        <w:rPr>
          <w:rFonts w:ascii="宋体" w:hAnsi="Times New Roman"/>
          <w:kern w:val="0"/>
          <w:szCs w:val="20"/>
        </w:rPr>
        <w:t>采用墙体、管线、装修一体化或采用墙体、管线一体化</w:t>
      </w:r>
      <w:r>
        <w:rPr>
          <w:rFonts w:hint="eastAsia" w:ascii="宋体" w:hAnsi="Times New Roman"/>
          <w:kern w:val="0"/>
          <w:szCs w:val="20"/>
        </w:rPr>
        <w:t>的应用比例应按（公式</w:t>
      </w:r>
      <w:r>
        <w:rPr>
          <w:rFonts w:ascii="宋体" w:hAnsi="Times New Roman"/>
          <w:kern w:val="0"/>
          <w:szCs w:val="20"/>
        </w:rPr>
        <w:t>7</w:t>
      </w:r>
      <w:r>
        <w:rPr>
          <w:rFonts w:hint="eastAsia" w:ascii="宋体" w:hAnsi="Times New Roman"/>
          <w:kern w:val="0"/>
          <w:szCs w:val="20"/>
        </w:rPr>
        <w:t>）计算：</w:t>
      </w:r>
    </w:p>
    <w:p>
      <w:pPr>
        <w:autoSpaceDE w:val="0"/>
        <w:autoSpaceDN w:val="0"/>
        <w:adjustRightInd/>
        <w:spacing w:line="240" w:lineRule="auto"/>
        <w:ind w:firstLine="3780" w:firstLineChars="1800"/>
        <w:jc w:val="left"/>
        <w:rPr>
          <w:rFonts w:ascii="宋体" w:hAnsi="Times New Roman"/>
          <w:kern w:val="0"/>
          <w:szCs w:val="20"/>
        </w:rPr>
      </w:pPr>
      <w:r>
        <w:rPr>
          <w:rFonts w:hint="eastAsia" w:ascii="宋体" w:hAnsi="Times New Roman"/>
          <w:kern w:val="0"/>
          <w:szCs w:val="20"/>
        </w:rPr>
        <w:t>Q</w:t>
      </w:r>
      <w:r>
        <w:rPr>
          <w:rFonts w:hint="eastAsia" w:ascii="宋体" w:hAnsi="Times New Roman"/>
          <w:kern w:val="0"/>
          <w:szCs w:val="20"/>
          <w:vertAlign w:val="subscript"/>
        </w:rPr>
        <w:t>2d</w:t>
      </w:r>
      <w:r>
        <w:rPr>
          <w:rFonts w:hint="eastAsia" w:ascii="宋体" w:hAnsi="Times New Roman"/>
          <w:kern w:val="0"/>
          <w:szCs w:val="20"/>
        </w:rPr>
        <w:t>=A</w:t>
      </w:r>
      <w:r>
        <w:rPr>
          <w:rFonts w:hint="eastAsia" w:ascii="宋体" w:hAnsi="Times New Roman"/>
          <w:kern w:val="0"/>
          <w:szCs w:val="20"/>
          <w:vertAlign w:val="subscript"/>
        </w:rPr>
        <w:t>2d</w:t>
      </w:r>
      <w:r>
        <w:rPr>
          <w:rFonts w:hint="eastAsia" w:ascii="宋体" w:hAnsi="Times New Roman"/>
          <w:kern w:val="0"/>
          <w:szCs w:val="20"/>
        </w:rPr>
        <w:t>/A</w:t>
      </w:r>
      <w:r>
        <w:rPr>
          <w:rFonts w:hint="eastAsia" w:ascii="宋体" w:hAnsi="Times New Roman"/>
          <w:kern w:val="0"/>
          <w:szCs w:val="20"/>
          <w:vertAlign w:val="subscript"/>
        </w:rPr>
        <w:t>w3</w:t>
      </w:r>
      <w:r>
        <w:rPr>
          <w:rFonts w:hint="eastAsia" w:ascii="宋体" w:hAnsi="Times New Roman"/>
          <w:kern w:val="0"/>
          <w:szCs w:val="20"/>
        </w:rPr>
        <w:t>×100%</w:t>
      </w:r>
      <w:r>
        <w:rPr>
          <w:rFonts w:ascii="宋体" w:hAnsi="Times New Roman"/>
          <w:kern w:val="0"/>
          <w:szCs w:val="20"/>
        </w:rPr>
        <w:t xml:space="preserve">                    </w:t>
      </w:r>
      <w:r>
        <w:rPr>
          <w:rFonts w:hint="eastAsia" w:ascii="宋体" w:hAnsi="Times New Roman"/>
          <w:kern w:val="0"/>
          <w:szCs w:val="20"/>
        </w:rPr>
        <w:t xml:space="preserve">        （</w:t>
      </w:r>
      <w:r>
        <w:rPr>
          <w:rFonts w:hint="eastAsia"/>
        </w:rPr>
        <w:t>公式</w:t>
      </w:r>
      <w:r>
        <w:rPr>
          <w:rFonts w:hint="eastAsia" w:ascii="宋体" w:hAnsi="Times New Roman"/>
          <w:kern w:val="0"/>
          <w:szCs w:val="20"/>
        </w:rPr>
        <w:t>7）</w:t>
      </w:r>
    </w:p>
    <w:p>
      <w:pPr>
        <w:autoSpaceDE w:val="0"/>
        <w:autoSpaceDN w:val="0"/>
        <w:adjustRightInd/>
        <w:spacing w:before="16" w:line="285" w:lineRule="auto"/>
        <w:ind w:left="2080" w:right="606" w:hanging="1440"/>
        <w:jc w:val="left"/>
        <w:rPr>
          <w:rFonts w:ascii="宋体" w:hAnsi="Times New Roman"/>
          <w:kern w:val="0"/>
          <w:szCs w:val="20"/>
        </w:rPr>
      </w:pPr>
      <w:r>
        <w:rPr>
          <w:rFonts w:hint="eastAsia" w:ascii="宋体" w:hAnsi="Times New Roman"/>
          <w:kern w:val="0"/>
          <w:szCs w:val="20"/>
        </w:rPr>
        <w:t>式中：Q</w:t>
      </w:r>
      <w:r>
        <w:rPr>
          <w:rFonts w:hint="eastAsia" w:ascii="宋体" w:hAnsi="Times New Roman"/>
          <w:kern w:val="0"/>
          <w:szCs w:val="20"/>
          <w:vertAlign w:val="subscript"/>
        </w:rPr>
        <w:t>2d</w:t>
      </w:r>
      <w:r>
        <w:rPr>
          <w:rFonts w:hint="eastAsia" w:ascii="宋体" w:hAnsi="Times New Roman"/>
          <w:kern w:val="0"/>
          <w:szCs w:val="20"/>
        </w:rPr>
        <w:t>──内隔墙采用墙体、管线、装修一体化或采用墙体、管线一体化的应用比例；</w:t>
      </w:r>
    </w:p>
    <w:p>
      <w:pPr>
        <w:autoSpaceDE w:val="0"/>
        <w:autoSpaceDN w:val="0"/>
        <w:adjustRightInd/>
        <w:spacing w:before="16" w:line="285" w:lineRule="auto"/>
        <w:ind w:left="1890" w:leftChars="600" w:right="606" w:hanging="630" w:hangingChars="300"/>
        <w:jc w:val="left"/>
        <w:rPr>
          <w:rFonts w:ascii="宋体" w:hAnsi="Times New Roman"/>
          <w:kern w:val="0"/>
          <w:szCs w:val="20"/>
        </w:rPr>
      </w:pPr>
      <w:r>
        <w:rPr>
          <w:rFonts w:hint="eastAsia" w:ascii="宋体" w:hAnsi="Times New Roman"/>
          <w:kern w:val="0"/>
          <w:szCs w:val="20"/>
        </w:rPr>
        <w:t>A</w:t>
      </w:r>
      <w:r>
        <w:rPr>
          <w:rFonts w:hint="eastAsia" w:ascii="宋体" w:hAnsi="Times New Roman"/>
          <w:kern w:val="0"/>
          <w:szCs w:val="20"/>
          <w:vertAlign w:val="subscript"/>
        </w:rPr>
        <w:t>2d</w:t>
      </w:r>
      <w:r>
        <w:rPr>
          <w:rFonts w:hint="eastAsia" w:ascii="宋体" w:hAnsi="Times New Roman"/>
          <w:kern w:val="0"/>
          <w:szCs w:val="20"/>
        </w:rPr>
        <w:t>──各楼层内隔墙采用墙体、管线、装修一体化或采用墙体、管线一体化的墙面面积之和，计算时可不扣除门、窗及预留洞口等的面积。</w:t>
      </w:r>
    </w:p>
    <w:p>
      <w:pPr>
        <w:autoSpaceDE w:val="0"/>
        <w:autoSpaceDN w:val="0"/>
        <w:adjustRightInd/>
        <w:spacing w:line="240" w:lineRule="auto"/>
        <w:jc w:val="left"/>
        <w:rPr>
          <w:rFonts w:ascii="宋体" w:hAnsi="Times New Roman"/>
          <w:kern w:val="0"/>
          <w:szCs w:val="20"/>
        </w:rPr>
      </w:pPr>
      <w:r>
        <w:rPr>
          <w:rFonts w:ascii="黑体" w:hAnsi="黑体" w:eastAsia="黑体"/>
          <w:b/>
          <w:bCs/>
          <w:kern w:val="0"/>
          <w:szCs w:val="20"/>
        </w:rPr>
        <w:t>5</w:t>
      </w:r>
      <w:r>
        <w:rPr>
          <w:rFonts w:hint="eastAsia" w:ascii="黑体" w:hAnsi="黑体" w:eastAsia="黑体"/>
          <w:b/>
          <w:bCs/>
          <w:kern w:val="0"/>
          <w:szCs w:val="20"/>
        </w:rPr>
        <w:t>.</w:t>
      </w:r>
      <w:r>
        <w:rPr>
          <w:rFonts w:ascii="黑体" w:hAnsi="黑体" w:eastAsia="黑体"/>
          <w:b/>
          <w:bCs/>
          <w:kern w:val="0"/>
          <w:szCs w:val="20"/>
        </w:rPr>
        <w:t>8</w:t>
      </w:r>
      <w:r>
        <w:rPr>
          <w:rFonts w:ascii="宋体" w:hAnsi="Times New Roman"/>
          <w:kern w:val="0"/>
          <w:szCs w:val="20"/>
        </w:rPr>
        <w:t xml:space="preserve"> </w:t>
      </w:r>
      <w:r>
        <w:rPr>
          <w:rFonts w:hint="eastAsia" w:ascii="宋体" w:hAnsi="Times New Roman"/>
          <w:kern w:val="0"/>
          <w:szCs w:val="20"/>
        </w:rPr>
        <w:t>全装修应符合下列规定：</w:t>
      </w:r>
    </w:p>
    <w:p>
      <w:pPr>
        <w:autoSpaceDE w:val="0"/>
        <w:autoSpaceDN w:val="0"/>
        <w:adjustRightInd/>
        <w:spacing w:line="240" w:lineRule="auto"/>
        <w:ind w:firstLine="420" w:firstLineChars="200"/>
        <w:jc w:val="left"/>
        <w:rPr>
          <w:rFonts w:ascii="宋体" w:hAnsi="Times New Roman"/>
          <w:kern w:val="0"/>
          <w:szCs w:val="20"/>
        </w:rPr>
      </w:pPr>
      <w:r>
        <w:rPr>
          <w:rFonts w:ascii="宋体" w:hAnsi="Times New Roman"/>
          <w:kern w:val="0"/>
          <w:szCs w:val="20"/>
        </w:rPr>
        <w:t xml:space="preserve">a) </w:t>
      </w:r>
      <w:r>
        <w:rPr>
          <w:rFonts w:hint="eastAsia" w:ascii="宋体" w:hAnsi="Times New Roman"/>
          <w:kern w:val="0"/>
          <w:szCs w:val="20"/>
        </w:rPr>
        <w:t>住宅建筑内部墙面、顶面、地面全部铺贴、粉刷完成，门窗、固定家具、设备管线、开关插座及厨房、卫生间固定设施安装到位；住宅公共区域的固定面全部铺贴、粉刷完成，基本设备安装到位。</w:t>
      </w:r>
    </w:p>
    <w:p>
      <w:pPr>
        <w:autoSpaceDE w:val="0"/>
        <w:autoSpaceDN w:val="0"/>
        <w:adjustRightInd/>
        <w:spacing w:line="240" w:lineRule="auto"/>
        <w:ind w:firstLine="420" w:firstLineChars="200"/>
        <w:jc w:val="left"/>
        <w:rPr>
          <w:rFonts w:ascii="宋体" w:hAnsi="Times New Roman"/>
          <w:kern w:val="0"/>
          <w:szCs w:val="20"/>
        </w:rPr>
      </w:pPr>
      <w:r>
        <w:rPr>
          <w:rFonts w:ascii="宋体" w:hAnsi="Times New Roman"/>
          <w:kern w:val="0"/>
          <w:szCs w:val="20"/>
        </w:rPr>
        <w:t xml:space="preserve">b) </w:t>
      </w:r>
      <w:r>
        <w:rPr>
          <w:rFonts w:hint="eastAsia" w:ascii="宋体" w:hAnsi="Times New Roman"/>
          <w:kern w:val="0"/>
          <w:szCs w:val="20"/>
        </w:rPr>
        <w:t>公共建筑全装修应包括公共区域和在建造阶段已确定使用功能及标准的全部室内区域，其地面、墙面和顶面的装饰面、设备管线和其他与防火、防水（潮）、防腐、隔声（振）等建筑性能相关的功能性材料及其连接材料等的安装到位。</w:t>
      </w:r>
    </w:p>
    <w:p>
      <w:pPr>
        <w:autoSpaceDE w:val="0"/>
        <w:autoSpaceDN w:val="0"/>
        <w:adjustRightInd/>
        <w:spacing w:line="240" w:lineRule="auto"/>
        <w:ind w:firstLine="315" w:firstLineChars="150"/>
        <w:jc w:val="left"/>
        <w:rPr>
          <w:rFonts w:ascii="宋体" w:hAnsi="Times New Roman"/>
          <w:kern w:val="0"/>
          <w:szCs w:val="20"/>
        </w:rPr>
        <w:sectPr>
          <w:footerReference r:id="rId11" w:type="default"/>
          <w:pgSz w:w="11906" w:h="16838"/>
          <w:pgMar w:top="1440" w:right="1800" w:bottom="1440" w:left="1800" w:header="851" w:footer="992" w:gutter="0"/>
          <w:cols w:space="425" w:num="1"/>
          <w:docGrid w:type="lines" w:linePitch="312" w:charSpace="0"/>
        </w:sectPr>
      </w:pPr>
    </w:p>
    <w:p>
      <w:pPr>
        <w:autoSpaceDE w:val="0"/>
        <w:autoSpaceDN w:val="0"/>
        <w:adjustRightInd/>
        <w:spacing w:line="240" w:lineRule="auto"/>
        <w:ind w:firstLine="315" w:firstLineChars="150"/>
        <w:jc w:val="left"/>
        <w:rPr>
          <w:rFonts w:ascii="宋体" w:hAnsi="Times New Roman"/>
          <w:kern w:val="0"/>
          <w:szCs w:val="20"/>
        </w:rPr>
      </w:pPr>
      <w:r>
        <w:rPr>
          <w:rFonts w:ascii="宋体" w:hAnsi="Times New Roman"/>
          <w:kern w:val="0"/>
          <w:szCs w:val="20"/>
        </w:rPr>
        <w:t xml:space="preserve">c) </w:t>
      </w:r>
      <w:r>
        <w:rPr>
          <w:rFonts w:hint="eastAsia" w:ascii="宋体" w:hAnsi="Times New Roman"/>
          <w:kern w:val="0"/>
          <w:szCs w:val="20"/>
        </w:rPr>
        <w:t>对建造合同规定毛坯交付的还建房和毛坯交付进行销售备案的商品住房，公共区域应实施全装修，套内应实施菜单式全装修。</w:t>
      </w:r>
    </w:p>
    <w:p>
      <w:pPr>
        <w:autoSpaceDE w:val="0"/>
        <w:autoSpaceDN w:val="0"/>
        <w:adjustRightInd/>
        <w:spacing w:line="240" w:lineRule="auto"/>
        <w:jc w:val="left"/>
        <w:rPr>
          <w:rFonts w:ascii="宋体" w:hAnsi="Times New Roman"/>
          <w:kern w:val="0"/>
          <w:szCs w:val="20"/>
        </w:rPr>
      </w:pPr>
      <w:r>
        <w:rPr>
          <w:rFonts w:ascii="黑体" w:hAnsi="黑体" w:eastAsia="黑体"/>
          <w:b/>
          <w:bCs/>
          <w:kern w:val="0"/>
          <w:szCs w:val="20"/>
        </w:rPr>
        <w:t>5</w:t>
      </w:r>
      <w:r>
        <w:rPr>
          <w:rFonts w:hint="eastAsia" w:ascii="黑体" w:hAnsi="黑体" w:eastAsia="黑体"/>
          <w:b/>
          <w:bCs/>
          <w:kern w:val="0"/>
          <w:szCs w:val="20"/>
        </w:rPr>
        <w:t>.9</w:t>
      </w:r>
      <w:r>
        <w:rPr>
          <w:rFonts w:ascii="宋体" w:hAnsi="Times New Roman"/>
          <w:kern w:val="0"/>
          <w:szCs w:val="20"/>
        </w:rPr>
        <w:t xml:space="preserve"> </w:t>
      </w:r>
      <w:r>
        <w:rPr>
          <w:rFonts w:hint="eastAsia" w:ascii="宋体" w:hAnsi="Times New Roman"/>
          <w:kern w:val="0"/>
          <w:szCs w:val="20"/>
        </w:rPr>
        <w:t>干式工法楼面、地面的应用比例应按（公式</w:t>
      </w:r>
      <w:r>
        <w:rPr>
          <w:rFonts w:ascii="宋体" w:hAnsi="Times New Roman"/>
          <w:kern w:val="0"/>
          <w:szCs w:val="20"/>
        </w:rPr>
        <w:t>8</w:t>
      </w:r>
      <w:r>
        <w:rPr>
          <w:rFonts w:hint="eastAsia" w:ascii="宋体" w:hAnsi="Times New Roman"/>
          <w:kern w:val="0"/>
          <w:szCs w:val="20"/>
        </w:rPr>
        <w:t>）计算：</w:t>
      </w:r>
    </w:p>
    <w:p>
      <w:pPr>
        <w:autoSpaceDE w:val="0"/>
        <w:autoSpaceDN w:val="0"/>
        <w:adjustRightInd/>
        <w:spacing w:line="240" w:lineRule="auto"/>
        <w:ind w:firstLine="3780" w:firstLineChars="1800"/>
        <w:jc w:val="left"/>
        <w:rPr>
          <w:rFonts w:ascii="宋体" w:hAnsi="Times New Roman"/>
          <w:kern w:val="0"/>
          <w:szCs w:val="20"/>
        </w:rPr>
      </w:pPr>
      <w:r>
        <w:rPr>
          <w:rFonts w:ascii="宋体" w:hAnsi="Times New Roman"/>
          <w:kern w:val="0"/>
          <w:szCs w:val="20"/>
        </w:rPr>
        <w:t>Q</w:t>
      </w:r>
      <w:r>
        <w:rPr>
          <w:rFonts w:ascii="宋体" w:hAnsi="Times New Roman"/>
          <w:kern w:val="0"/>
          <w:szCs w:val="20"/>
          <w:vertAlign w:val="subscript"/>
        </w:rPr>
        <w:t>3a</w:t>
      </w:r>
      <w:r>
        <w:rPr>
          <w:rFonts w:ascii="宋体" w:hAnsi="Times New Roman"/>
          <w:kern w:val="0"/>
          <w:szCs w:val="20"/>
        </w:rPr>
        <w:t>=A</w:t>
      </w:r>
      <w:r>
        <w:rPr>
          <w:rFonts w:ascii="宋体" w:hAnsi="Times New Roman"/>
          <w:kern w:val="0"/>
          <w:szCs w:val="20"/>
          <w:vertAlign w:val="subscript"/>
        </w:rPr>
        <w:t>3a</w:t>
      </w:r>
      <w:r>
        <w:rPr>
          <w:rFonts w:ascii="宋体" w:hAnsi="Times New Roman"/>
          <w:kern w:val="0"/>
          <w:szCs w:val="20"/>
        </w:rPr>
        <w:t>/A×100%</w:t>
      </w:r>
      <w:r>
        <w:rPr>
          <w:rFonts w:ascii="宋体" w:hAnsi="Times New Roman"/>
          <w:kern w:val="0"/>
          <w:szCs w:val="20"/>
        </w:rPr>
        <w:tab/>
      </w:r>
      <w:r>
        <w:rPr>
          <w:rFonts w:ascii="宋体" w:hAnsi="Times New Roman"/>
          <w:kern w:val="0"/>
          <w:szCs w:val="20"/>
        </w:rPr>
        <w:t xml:space="preserve">                         </w:t>
      </w:r>
      <w:r>
        <w:rPr>
          <w:rFonts w:hint="eastAsia" w:ascii="宋体" w:hAnsi="Times New Roman"/>
          <w:kern w:val="0"/>
          <w:szCs w:val="20"/>
        </w:rPr>
        <w:t xml:space="preserve">   （</w:t>
      </w:r>
      <w:r>
        <w:rPr>
          <w:rFonts w:hint="eastAsia"/>
        </w:rPr>
        <w:t>公式</w:t>
      </w:r>
      <w:r>
        <w:rPr>
          <w:rFonts w:hint="eastAsia" w:ascii="宋体" w:hAnsi="Times New Roman"/>
          <w:kern w:val="0"/>
          <w:szCs w:val="20"/>
        </w:rPr>
        <w:t>8）</w:t>
      </w:r>
    </w:p>
    <w:p>
      <w:pPr>
        <w:autoSpaceDE w:val="0"/>
        <w:autoSpaceDN w:val="0"/>
        <w:adjustRightInd/>
        <w:spacing w:line="240" w:lineRule="auto"/>
        <w:ind w:firstLine="210" w:firstLineChars="100"/>
        <w:jc w:val="left"/>
        <w:rPr>
          <w:rFonts w:ascii="宋体" w:hAnsi="Times New Roman"/>
          <w:kern w:val="0"/>
          <w:szCs w:val="20"/>
        </w:rPr>
      </w:pPr>
      <w:r>
        <w:rPr>
          <w:rFonts w:hint="eastAsia" w:ascii="宋体" w:hAnsi="Times New Roman"/>
          <w:kern w:val="0"/>
          <w:szCs w:val="20"/>
        </w:rPr>
        <w:t>式中：Q</w:t>
      </w:r>
      <w:r>
        <w:rPr>
          <w:rFonts w:hint="eastAsia" w:ascii="宋体" w:hAnsi="Times New Roman"/>
          <w:kern w:val="0"/>
          <w:szCs w:val="20"/>
          <w:vertAlign w:val="subscript"/>
        </w:rPr>
        <w:t>3a</w:t>
      </w:r>
      <w:r>
        <w:rPr>
          <w:rFonts w:hint="eastAsia" w:ascii="宋体" w:hAnsi="Times New Roman"/>
          <w:kern w:val="0"/>
          <w:szCs w:val="20"/>
        </w:rPr>
        <w:t>──干式工法楼面、地面的应用比例；</w:t>
      </w:r>
    </w:p>
    <w:p>
      <w:pPr>
        <w:autoSpaceDE w:val="0"/>
        <w:autoSpaceDN w:val="0"/>
        <w:adjustRightInd/>
        <w:spacing w:line="240" w:lineRule="auto"/>
        <w:ind w:firstLine="840" w:firstLineChars="400"/>
        <w:jc w:val="left"/>
        <w:rPr>
          <w:rFonts w:ascii="宋体" w:hAnsi="Times New Roman"/>
          <w:kern w:val="0"/>
          <w:szCs w:val="20"/>
        </w:rPr>
      </w:pPr>
      <w:r>
        <w:rPr>
          <w:rFonts w:hint="eastAsia" w:ascii="宋体" w:hAnsi="Times New Roman"/>
          <w:kern w:val="0"/>
          <w:szCs w:val="20"/>
        </w:rPr>
        <w:t>A</w:t>
      </w:r>
      <w:r>
        <w:rPr>
          <w:rFonts w:hint="eastAsia" w:ascii="宋体" w:hAnsi="Times New Roman"/>
          <w:kern w:val="0"/>
          <w:szCs w:val="20"/>
          <w:vertAlign w:val="subscript"/>
        </w:rPr>
        <w:t>3a</w:t>
      </w:r>
      <w:r>
        <w:rPr>
          <w:rFonts w:hint="eastAsia" w:ascii="宋体" w:hAnsi="Times New Roman"/>
          <w:kern w:val="0"/>
          <w:szCs w:val="20"/>
        </w:rPr>
        <w:t xml:space="preserve">──各楼层采用干式工法楼面、地面的水平投影面积之和； </w:t>
      </w:r>
    </w:p>
    <w:p>
      <w:pPr>
        <w:autoSpaceDE w:val="0"/>
        <w:autoSpaceDN w:val="0"/>
        <w:adjustRightInd/>
        <w:spacing w:line="240" w:lineRule="auto"/>
        <w:ind w:firstLine="840" w:firstLineChars="400"/>
        <w:jc w:val="left"/>
        <w:rPr>
          <w:rFonts w:ascii="宋体" w:hAnsi="Times New Roman"/>
          <w:kern w:val="0"/>
          <w:szCs w:val="20"/>
        </w:rPr>
      </w:pPr>
      <w:r>
        <w:rPr>
          <w:rFonts w:hint="eastAsia" w:ascii="宋体" w:hAnsi="Times New Roman"/>
          <w:kern w:val="0"/>
          <w:szCs w:val="20"/>
        </w:rPr>
        <w:t>A──各楼层扣除厨房、卫生间、阳台、室外连廊后的建筑水平受力构件水平投影面积之和。</w:t>
      </w:r>
    </w:p>
    <w:p>
      <w:pPr>
        <w:autoSpaceDE w:val="0"/>
        <w:autoSpaceDN w:val="0"/>
        <w:adjustRightInd/>
        <w:spacing w:line="240" w:lineRule="auto"/>
        <w:jc w:val="left"/>
        <w:rPr>
          <w:rFonts w:ascii="宋体" w:hAnsi="Times New Roman"/>
          <w:kern w:val="0"/>
          <w:szCs w:val="20"/>
        </w:rPr>
      </w:pPr>
      <w:r>
        <w:rPr>
          <w:rFonts w:ascii="黑体" w:hAnsi="黑体" w:eastAsia="黑体"/>
          <w:b/>
          <w:bCs/>
          <w:kern w:val="0"/>
          <w:szCs w:val="20"/>
        </w:rPr>
        <w:t>5</w:t>
      </w:r>
      <w:r>
        <w:rPr>
          <w:rFonts w:hint="eastAsia" w:ascii="黑体" w:hAnsi="黑体" w:eastAsia="黑体"/>
          <w:b/>
          <w:bCs/>
          <w:kern w:val="0"/>
          <w:szCs w:val="20"/>
        </w:rPr>
        <w:t>.10</w:t>
      </w:r>
      <w:r>
        <w:rPr>
          <w:rFonts w:ascii="宋体" w:hAnsi="Times New Roman"/>
          <w:kern w:val="0"/>
          <w:szCs w:val="20"/>
        </w:rPr>
        <w:t xml:space="preserve"> 集成厨房的橱柜和厨房设备等应全部安装到位，墙面、顶面和地面中干式工法的</w:t>
      </w:r>
      <w:r>
        <w:rPr>
          <w:rFonts w:hint="eastAsia" w:ascii="宋体" w:hAnsi="Times New Roman"/>
          <w:kern w:val="0"/>
          <w:szCs w:val="20"/>
        </w:rPr>
        <w:t>应用比例应按（公式9）计算：</w:t>
      </w:r>
    </w:p>
    <w:p>
      <w:pPr>
        <w:autoSpaceDE w:val="0"/>
        <w:autoSpaceDN w:val="0"/>
        <w:adjustRightInd/>
        <w:spacing w:line="240" w:lineRule="auto"/>
        <w:ind w:firstLine="3780" w:firstLineChars="1800"/>
        <w:jc w:val="left"/>
        <w:rPr>
          <w:rFonts w:ascii="宋体" w:hAnsi="Times New Roman"/>
          <w:kern w:val="0"/>
          <w:szCs w:val="20"/>
        </w:rPr>
      </w:pPr>
      <w:r>
        <w:rPr>
          <w:rFonts w:ascii="宋体" w:hAnsi="Times New Roman"/>
          <w:kern w:val="0"/>
          <w:szCs w:val="20"/>
        </w:rPr>
        <w:t>Q</w:t>
      </w:r>
      <w:r>
        <w:rPr>
          <w:rFonts w:ascii="宋体" w:hAnsi="Times New Roman"/>
          <w:kern w:val="0"/>
          <w:szCs w:val="20"/>
          <w:vertAlign w:val="subscript"/>
        </w:rPr>
        <w:t>3b</w:t>
      </w:r>
      <w:r>
        <w:rPr>
          <w:rFonts w:ascii="宋体" w:hAnsi="Times New Roman"/>
          <w:kern w:val="0"/>
          <w:szCs w:val="20"/>
        </w:rPr>
        <w:t>=A</w:t>
      </w:r>
      <w:r>
        <w:rPr>
          <w:rFonts w:ascii="宋体" w:hAnsi="Times New Roman"/>
          <w:kern w:val="0"/>
          <w:szCs w:val="20"/>
          <w:vertAlign w:val="subscript"/>
        </w:rPr>
        <w:t>3b</w:t>
      </w:r>
      <w:r>
        <w:rPr>
          <w:rFonts w:ascii="宋体" w:hAnsi="Times New Roman"/>
          <w:kern w:val="0"/>
          <w:szCs w:val="20"/>
        </w:rPr>
        <w:t>/A</w:t>
      </w:r>
      <w:r>
        <w:rPr>
          <w:rFonts w:ascii="宋体" w:hAnsi="Times New Roman"/>
          <w:kern w:val="0"/>
          <w:szCs w:val="20"/>
          <w:vertAlign w:val="subscript"/>
        </w:rPr>
        <w:t>k</w:t>
      </w:r>
      <w:r>
        <w:rPr>
          <w:rFonts w:ascii="宋体" w:hAnsi="Times New Roman"/>
          <w:kern w:val="0"/>
          <w:szCs w:val="20"/>
        </w:rPr>
        <w:t>×100%</w:t>
      </w:r>
      <w:r>
        <w:rPr>
          <w:rFonts w:ascii="宋体" w:hAnsi="Times New Roman"/>
          <w:kern w:val="0"/>
          <w:szCs w:val="20"/>
        </w:rPr>
        <w:tab/>
      </w:r>
      <w:r>
        <w:rPr>
          <w:rFonts w:ascii="宋体" w:hAnsi="Times New Roman"/>
          <w:kern w:val="0"/>
          <w:szCs w:val="20"/>
        </w:rPr>
        <w:t xml:space="preserve">                        </w:t>
      </w:r>
      <w:r>
        <w:rPr>
          <w:rFonts w:hint="eastAsia" w:ascii="宋体" w:hAnsi="Times New Roman"/>
          <w:kern w:val="0"/>
          <w:szCs w:val="20"/>
        </w:rPr>
        <w:t xml:space="preserve">    （</w:t>
      </w:r>
      <w:r>
        <w:rPr>
          <w:rFonts w:hint="eastAsia"/>
        </w:rPr>
        <w:t>公式</w:t>
      </w:r>
      <w:r>
        <w:rPr>
          <w:rFonts w:hint="eastAsia" w:ascii="宋体" w:hAnsi="Times New Roman"/>
          <w:kern w:val="0"/>
          <w:szCs w:val="20"/>
        </w:rPr>
        <w:t>9）</w:t>
      </w:r>
    </w:p>
    <w:p>
      <w:pPr>
        <w:autoSpaceDE w:val="0"/>
        <w:autoSpaceDN w:val="0"/>
        <w:adjustRightInd/>
        <w:spacing w:line="240" w:lineRule="auto"/>
        <w:ind w:firstLine="210" w:firstLineChars="100"/>
        <w:jc w:val="left"/>
        <w:rPr>
          <w:rFonts w:ascii="宋体" w:hAnsi="Times New Roman"/>
          <w:kern w:val="0"/>
          <w:szCs w:val="20"/>
        </w:rPr>
      </w:pPr>
      <w:r>
        <w:rPr>
          <w:rFonts w:hint="eastAsia" w:ascii="宋体" w:hAnsi="Times New Roman"/>
          <w:kern w:val="0"/>
          <w:szCs w:val="20"/>
        </w:rPr>
        <w:t>式中：Q</w:t>
      </w:r>
      <w:r>
        <w:rPr>
          <w:rFonts w:hint="eastAsia" w:ascii="宋体" w:hAnsi="Times New Roman"/>
          <w:kern w:val="0"/>
          <w:szCs w:val="20"/>
          <w:vertAlign w:val="subscript"/>
        </w:rPr>
        <w:t>3b</w:t>
      </w:r>
      <w:r>
        <w:rPr>
          <w:rFonts w:hint="eastAsia" w:ascii="宋体" w:hAnsi="Times New Roman"/>
          <w:kern w:val="0"/>
          <w:szCs w:val="20"/>
        </w:rPr>
        <w:t>──集成厨房干式工法的应用比例；</w:t>
      </w:r>
    </w:p>
    <w:p>
      <w:pPr>
        <w:autoSpaceDE w:val="0"/>
        <w:autoSpaceDN w:val="0"/>
        <w:adjustRightInd/>
        <w:spacing w:line="240" w:lineRule="auto"/>
        <w:ind w:firstLine="840" w:firstLineChars="400"/>
        <w:jc w:val="left"/>
        <w:rPr>
          <w:rFonts w:ascii="宋体" w:hAnsi="Times New Roman"/>
          <w:kern w:val="0"/>
          <w:szCs w:val="20"/>
        </w:rPr>
      </w:pPr>
      <w:r>
        <w:rPr>
          <w:rFonts w:hint="eastAsia" w:ascii="宋体" w:hAnsi="Times New Roman"/>
          <w:kern w:val="0"/>
          <w:szCs w:val="20"/>
        </w:rPr>
        <w:t>A</w:t>
      </w:r>
      <w:r>
        <w:rPr>
          <w:rFonts w:hint="eastAsia" w:ascii="宋体" w:hAnsi="Times New Roman"/>
          <w:kern w:val="0"/>
          <w:szCs w:val="20"/>
          <w:vertAlign w:val="subscript"/>
        </w:rPr>
        <w:t>3b</w:t>
      </w:r>
      <w:r>
        <w:rPr>
          <w:rFonts w:hint="eastAsia" w:ascii="宋体" w:hAnsi="Times New Roman"/>
          <w:kern w:val="0"/>
          <w:szCs w:val="20"/>
        </w:rPr>
        <w:t xml:space="preserve">──各楼层厨房墙面、顶面和地面采用干式工法面积之和； </w:t>
      </w:r>
    </w:p>
    <w:p>
      <w:pPr>
        <w:autoSpaceDE w:val="0"/>
        <w:autoSpaceDN w:val="0"/>
        <w:adjustRightInd/>
        <w:spacing w:line="240" w:lineRule="auto"/>
        <w:ind w:firstLine="840" w:firstLineChars="400"/>
        <w:jc w:val="left"/>
        <w:rPr>
          <w:rFonts w:ascii="宋体" w:hAnsi="Times New Roman"/>
          <w:kern w:val="0"/>
          <w:szCs w:val="20"/>
        </w:rPr>
      </w:pPr>
      <w:r>
        <w:rPr>
          <w:rFonts w:hint="eastAsia" w:ascii="宋体" w:hAnsi="Times New Roman"/>
          <w:kern w:val="0"/>
          <w:szCs w:val="20"/>
        </w:rPr>
        <w:t>A</w:t>
      </w:r>
      <w:r>
        <w:rPr>
          <w:rFonts w:hint="eastAsia" w:ascii="宋体" w:hAnsi="Times New Roman"/>
          <w:kern w:val="0"/>
          <w:szCs w:val="20"/>
          <w:vertAlign w:val="subscript"/>
        </w:rPr>
        <w:t>k</w:t>
      </w:r>
      <w:r>
        <w:rPr>
          <w:rFonts w:hint="eastAsia" w:ascii="宋体" w:hAnsi="Times New Roman"/>
          <w:kern w:val="0"/>
          <w:szCs w:val="20"/>
        </w:rPr>
        <w:t>──各楼层厨房的墙面、顶面和地面的总面积。</w:t>
      </w:r>
    </w:p>
    <w:p>
      <w:pPr>
        <w:autoSpaceDE w:val="0"/>
        <w:autoSpaceDN w:val="0"/>
        <w:adjustRightInd/>
        <w:spacing w:line="240" w:lineRule="auto"/>
        <w:jc w:val="left"/>
        <w:rPr>
          <w:rFonts w:ascii="宋体" w:hAnsi="Times New Roman"/>
          <w:kern w:val="0"/>
          <w:szCs w:val="20"/>
        </w:rPr>
      </w:pPr>
      <w:r>
        <w:rPr>
          <w:rFonts w:ascii="黑体" w:hAnsi="黑体" w:eastAsia="黑体"/>
          <w:b/>
          <w:bCs/>
          <w:kern w:val="0"/>
          <w:szCs w:val="20"/>
        </w:rPr>
        <w:t>5</w:t>
      </w:r>
      <w:r>
        <w:rPr>
          <w:rFonts w:hint="eastAsia" w:ascii="黑体" w:hAnsi="黑体" w:eastAsia="黑体"/>
          <w:b/>
          <w:bCs/>
          <w:kern w:val="0"/>
          <w:szCs w:val="20"/>
        </w:rPr>
        <w:t>.11</w:t>
      </w:r>
      <w:r>
        <w:rPr>
          <w:rFonts w:ascii="宋体" w:hAnsi="Times New Roman"/>
          <w:kern w:val="0"/>
          <w:szCs w:val="20"/>
        </w:rPr>
        <w:t xml:space="preserve"> </w:t>
      </w:r>
      <w:r>
        <w:rPr>
          <w:rFonts w:hint="eastAsia" w:ascii="宋体" w:hAnsi="Times New Roman"/>
          <w:kern w:val="0"/>
          <w:szCs w:val="20"/>
        </w:rPr>
        <w:t>集成卫生间的洁具设备等应全部安装到位，墙面、顶面和地面中干式工法的应用比例应按（公式10）计算：</w:t>
      </w:r>
    </w:p>
    <w:p>
      <w:pPr>
        <w:autoSpaceDE w:val="0"/>
        <w:autoSpaceDN w:val="0"/>
        <w:adjustRightInd/>
        <w:spacing w:line="240" w:lineRule="auto"/>
        <w:ind w:firstLine="3780" w:firstLineChars="1800"/>
        <w:jc w:val="left"/>
        <w:rPr>
          <w:rFonts w:ascii="宋体" w:hAnsi="Times New Roman"/>
          <w:kern w:val="0"/>
          <w:szCs w:val="20"/>
        </w:rPr>
      </w:pPr>
      <w:r>
        <w:rPr>
          <w:rFonts w:hint="eastAsia" w:ascii="宋体" w:hAnsi="Times New Roman"/>
          <w:kern w:val="0"/>
          <w:szCs w:val="20"/>
        </w:rPr>
        <w:t>Q</w:t>
      </w:r>
      <w:r>
        <w:rPr>
          <w:rFonts w:hint="eastAsia" w:ascii="宋体" w:hAnsi="Times New Roman"/>
          <w:kern w:val="0"/>
          <w:szCs w:val="20"/>
          <w:vertAlign w:val="subscript"/>
        </w:rPr>
        <w:t>3c</w:t>
      </w:r>
      <w:r>
        <w:rPr>
          <w:rFonts w:hint="eastAsia" w:ascii="宋体" w:hAnsi="Times New Roman"/>
          <w:kern w:val="0"/>
          <w:szCs w:val="20"/>
        </w:rPr>
        <w:t>=A</w:t>
      </w:r>
      <w:r>
        <w:rPr>
          <w:rFonts w:hint="eastAsia" w:ascii="宋体" w:hAnsi="Times New Roman"/>
          <w:kern w:val="0"/>
          <w:szCs w:val="20"/>
          <w:vertAlign w:val="subscript"/>
        </w:rPr>
        <w:t>3c</w:t>
      </w:r>
      <w:r>
        <w:rPr>
          <w:rFonts w:hint="eastAsia" w:ascii="宋体" w:hAnsi="Times New Roman"/>
          <w:kern w:val="0"/>
          <w:szCs w:val="20"/>
        </w:rPr>
        <w:t>/A</w:t>
      </w:r>
      <w:r>
        <w:rPr>
          <w:rFonts w:hint="eastAsia" w:ascii="宋体" w:hAnsi="Times New Roman"/>
          <w:kern w:val="0"/>
          <w:szCs w:val="20"/>
          <w:vertAlign w:val="subscript"/>
        </w:rPr>
        <w:t>b</w:t>
      </w:r>
      <w:r>
        <w:rPr>
          <w:rFonts w:hint="eastAsia" w:ascii="宋体" w:hAnsi="Times New Roman"/>
          <w:kern w:val="0"/>
          <w:szCs w:val="20"/>
        </w:rPr>
        <w:t>×100%</w:t>
      </w:r>
      <w:r>
        <w:rPr>
          <w:rFonts w:hint="eastAsia" w:ascii="宋体" w:hAnsi="Times New Roman"/>
          <w:kern w:val="0"/>
          <w:szCs w:val="20"/>
        </w:rPr>
        <w:tab/>
      </w:r>
      <w:r>
        <w:rPr>
          <w:rFonts w:ascii="宋体" w:hAnsi="Times New Roman"/>
          <w:kern w:val="0"/>
          <w:szCs w:val="20"/>
        </w:rPr>
        <w:t xml:space="preserve">                        </w:t>
      </w:r>
      <w:r>
        <w:rPr>
          <w:rFonts w:hint="eastAsia" w:ascii="宋体" w:hAnsi="Times New Roman"/>
          <w:kern w:val="0"/>
          <w:szCs w:val="20"/>
        </w:rPr>
        <w:t xml:space="preserve">   （</w:t>
      </w:r>
      <w:r>
        <w:rPr>
          <w:rFonts w:hint="eastAsia"/>
        </w:rPr>
        <w:t>公式</w:t>
      </w:r>
      <w:r>
        <w:rPr>
          <w:rFonts w:hint="eastAsia" w:ascii="宋体" w:hAnsi="Times New Roman"/>
          <w:kern w:val="0"/>
          <w:szCs w:val="20"/>
        </w:rPr>
        <w:t>10）</w:t>
      </w:r>
    </w:p>
    <w:p>
      <w:pPr>
        <w:autoSpaceDE w:val="0"/>
        <w:autoSpaceDN w:val="0"/>
        <w:adjustRightInd/>
        <w:spacing w:line="240" w:lineRule="auto"/>
        <w:ind w:firstLine="210" w:firstLineChars="100"/>
        <w:jc w:val="left"/>
        <w:rPr>
          <w:rFonts w:ascii="宋体" w:hAnsi="Times New Roman"/>
          <w:kern w:val="0"/>
          <w:szCs w:val="20"/>
        </w:rPr>
      </w:pPr>
      <w:r>
        <w:rPr>
          <w:rFonts w:hint="eastAsia" w:ascii="宋体" w:hAnsi="Times New Roman"/>
          <w:kern w:val="0"/>
          <w:szCs w:val="20"/>
        </w:rPr>
        <w:t>式中：Q</w:t>
      </w:r>
      <w:r>
        <w:rPr>
          <w:rFonts w:hint="eastAsia" w:ascii="宋体" w:hAnsi="Times New Roman"/>
          <w:kern w:val="0"/>
          <w:szCs w:val="20"/>
          <w:vertAlign w:val="subscript"/>
        </w:rPr>
        <w:t>3c</w:t>
      </w:r>
      <w:r>
        <w:rPr>
          <w:rFonts w:hint="eastAsia" w:ascii="宋体" w:hAnsi="Times New Roman"/>
          <w:kern w:val="0"/>
          <w:szCs w:val="20"/>
        </w:rPr>
        <w:t>──集成卫生间干式工法的应用比例；</w:t>
      </w:r>
    </w:p>
    <w:p>
      <w:pPr>
        <w:autoSpaceDE w:val="0"/>
        <w:autoSpaceDN w:val="0"/>
        <w:adjustRightInd/>
        <w:spacing w:line="240" w:lineRule="auto"/>
        <w:ind w:firstLine="840" w:firstLineChars="400"/>
        <w:jc w:val="left"/>
        <w:rPr>
          <w:rFonts w:ascii="宋体" w:hAnsi="Times New Roman"/>
          <w:kern w:val="0"/>
          <w:szCs w:val="20"/>
        </w:rPr>
      </w:pPr>
      <w:r>
        <w:rPr>
          <w:rFonts w:hint="eastAsia" w:ascii="宋体" w:hAnsi="Times New Roman"/>
          <w:kern w:val="0"/>
          <w:szCs w:val="20"/>
        </w:rPr>
        <w:t>A</w:t>
      </w:r>
      <w:r>
        <w:rPr>
          <w:rFonts w:hint="eastAsia" w:ascii="宋体" w:hAnsi="Times New Roman"/>
          <w:kern w:val="0"/>
          <w:szCs w:val="20"/>
          <w:vertAlign w:val="subscript"/>
        </w:rPr>
        <w:t>3c</w:t>
      </w:r>
      <w:r>
        <w:rPr>
          <w:rFonts w:hint="eastAsia" w:ascii="宋体" w:hAnsi="Times New Roman"/>
          <w:kern w:val="0"/>
          <w:szCs w:val="20"/>
        </w:rPr>
        <w:t xml:space="preserve">──各楼层卫生间墙面、顶面和地面采用干式工法面积之和； </w:t>
      </w:r>
    </w:p>
    <w:p>
      <w:pPr>
        <w:autoSpaceDE w:val="0"/>
        <w:autoSpaceDN w:val="0"/>
        <w:adjustRightInd/>
        <w:spacing w:line="240" w:lineRule="auto"/>
        <w:ind w:firstLine="840" w:firstLineChars="400"/>
        <w:jc w:val="left"/>
        <w:rPr>
          <w:rFonts w:ascii="宋体" w:hAnsi="Times New Roman"/>
          <w:kern w:val="0"/>
          <w:szCs w:val="20"/>
        </w:rPr>
      </w:pPr>
      <w:r>
        <w:rPr>
          <w:rFonts w:hint="eastAsia" w:ascii="宋体" w:hAnsi="Times New Roman"/>
          <w:kern w:val="0"/>
          <w:szCs w:val="20"/>
        </w:rPr>
        <w:t>A</w:t>
      </w:r>
      <w:r>
        <w:rPr>
          <w:rFonts w:hint="eastAsia" w:ascii="宋体" w:hAnsi="Times New Roman"/>
          <w:kern w:val="0"/>
          <w:szCs w:val="20"/>
          <w:vertAlign w:val="subscript"/>
        </w:rPr>
        <w:t>b</w:t>
      </w:r>
      <w:r>
        <w:rPr>
          <w:rFonts w:hint="eastAsia" w:ascii="宋体" w:hAnsi="Times New Roman"/>
          <w:kern w:val="0"/>
          <w:szCs w:val="20"/>
        </w:rPr>
        <w:t>──各楼层卫生间的墙面、顶面和地面的总面积。</w:t>
      </w:r>
    </w:p>
    <w:p>
      <w:pPr>
        <w:autoSpaceDE w:val="0"/>
        <w:autoSpaceDN w:val="0"/>
        <w:adjustRightInd/>
        <w:spacing w:line="240" w:lineRule="auto"/>
        <w:jc w:val="left"/>
        <w:rPr>
          <w:rFonts w:ascii="宋体" w:hAnsi="Times New Roman"/>
          <w:kern w:val="0"/>
          <w:szCs w:val="20"/>
        </w:rPr>
      </w:pPr>
      <w:r>
        <w:rPr>
          <w:rFonts w:ascii="黑体" w:hAnsi="黑体" w:eastAsia="黑体"/>
          <w:b/>
          <w:bCs/>
          <w:kern w:val="0"/>
          <w:szCs w:val="20"/>
        </w:rPr>
        <w:t>5.</w:t>
      </w:r>
      <w:r>
        <w:rPr>
          <w:rFonts w:hint="eastAsia" w:ascii="黑体" w:hAnsi="黑体" w:eastAsia="黑体"/>
          <w:b/>
          <w:bCs/>
          <w:kern w:val="0"/>
          <w:szCs w:val="20"/>
        </w:rPr>
        <w:t>12</w:t>
      </w:r>
      <w:r>
        <w:rPr>
          <w:rFonts w:ascii="宋体" w:hAnsi="Times New Roman"/>
          <w:kern w:val="0"/>
          <w:szCs w:val="20"/>
        </w:rPr>
        <w:t xml:space="preserve"> </w:t>
      </w:r>
      <w:r>
        <w:rPr>
          <w:rFonts w:hint="eastAsia" w:ascii="宋体" w:hAnsi="Times New Roman"/>
          <w:kern w:val="0"/>
          <w:szCs w:val="20"/>
        </w:rPr>
        <w:t>管线分离的比例应按（公式11）计算：</w:t>
      </w:r>
    </w:p>
    <w:p>
      <w:pPr>
        <w:autoSpaceDE w:val="0"/>
        <w:autoSpaceDN w:val="0"/>
        <w:adjustRightInd/>
        <w:spacing w:line="240" w:lineRule="auto"/>
        <w:ind w:firstLine="3780" w:firstLineChars="1800"/>
        <w:jc w:val="left"/>
        <w:rPr>
          <w:rFonts w:ascii="宋体" w:hAnsi="Times New Roman"/>
          <w:kern w:val="0"/>
          <w:szCs w:val="20"/>
        </w:rPr>
      </w:pPr>
      <w:r>
        <w:rPr>
          <w:rFonts w:hint="eastAsia" w:ascii="宋体" w:hAnsi="Times New Roman"/>
          <w:kern w:val="0"/>
          <w:szCs w:val="20"/>
        </w:rPr>
        <w:t>Q</w:t>
      </w:r>
      <w:r>
        <w:rPr>
          <w:rFonts w:hint="eastAsia" w:ascii="宋体" w:hAnsi="Times New Roman"/>
          <w:kern w:val="0"/>
          <w:szCs w:val="20"/>
          <w:vertAlign w:val="subscript"/>
        </w:rPr>
        <w:t>3d</w:t>
      </w:r>
      <w:r>
        <w:rPr>
          <w:rFonts w:hint="eastAsia" w:ascii="宋体" w:hAnsi="Times New Roman"/>
          <w:kern w:val="0"/>
          <w:szCs w:val="20"/>
        </w:rPr>
        <w:t>=L</w:t>
      </w:r>
      <w:r>
        <w:rPr>
          <w:rFonts w:hint="eastAsia" w:ascii="宋体" w:hAnsi="Times New Roman"/>
          <w:kern w:val="0"/>
          <w:szCs w:val="20"/>
          <w:vertAlign w:val="subscript"/>
        </w:rPr>
        <w:t>3d</w:t>
      </w:r>
      <w:r>
        <w:rPr>
          <w:rFonts w:hint="eastAsia" w:ascii="宋体" w:hAnsi="Times New Roman"/>
          <w:kern w:val="0"/>
          <w:szCs w:val="20"/>
        </w:rPr>
        <w:t>/L</w:t>
      </w:r>
      <w:r>
        <w:rPr>
          <w:rFonts w:hint="eastAsia" w:ascii="宋体" w:hAnsi="Times New Roman"/>
          <w:kern w:val="0"/>
          <w:szCs w:val="20"/>
          <w:vertAlign w:val="subscript"/>
        </w:rPr>
        <w:t>g</w:t>
      </w:r>
      <w:r>
        <w:rPr>
          <w:rFonts w:hint="eastAsia" w:ascii="宋体" w:hAnsi="Times New Roman"/>
          <w:kern w:val="0"/>
          <w:szCs w:val="20"/>
        </w:rPr>
        <w:t>×100%</w:t>
      </w:r>
      <w:r>
        <w:rPr>
          <w:rFonts w:hint="eastAsia" w:ascii="宋体" w:hAnsi="Times New Roman"/>
          <w:kern w:val="0"/>
          <w:szCs w:val="20"/>
        </w:rPr>
        <w:tab/>
      </w:r>
      <w:r>
        <w:rPr>
          <w:rFonts w:ascii="宋体" w:hAnsi="Times New Roman"/>
          <w:kern w:val="0"/>
          <w:szCs w:val="20"/>
        </w:rPr>
        <w:t xml:space="preserve">                        </w:t>
      </w:r>
      <w:r>
        <w:rPr>
          <w:rFonts w:hint="eastAsia" w:ascii="宋体" w:hAnsi="Times New Roman"/>
          <w:kern w:val="0"/>
          <w:szCs w:val="20"/>
        </w:rPr>
        <w:t xml:space="preserve">   （</w:t>
      </w:r>
      <w:r>
        <w:rPr>
          <w:rFonts w:hint="eastAsia"/>
        </w:rPr>
        <w:t>公式</w:t>
      </w:r>
      <w:r>
        <w:rPr>
          <w:rFonts w:hint="eastAsia" w:ascii="宋体" w:hAnsi="Times New Roman"/>
          <w:kern w:val="0"/>
          <w:szCs w:val="20"/>
        </w:rPr>
        <w:t>11）</w:t>
      </w:r>
    </w:p>
    <w:p>
      <w:pPr>
        <w:autoSpaceDE w:val="0"/>
        <w:autoSpaceDN w:val="0"/>
        <w:adjustRightInd/>
        <w:spacing w:line="240" w:lineRule="auto"/>
        <w:ind w:firstLine="210" w:firstLineChars="100"/>
        <w:jc w:val="left"/>
        <w:rPr>
          <w:rFonts w:ascii="宋体" w:hAnsi="Times New Roman"/>
          <w:kern w:val="0"/>
          <w:szCs w:val="20"/>
        </w:rPr>
      </w:pPr>
      <w:r>
        <w:rPr>
          <w:rFonts w:hint="eastAsia" w:ascii="宋体" w:hAnsi="Times New Roman"/>
          <w:kern w:val="0"/>
          <w:szCs w:val="20"/>
        </w:rPr>
        <w:t>式中：Q</w:t>
      </w:r>
      <w:r>
        <w:rPr>
          <w:rFonts w:hint="eastAsia" w:ascii="宋体" w:hAnsi="Times New Roman"/>
          <w:kern w:val="0"/>
          <w:szCs w:val="20"/>
          <w:vertAlign w:val="subscript"/>
        </w:rPr>
        <w:t>3d</w:t>
      </w:r>
      <w:r>
        <w:rPr>
          <w:rFonts w:hint="eastAsia" w:ascii="宋体" w:hAnsi="Times New Roman"/>
          <w:kern w:val="0"/>
          <w:szCs w:val="20"/>
        </w:rPr>
        <w:t>──管线分离比例；</w:t>
      </w:r>
    </w:p>
    <w:p>
      <w:pPr>
        <w:autoSpaceDE w:val="0"/>
        <w:autoSpaceDN w:val="0"/>
        <w:adjustRightInd/>
        <w:spacing w:line="240" w:lineRule="auto"/>
        <w:ind w:left="1470" w:leftChars="400" w:hanging="630" w:hangingChars="300"/>
        <w:jc w:val="left"/>
        <w:rPr>
          <w:rFonts w:ascii="宋体" w:hAnsi="Times New Roman"/>
          <w:kern w:val="0"/>
          <w:szCs w:val="20"/>
        </w:rPr>
      </w:pPr>
      <w:r>
        <w:rPr>
          <w:rFonts w:hint="eastAsia" w:ascii="宋体" w:hAnsi="Times New Roman"/>
          <w:kern w:val="0"/>
          <w:szCs w:val="20"/>
        </w:rPr>
        <w:t>L</w:t>
      </w:r>
      <w:r>
        <w:rPr>
          <w:rFonts w:hint="eastAsia" w:ascii="宋体" w:hAnsi="Times New Roman"/>
          <w:kern w:val="0"/>
          <w:szCs w:val="20"/>
          <w:vertAlign w:val="subscript"/>
        </w:rPr>
        <w:t>3d</w:t>
      </w:r>
      <w:r>
        <w:rPr>
          <w:rFonts w:hint="eastAsia" w:ascii="宋体" w:hAnsi="Times New Roman"/>
          <w:kern w:val="0"/>
          <w:szCs w:val="20"/>
        </w:rPr>
        <w:t>──各楼层管线分离的长度，包括裸露于室内空间以及敷设在地面架空层、非承重墙体空腔和吊顶内的电气、给水排水和采暖管线长度之和；</w:t>
      </w:r>
    </w:p>
    <w:p>
      <w:pPr>
        <w:autoSpaceDE w:val="0"/>
        <w:autoSpaceDN w:val="0"/>
        <w:adjustRightInd/>
        <w:spacing w:line="240" w:lineRule="auto"/>
        <w:ind w:firstLine="840" w:firstLineChars="400"/>
        <w:jc w:val="left"/>
        <w:rPr>
          <w:rFonts w:ascii="宋体" w:hAnsi="Times New Roman"/>
          <w:kern w:val="0"/>
          <w:szCs w:val="20"/>
        </w:rPr>
      </w:pPr>
      <w:r>
        <w:rPr>
          <w:rFonts w:hint="eastAsia" w:ascii="宋体" w:hAnsi="Times New Roman"/>
          <w:kern w:val="0"/>
          <w:szCs w:val="20"/>
        </w:rPr>
        <w:t>L</w:t>
      </w:r>
      <w:r>
        <w:rPr>
          <w:rFonts w:hint="eastAsia" w:ascii="宋体" w:hAnsi="Times New Roman"/>
          <w:kern w:val="0"/>
          <w:szCs w:val="20"/>
          <w:vertAlign w:val="subscript"/>
        </w:rPr>
        <w:t>g</w:t>
      </w:r>
      <w:r>
        <w:rPr>
          <w:rFonts w:hint="eastAsia" w:ascii="宋体" w:hAnsi="Times New Roman"/>
          <w:kern w:val="0"/>
          <w:szCs w:val="20"/>
        </w:rPr>
        <w:t>──各楼层电气、给水排水和采暖管线的总长度。</w:t>
      </w:r>
    </w:p>
    <w:p>
      <w:pPr>
        <w:autoSpaceDE w:val="0"/>
        <w:autoSpaceDN w:val="0"/>
        <w:adjustRightInd/>
        <w:spacing w:line="240" w:lineRule="auto"/>
        <w:jc w:val="left"/>
        <w:rPr>
          <w:rFonts w:ascii="宋体" w:hAnsi="Times New Roman"/>
          <w:kern w:val="0"/>
          <w:szCs w:val="20"/>
        </w:rPr>
      </w:pPr>
      <w:r>
        <w:rPr>
          <w:rFonts w:ascii="黑体" w:hAnsi="黑体" w:eastAsia="黑体"/>
          <w:b/>
          <w:bCs/>
          <w:kern w:val="0"/>
          <w:szCs w:val="20"/>
        </w:rPr>
        <w:t>5.</w:t>
      </w:r>
      <w:r>
        <w:rPr>
          <w:rFonts w:hint="eastAsia" w:ascii="黑体" w:hAnsi="黑体" w:eastAsia="黑体"/>
          <w:b/>
          <w:bCs/>
          <w:kern w:val="0"/>
          <w:szCs w:val="20"/>
        </w:rPr>
        <w:t>13</w:t>
      </w:r>
      <w:r>
        <w:rPr>
          <w:rFonts w:ascii="宋体" w:hAnsi="Times New Roman"/>
          <w:kern w:val="0"/>
          <w:szCs w:val="20"/>
        </w:rPr>
        <w:t xml:space="preserve"> </w:t>
      </w:r>
      <w:r>
        <w:rPr>
          <w:rFonts w:hint="eastAsia" w:ascii="宋体" w:hAnsi="Times New Roman"/>
          <w:kern w:val="0"/>
          <w:szCs w:val="20"/>
        </w:rPr>
        <w:t>标准化预制构件应用</w:t>
      </w:r>
      <w:r>
        <w:rPr>
          <w:rFonts w:ascii="宋体" w:hAnsi="Times New Roman"/>
          <w:kern w:val="0"/>
          <w:szCs w:val="20"/>
        </w:rPr>
        <w:t>比例应按下列</w:t>
      </w:r>
      <w:r>
        <w:rPr>
          <w:rFonts w:hint="eastAsia" w:ascii="宋体" w:hAnsi="Times New Roman"/>
          <w:kern w:val="0"/>
          <w:szCs w:val="20"/>
        </w:rPr>
        <w:t>（公式12）或（公式1</w:t>
      </w:r>
      <w:r>
        <w:rPr>
          <w:rFonts w:ascii="宋体" w:hAnsi="Times New Roman"/>
          <w:kern w:val="0"/>
          <w:szCs w:val="20"/>
        </w:rPr>
        <w:t>3</w:t>
      </w:r>
      <w:r>
        <w:rPr>
          <w:rFonts w:hint="eastAsia" w:ascii="宋体" w:hAnsi="Times New Roman"/>
          <w:kern w:val="0"/>
          <w:szCs w:val="20"/>
        </w:rPr>
        <w:t>）</w:t>
      </w:r>
      <w:r>
        <w:rPr>
          <w:rFonts w:ascii="宋体" w:hAnsi="Times New Roman"/>
          <w:kern w:val="0"/>
          <w:szCs w:val="20"/>
        </w:rPr>
        <w:t>计算</w:t>
      </w:r>
      <w:r>
        <w:rPr>
          <w:rFonts w:hint="eastAsia" w:ascii="宋体" w:hAnsi="Times New Roman"/>
          <w:kern w:val="0"/>
          <w:szCs w:val="20"/>
        </w:rPr>
        <w:t>：</w:t>
      </w:r>
    </w:p>
    <w:p>
      <w:pPr>
        <w:autoSpaceDE w:val="0"/>
        <w:autoSpaceDN w:val="0"/>
        <w:adjustRightInd/>
        <w:spacing w:line="240" w:lineRule="auto"/>
        <w:ind w:firstLine="3780" w:firstLineChars="1800"/>
        <w:jc w:val="left"/>
        <w:rPr>
          <w:rFonts w:ascii="宋体" w:hAnsi="Times New Roman"/>
          <w:kern w:val="0"/>
          <w:szCs w:val="20"/>
        </w:rPr>
      </w:pPr>
      <w:r>
        <w:rPr>
          <w:rFonts w:hint="eastAsia" w:ascii="宋体" w:hAnsi="Times New Roman"/>
          <w:kern w:val="0"/>
          <w:szCs w:val="20"/>
        </w:rPr>
        <w:t>Q</w:t>
      </w:r>
      <w:r>
        <w:rPr>
          <w:rFonts w:hint="eastAsia" w:ascii="宋体" w:hAnsi="Times New Roman"/>
          <w:kern w:val="0"/>
          <w:szCs w:val="20"/>
          <w:vertAlign w:val="subscript"/>
        </w:rPr>
        <w:t>4a</w:t>
      </w:r>
      <w:r>
        <w:rPr>
          <w:rFonts w:hint="eastAsia" w:ascii="宋体" w:hAnsi="Times New Roman"/>
          <w:kern w:val="0"/>
          <w:szCs w:val="20"/>
        </w:rPr>
        <w:t>=M</w:t>
      </w:r>
      <w:r>
        <w:rPr>
          <w:rFonts w:hint="eastAsia" w:ascii="宋体" w:hAnsi="Times New Roman"/>
          <w:kern w:val="0"/>
          <w:szCs w:val="20"/>
          <w:vertAlign w:val="subscript"/>
        </w:rPr>
        <w:t>4a</w:t>
      </w:r>
      <w:r>
        <w:rPr>
          <w:rFonts w:ascii="宋体" w:hAnsi="Times New Roman"/>
          <w:kern w:val="0"/>
          <w:szCs w:val="20"/>
          <w:vertAlign w:val="subscript"/>
        </w:rPr>
        <w:t>1</w:t>
      </w:r>
      <w:r>
        <w:rPr>
          <w:rFonts w:hint="eastAsia" w:ascii="宋体" w:hAnsi="Times New Roman"/>
          <w:kern w:val="0"/>
          <w:szCs w:val="20"/>
        </w:rPr>
        <w:t>/M×100%</w:t>
      </w:r>
      <w:r>
        <w:rPr>
          <w:rFonts w:hint="eastAsia" w:ascii="宋体" w:hAnsi="Times New Roman"/>
          <w:kern w:val="0"/>
          <w:szCs w:val="20"/>
        </w:rPr>
        <w:tab/>
      </w:r>
      <w:r>
        <w:rPr>
          <w:rFonts w:ascii="宋体" w:hAnsi="Times New Roman"/>
          <w:kern w:val="0"/>
          <w:szCs w:val="20"/>
        </w:rPr>
        <w:t xml:space="preserve">                        </w:t>
      </w:r>
      <w:r>
        <w:rPr>
          <w:rFonts w:hint="eastAsia" w:ascii="宋体" w:hAnsi="Times New Roman"/>
          <w:kern w:val="0"/>
          <w:szCs w:val="20"/>
        </w:rPr>
        <w:t xml:space="preserve">   （</w:t>
      </w:r>
      <w:r>
        <w:rPr>
          <w:rFonts w:hint="eastAsia"/>
        </w:rPr>
        <w:t>公式</w:t>
      </w:r>
      <w:r>
        <w:rPr>
          <w:rFonts w:hint="eastAsia" w:ascii="宋体" w:hAnsi="Times New Roman"/>
          <w:kern w:val="0"/>
          <w:szCs w:val="20"/>
        </w:rPr>
        <w:t>12）</w:t>
      </w:r>
    </w:p>
    <w:p>
      <w:pPr>
        <w:autoSpaceDE w:val="0"/>
        <w:autoSpaceDN w:val="0"/>
        <w:adjustRightInd/>
        <w:spacing w:line="240" w:lineRule="auto"/>
        <w:ind w:firstLine="3780" w:firstLineChars="1800"/>
        <w:jc w:val="left"/>
      </w:pPr>
      <w:r>
        <w:rPr>
          <w:rFonts w:hint="eastAsia" w:ascii="宋体" w:hAnsi="Times New Roman"/>
          <w:kern w:val="0"/>
          <w:szCs w:val="20"/>
        </w:rPr>
        <w:t>Q</w:t>
      </w:r>
      <w:r>
        <w:rPr>
          <w:rFonts w:hint="eastAsia" w:ascii="宋体" w:hAnsi="Times New Roman"/>
          <w:kern w:val="0"/>
          <w:szCs w:val="20"/>
          <w:vertAlign w:val="subscript"/>
        </w:rPr>
        <w:t>4a</w:t>
      </w:r>
      <w:r>
        <w:rPr>
          <w:rFonts w:hint="eastAsia" w:ascii="宋体" w:hAnsi="Times New Roman"/>
          <w:kern w:val="0"/>
          <w:szCs w:val="20"/>
        </w:rPr>
        <w:t>=M</w:t>
      </w:r>
      <w:r>
        <w:rPr>
          <w:rFonts w:hint="eastAsia" w:ascii="宋体" w:hAnsi="Times New Roman"/>
          <w:kern w:val="0"/>
          <w:szCs w:val="20"/>
          <w:vertAlign w:val="subscript"/>
        </w:rPr>
        <w:t>4a</w:t>
      </w:r>
      <w:r>
        <w:rPr>
          <w:rFonts w:ascii="宋体" w:hAnsi="Times New Roman"/>
          <w:kern w:val="0"/>
          <w:szCs w:val="20"/>
          <w:vertAlign w:val="subscript"/>
        </w:rPr>
        <w:t>2</w:t>
      </w:r>
      <w:r>
        <w:rPr>
          <w:rFonts w:hint="eastAsia" w:ascii="宋体" w:hAnsi="Times New Roman"/>
          <w:kern w:val="0"/>
          <w:szCs w:val="20"/>
        </w:rPr>
        <w:t>/M×100%</w:t>
      </w:r>
      <w:r>
        <w:rPr>
          <w:rFonts w:hint="eastAsia" w:ascii="宋体" w:hAnsi="Times New Roman"/>
          <w:kern w:val="0"/>
          <w:szCs w:val="20"/>
        </w:rPr>
        <w:tab/>
      </w:r>
      <w:r>
        <w:rPr>
          <w:rFonts w:ascii="宋体" w:hAnsi="Times New Roman"/>
          <w:kern w:val="0"/>
          <w:szCs w:val="20"/>
        </w:rPr>
        <w:t xml:space="preserve">                        </w:t>
      </w:r>
      <w:r>
        <w:rPr>
          <w:rFonts w:hint="eastAsia" w:ascii="宋体" w:hAnsi="Times New Roman"/>
          <w:kern w:val="0"/>
          <w:szCs w:val="20"/>
        </w:rPr>
        <w:t xml:space="preserve">   （</w:t>
      </w:r>
      <w:r>
        <w:rPr>
          <w:rFonts w:hint="eastAsia"/>
        </w:rPr>
        <w:t>公式</w:t>
      </w:r>
      <w:r>
        <w:rPr>
          <w:rFonts w:hint="eastAsia" w:ascii="宋体" w:hAnsi="Times New Roman"/>
          <w:kern w:val="0"/>
          <w:szCs w:val="20"/>
        </w:rPr>
        <w:t>1</w:t>
      </w:r>
      <w:r>
        <w:rPr>
          <w:rFonts w:ascii="宋体" w:hAnsi="Times New Roman"/>
          <w:kern w:val="0"/>
          <w:szCs w:val="20"/>
        </w:rPr>
        <w:t>3</w:t>
      </w:r>
      <w:r>
        <w:rPr>
          <w:rFonts w:hint="eastAsia" w:ascii="宋体" w:hAnsi="Times New Roman"/>
          <w:kern w:val="0"/>
          <w:szCs w:val="20"/>
        </w:rPr>
        <w:t>）</w:t>
      </w:r>
    </w:p>
    <w:p>
      <w:pPr>
        <w:autoSpaceDE w:val="0"/>
        <w:autoSpaceDN w:val="0"/>
        <w:adjustRightInd/>
        <w:spacing w:line="240" w:lineRule="auto"/>
        <w:ind w:firstLine="210" w:firstLineChars="100"/>
        <w:jc w:val="left"/>
        <w:rPr>
          <w:rFonts w:ascii="宋体" w:hAnsi="Times New Roman"/>
          <w:kern w:val="0"/>
          <w:szCs w:val="20"/>
        </w:rPr>
      </w:pPr>
      <w:r>
        <w:rPr>
          <w:rFonts w:hint="eastAsia" w:ascii="宋体" w:hAnsi="Times New Roman"/>
          <w:kern w:val="0"/>
          <w:szCs w:val="20"/>
        </w:rPr>
        <w:t>式中：Q</w:t>
      </w:r>
      <w:r>
        <w:rPr>
          <w:rFonts w:hint="eastAsia" w:ascii="宋体" w:hAnsi="Times New Roman"/>
          <w:kern w:val="0"/>
          <w:szCs w:val="20"/>
          <w:vertAlign w:val="subscript"/>
        </w:rPr>
        <w:t>4a</w:t>
      </w:r>
      <w:r>
        <w:rPr>
          <w:rFonts w:hint="eastAsia" w:ascii="宋体" w:hAnsi="Times New Roman"/>
          <w:kern w:val="0"/>
          <w:szCs w:val="20"/>
        </w:rPr>
        <w:t>──标准化预制构件的应用比例；</w:t>
      </w:r>
    </w:p>
    <w:p>
      <w:pPr>
        <w:autoSpaceDE w:val="0"/>
        <w:autoSpaceDN w:val="0"/>
        <w:adjustRightInd/>
        <w:spacing w:line="240" w:lineRule="auto"/>
        <w:ind w:left="1470" w:leftChars="400" w:hanging="630" w:hangingChars="300"/>
        <w:jc w:val="left"/>
        <w:rPr>
          <w:rFonts w:ascii="宋体" w:hAnsi="Times New Roman"/>
          <w:kern w:val="0"/>
          <w:szCs w:val="20"/>
        </w:rPr>
      </w:pPr>
      <w:r>
        <w:rPr>
          <w:rFonts w:hint="eastAsia" w:ascii="宋体" w:hAnsi="Times New Roman"/>
          <w:kern w:val="0"/>
          <w:szCs w:val="20"/>
        </w:rPr>
        <w:t>M</w:t>
      </w:r>
      <w:r>
        <w:rPr>
          <w:rFonts w:hint="eastAsia" w:ascii="宋体" w:hAnsi="Times New Roman"/>
          <w:kern w:val="0"/>
          <w:szCs w:val="20"/>
          <w:vertAlign w:val="subscript"/>
        </w:rPr>
        <w:t>4a</w:t>
      </w:r>
      <w:r>
        <w:rPr>
          <w:rFonts w:ascii="宋体" w:hAnsi="Times New Roman"/>
          <w:kern w:val="0"/>
          <w:szCs w:val="20"/>
          <w:vertAlign w:val="subscript"/>
        </w:rPr>
        <w:t>1</w:t>
      </w:r>
      <w:r>
        <w:rPr>
          <w:rFonts w:hint="eastAsia" w:ascii="宋体" w:hAnsi="Times New Roman"/>
          <w:kern w:val="0"/>
          <w:szCs w:val="20"/>
        </w:rPr>
        <w:t>──规格尺寸符合标准、</w:t>
      </w:r>
      <w:r>
        <w:rPr>
          <w:rFonts w:hint="eastAsia"/>
        </w:rPr>
        <w:t>图集、构件库、指南等规定的预制构件的个数总和</w:t>
      </w:r>
      <w:r>
        <w:rPr>
          <w:rFonts w:hint="eastAsia" w:ascii="宋体" w:hAnsi="Times New Roman"/>
          <w:kern w:val="0"/>
          <w:szCs w:val="20"/>
        </w:rPr>
        <w:t>；</w:t>
      </w:r>
    </w:p>
    <w:p>
      <w:pPr>
        <w:autoSpaceDE w:val="0"/>
        <w:autoSpaceDN w:val="0"/>
        <w:adjustRightInd/>
        <w:spacing w:line="240" w:lineRule="auto"/>
        <w:ind w:left="1470" w:leftChars="400" w:hanging="630" w:hangingChars="300"/>
        <w:jc w:val="left"/>
      </w:pPr>
      <w:r>
        <w:rPr>
          <w:rFonts w:hint="eastAsia" w:ascii="宋体" w:hAnsi="Times New Roman"/>
          <w:kern w:val="0"/>
          <w:szCs w:val="20"/>
        </w:rPr>
        <w:t>M</w:t>
      </w:r>
      <w:r>
        <w:rPr>
          <w:rFonts w:hint="eastAsia" w:ascii="宋体" w:hAnsi="Times New Roman"/>
          <w:kern w:val="0"/>
          <w:szCs w:val="20"/>
          <w:vertAlign w:val="subscript"/>
        </w:rPr>
        <w:t>4a</w:t>
      </w:r>
      <w:r>
        <w:rPr>
          <w:rFonts w:ascii="宋体" w:hAnsi="Times New Roman"/>
          <w:kern w:val="0"/>
          <w:szCs w:val="20"/>
          <w:vertAlign w:val="subscript"/>
        </w:rPr>
        <w:t>2</w:t>
      </w:r>
      <w:r>
        <w:rPr>
          <w:rFonts w:hint="eastAsia" w:ascii="宋体" w:hAnsi="Times New Roman"/>
          <w:kern w:val="0"/>
          <w:szCs w:val="20"/>
        </w:rPr>
        <w:t>──同类构件中重复使用率最多的</w:t>
      </w:r>
      <w:r>
        <w:rPr>
          <w:rFonts w:hint="eastAsia"/>
        </w:rPr>
        <w:t>三种规格构件的个数总和</w:t>
      </w:r>
      <w:r>
        <w:rPr>
          <w:rFonts w:hint="eastAsia" w:ascii="宋体" w:hAnsi="Times New Roman"/>
          <w:kern w:val="0"/>
          <w:szCs w:val="20"/>
        </w:rPr>
        <w:t>；</w:t>
      </w:r>
    </w:p>
    <w:p>
      <w:pPr>
        <w:autoSpaceDE w:val="0"/>
        <w:autoSpaceDN w:val="0"/>
        <w:adjustRightInd/>
        <w:spacing w:line="240" w:lineRule="auto"/>
        <w:ind w:firstLine="840" w:firstLineChars="400"/>
        <w:jc w:val="left"/>
        <w:rPr>
          <w:rFonts w:ascii="宋体" w:hAnsi="Times New Roman"/>
          <w:kern w:val="0"/>
          <w:szCs w:val="20"/>
        </w:rPr>
      </w:pPr>
      <w:r>
        <w:rPr>
          <w:rFonts w:hint="eastAsia" w:ascii="宋体" w:hAnsi="Times New Roman"/>
          <w:kern w:val="0"/>
          <w:szCs w:val="20"/>
        </w:rPr>
        <w:t>M──预制构件总个数。</w:t>
      </w:r>
    </w:p>
    <w:p>
      <w:pPr>
        <w:autoSpaceDE w:val="0"/>
        <w:autoSpaceDN w:val="0"/>
        <w:adjustRightInd/>
        <w:spacing w:line="240" w:lineRule="auto"/>
        <w:jc w:val="left"/>
        <w:rPr>
          <w:rFonts w:ascii="宋体" w:hAnsi="Times New Roman"/>
          <w:kern w:val="0"/>
          <w:szCs w:val="20"/>
        </w:rPr>
      </w:pPr>
      <w:r>
        <w:rPr>
          <w:rFonts w:ascii="黑体" w:hAnsi="黑体" w:eastAsia="黑体"/>
          <w:b/>
          <w:bCs/>
          <w:kern w:val="0"/>
          <w:szCs w:val="20"/>
        </w:rPr>
        <w:t>5.</w:t>
      </w:r>
      <w:r>
        <w:rPr>
          <w:rFonts w:hint="eastAsia" w:ascii="黑体" w:hAnsi="黑体" w:eastAsia="黑体"/>
          <w:b/>
          <w:bCs/>
          <w:kern w:val="0"/>
          <w:szCs w:val="20"/>
        </w:rPr>
        <w:t>14</w:t>
      </w:r>
      <w:r>
        <w:rPr>
          <w:rFonts w:ascii="宋体" w:hAnsi="Times New Roman"/>
          <w:kern w:val="0"/>
          <w:szCs w:val="20"/>
        </w:rPr>
        <w:t xml:space="preserve"> </w:t>
      </w:r>
      <w:r>
        <w:rPr>
          <w:rFonts w:hint="eastAsia" w:ascii="宋体" w:hAnsi="Times New Roman"/>
          <w:kern w:val="0"/>
          <w:szCs w:val="20"/>
        </w:rPr>
        <w:t>平面布置标准化</w:t>
      </w:r>
      <w:r>
        <w:rPr>
          <w:rFonts w:ascii="宋体" w:hAnsi="Times New Roman"/>
          <w:kern w:val="0"/>
          <w:szCs w:val="20"/>
        </w:rPr>
        <w:t>比例应按下列</w:t>
      </w:r>
      <w:r>
        <w:rPr>
          <w:rFonts w:hint="eastAsia" w:ascii="宋体" w:hAnsi="Times New Roman"/>
          <w:kern w:val="0"/>
          <w:szCs w:val="20"/>
        </w:rPr>
        <w:t>（公式1</w:t>
      </w:r>
      <w:r>
        <w:rPr>
          <w:rFonts w:ascii="宋体" w:hAnsi="Times New Roman"/>
          <w:kern w:val="0"/>
          <w:szCs w:val="20"/>
        </w:rPr>
        <w:t>4</w:t>
      </w:r>
      <w:r>
        <w:rPr>
          <w:rFonts w:hint="eastAsia" w:ascii="宋体" w:hAnsi="Times New Roman"/>
          <w:kern w:val="0"/>
          <w:szCs w:val="20"/>
        </w:rPr>
        <w:t>）或（公式1</w:t>
      </w:r>
      <w:r>
        <w:rPr>
          <w:rFonts w:ascii="宋体" w:hAnsi="Times New Roman"/>
          <w:kern w:val="0"/>
          <w:szCs w:val="20"/>
        </w:rPr>
        <w:t>5</w:t>
      </w:r>
      <w:r>
        <w:rPr>
          <w:rFonts w:hint="eastAsia" w:ascii="宋体" w:hAnsi="Times New Roman"/>
          <w:kern w:val="0"/>
          <w:szCs w:val="20"/>
        </w:rPr>
        <w:t>）</w:t>
      </w:r>
      <w:r>
        <w:rPr>
          <w:rFonts w:ascii="宋体" w:hAnsi="Times New Roman"/>
          <w:kern w:val="0"/>
          <w:szCs w:val="20"/>
        </w:rPr>
        <w:t>计算</w:t>
      </w:r>
      <w:r>
        <w:rPr>
          <w:rFonts w:hint="eastAsia" w:ascii="宋体" w:hAnsi="Times New Roman"/>
          <w:kern w:val="0"/>
          <w:szCs w:val="20"/>
        </w:rPr>
        <w:t>：</w:t>
      </w:r>
    </w:p>
    <w:p>
      <w:pPr>
        <w:autoSpaceDE w:val="0"/>
        <w:autoSpaceDN w:val="0"/>
        <w:adjustRightInd/>
        <w:spacing w:line="240" w:lineRule="auto"/>
        <w:ind w:firstLine="3780" w:firstLineChars="1800"/>
        <w:jc w:val="left"/>
        <w:rPr>
          <w:rFonts w:ascii="宋体" w:hAnsi="Times New Roman"/>
          <w:kern w:val="0"/>
          <w:szCs w:val="20"/>
        </w:rPr>
      </w:pPr>
      <w:r>
        <w:rPr>
          <w:rFonts w:hint="eastAsia" w:ascii="宋体" w:hAnsi="Times New Roman"/>
          <w:kern w:val="0"/>
          <w:szCs w:val="20"/>
        </w:rPr>
        <w:t>Q</w:t>
      </w:r>
      <w:r>
        <w:rPr>
          <w:rFonts w:hint="eastAsia" w:ascii="宋体" w:hAnsi="Times New Roman"/>
          <w:kern w:val="0"/>
          <w:szCs w:val="20"/>
          <w:vertAlign w:val="subscript"/>
        </w:rPr>
        <w:t>4b</w:t>
      </w:r>
      <w:r>
        <w:rPr>
          <w:rFonts w:hint="eastAsia" w:ascii="宋体" w:hAnsi="Times New Roman"/>
          <w:kern w:val="0"/>
          <w:szCs w:val="20"/>
        </w:rPr>
        <w:t>=N</w:t>
      </w:r>
      <w:r>
        <w:rPr>
          <w:rFonts w:hint="eastAsia" w:ascii="宋体" w:hAnsi="Times New Roman"/>
          <w:kern w:val="0"/>
          <w:szCs w:val="20"/>
          <w:vertAlign w:val="subscript"/>
        </w:rPr>
        <w:t>4b</w:t>
      </w:r>
      <w:r>
        <w:rPr>
          <w:rFonts w:ascii="宋体" w:hAnsi="Times New Roman"/>
          <w:kern w:val="0"/>
          <w:szCs w:val="20"/>
          <w:vertAlign w:val="subscript"/>
        </w:rPr>
        <w:t>1</w:t>
      </w:r>
      <w:r>
        <w:rPr>
          <w:rFonts w:hint="eastAsia" w:ascii="宋体" w:hAnsi="Times New Roman"/>
          <w:kern w:val="0"/>
          <w:szCs w:val="20"/>
        </w:rPr>
        <w:t>/N×100%</w:t>
      </w:r>
      <w:r>
        <w:rPr>
          <w:rFonts w:hint="eastAsia" w:ascii="宋体" w:hAnsi="Times New Roman"/>
          <w:kern w:val="0"/>
          <w:szCs w:val="20"/>
        </w:rPr>
        <w:tab/>
      </w:r>
      <w:r>
        <w:rPr>
          <w:rFonts w:ascii="宋体" w:hAnsi="Times New Roman"/>
          <w:kern w:val="0"/>
          <w:szCs w:val="20"/>
        </w:rPr>
        <w:t xml:space="preserve">                       </w:t>
      </w:r>
      <w:r>
        <w:rPr>
          <w:rFonts w:hint="eastAsia" w:ascii="宋体" w:hAnsi="Times New Roman"/>
          <w:kern w:val="0"/>
          <w:szCs w:val="20"/>
        </w:rPr>
        <w:t xml:space="preserve">    （</w:t>
      </w:r>
      <w:r>
        <w:rPr>
          <w:rFonts w:hint="eastAsia"/>
        </w:rPr>
        <w:t>公式</w:t>
      </w:r>
      <w:r>
        <w:rPr>
          <w:rFonts w:hint="eastAsia" w:ascii="宋体" w:hAnsi="Times New Roman"/>
          <w:kern w:val="0"/>
          <w:szCs w:val="20"/>
        </w:rPr>
        <w:t>1</w:t>
      </w:r>
      <w:r>
        <w:rPr>
          <w:rFonts w:ascii="宋体" w:hAnsi="Times New Roman"/>
          <w:kern w:val="0"/>
          <w:szCs w:val="20"/>
        </w:rPr>
        <w:t>4</w:t>
      </w:r>
      <w:r>
        <w:rPr>
          <w:rFonts w:hint="eastAsia" w:ascii="宋体" w:hAnsi="Times New Roman"/>
          <w:kern w:val="0"/>
          <w:szCs w:val="20"/>
        </w:rPr>
        <w:t>）</w:t>
      </w:r>
    </w:p>
    <w:p>
      <w:pPr>
        <w:autoSpaceDE w:val="0"/>
        <w:autoSpaceDN w:val="0"/>
        <w:adjustRightInd/>
        <w:spacing w:line="240" w:lineRule="auto"/>
        <w:ind w:firstLine="3780" w:firstLineChars="1800"/>
        <w:jc w:val="left"/>
        <w:rPr>
          <w:rFonts w:ascii="宋体" w:hAnsi="Times New Roman"/>
          <w:kern w:val="0"/>
          <w:szCs w:val="20"/>
        </w:rPr>
      </w:pPr>
      <w:r>
        <w:rPr>
          <w:rFonts w:hint="eastAsia" w:ascii="宋体" w:hAnsi="Times New Roman"/>
          <w:kern w:val="0"/>
          <w:szCs w:val="20"/>
        </w:rPr>
        <w:t>Q</w:t>
      </w:r>
      <w:r>
        <w:rPr>
          <w:rFonts w:hint="eastAsia" w:ascii="宋体" w:hAnsi="Times New Roman"/>
          <w:kern w:val="0"/>
          <w:szCs w:val="20"/>
          <w:vertAlign w:val="subscript"/>
        </w:rPr>
        <w:t>4b</w:t>
      </w:r>
      <w:r>
        <w:rPr>
          <w:rFonts w:hint="eastAsia" w:ascii="宋体" w:hAnsi="Times New Roman"/>
          <w:kern w:val="0"/>
          <w:szCs w:val="20"/>
        </w:rPr>
        <w:t>=N</w:t>
      </w:r>
      <w:r>
        <w:rPr>
          <w:rFonts w:hint="eastAsia" w:ascii="宋体" w:hAnsi="Times New Roman"/>
          <w:kern w:val="0"/>
          <w:szCs w:val="20"/>
          <w:vertAlign w:val="subscript"/>
        </w:rPr>
        <w:t>4b</w:t>
      </w:r>
      <w:r>
        <w:rPr>
          <w:rFonts w:ascii="宋体" w:hAnsi="Times New Roman"/>
          <w:kern w:val="0"/>
          <w:szCs w:val="20"/>
          <w:vertAlign w:val="subscript"/>
        </w:rPr>
        <w:t>2</w:t>
      </w:r>
      <w:r>
        <w:rPr>
          <w:rFonts w:hint="eastAsia" w:ascii="宋体" w:hAnsi="Times New Roman"/>
          <w:kern w:val="0"/>
          <w:szCs w:val="20"/>
        </w:rPr>
        <w:t>/N×100%</w:t>
      </w:r>
      <w:r>
        <w:rPr>
          <w:rFonts w:hint="eastAsia" w:ascii="宋体" w:hAnsi="Times New Roman"/>
          <w:kern w:val="0"/>
          <w:szCs w:val="20"/>
        </w:rPr>
        <w:tab/>
      </w:r>
      <w:r>
        <w:rPr>
          <w:rFonts w:ascii="宋体" w:hAnsi="Times New Roman"/>
          <w:kern w:val="0"/>
          <w:szCs w:val="20"/>
        </w:rPr>
        <w:t xml:space="preserve">                       </w:t>
      </w:r>
      <w:r>
        <w:rPr>
          <w:rFonts w:hint="eastAsia" w:ascii="宋体" w:hAnsi="Times New Roman"/>
          <w:kern w:val="0"/>
          <w:szCs w:val="20"/>
        </w:rPr>
        <w:t xml:space="preserve">    （</w:t>
      </w:r>
      <w:r>
        <w:rPr>
          <w:rFonts w:hint="eastAsia"/>
        </w:rPr>
        <w:t>公式</w:t>
      </w:r>
      <w:r>
        <w:rPr>
          <w:rFonts w:hint="eastAsia" w:ascii="宋体" w:hAnsi="Times New Roman"/>
          <w:kern w:val="0"/>
          <w:szCs w:val="20"/>
        </w:rPr>
        <w:t>1</w:t>
      </w:r>
      <w:r>
        <w:rPr>
          <w:rFonts w:ascii="宋体" w:hAnsi="Times New Roman"/>
          <w:kern w:val="0"/>
          <w:szCs w:val="20"/>
        </w:rPr>
        <w:t>5</w:t>
      </w:r>
      <w:r>
        <w:rPr>
          <w:rFonts w:hint="eastAsia" w:ascii="宋体" w:hAnsi="Times New Roman"/>
          <w:kern w:val="0"/>
          <w:szCs w:val="20"/>
        </w:rPr>
        <w:t>）</w:t>
      </w:r>
    </w:p>
    <w:p>
      <w:pPr>
        <w:autoSpaceDE w:val="0"/>
        <w:autoSpaceDN w:val="0"/>
        <w:adjustRightInd/>
        <w:spacing w:line="240" w:lineRule="auto"/>
        <w:ind w:firstLine="210" w:firstLineChars="100"/>
        <w:jc w:val="left"/>
        <w:rPr>
          <w:rFonts w:ascii="宋体" w:hAnsi="Times New Roman"/>
          <w:kern w:val="0"/>
          <w:szCs w:val="20"/>
        </w:rPr>
        <w:sectPr>
          <w:footerReference r:id="rId12" w:type="default"/>
          <w:pgSz w:w="11906" w:h="16838"/>
          <w:pgMar w:top="1440" w:right="1800" w:bottom="1440" w:left="1800" w:header="851" w:footer="992" w:gutter="0"/>
          <w:cols w:space="425" w:num="1"/>
          <w:docGrid w:type="lines" w:linePitch="312" w:charSpace="0"/>
        </w:sectPr>
      </w:pPr>
    </w:p>
    <w:p>
      <w:pPr>
        <w:autoSpaceDE w:val="0"/>
        <w:autoSpaceDN w:val="0"/>
        <w:adjustRightInd/>
        <w:spacing w:line="240" w:lineRule="auto"/>
        <w:ind w:firstLine="210" w:firstLineChars="100"/>
        <w:jc w:val="left"/>
        <w:rPr>
          <w:rFonts w:ascii="宋体" w:hAnsi="Times New Roman"/>
          <w:kern w:val="0"/>
          <w:szCs w:val="20"/>
        </w:rPr>
      </w:pPr>
      <w:r>
        <w:rPr>
          <w:rFonts w:hint="eastAsia" w:ascii="宋体" w:hAnsi="Times New Roman"/>
          <w:kern w:val="0"/>
          <w:szCs w:val="20"/>
        </w:rPr>
        <w:t>式中：Q</w:t>
      </w:r>
      <w:r>
        <w:rPr>
          <w:rFonts w:hint="eastAsia" w:ascii="宋体" w:hAnsi="Times New Roman"/>
          <w:kern w:val="0"/>
          <w:szCs w:val="20"/>
          <w:vertAlign w:val="subscript"/>
        </w:rPr>
        <w:t>4b</w:t>
      </w:r>
      <w:r>
        <w:rPr>
          <w:rFonts w:hint="eastAsia" w:ascii="宋体" w:hAnsi="Times New Roman"/>
          <w:kern w:val="0"/>
          <w:szCs w:val="20"/>
        </w:rPr>
        <w:t>──平面布置标准化应用比例；</w:t>
      </w:r>
    </w:p>
    <w:p>
      <w:pPr>
        <w:autoSpaceDE w:val="0"/>
        <w:autoSpaceDN w:val="0"/>
        <w:adjustRightInd/>
        <w:spacing w:line="240" w:lineRule="auto"/>
        <w:ind w:left="1470" w:leftChars="400" w:hanging="630" w:hangingChars="300"/>
        <w:jc w:val="left"/>
        <w:rPr>
          <w:rFonts w:ascii="宋体" w:hAnsi="Times New Roman"/>
          <w:kern w:val="0"/>
          <w:szCs w:val="20"/>
        </w:rPr>
      </w:pPr>
      <w:r>
        <w:rPr>
          <w:rFonts w:hint="eastAsia" w:ascii="宋体" w:hAnsi="Times New Roman"/>
          <w:kern w:val="0"/>
          <w:szCs w:val="20"/>
        </w:rPr>
        <w:t>N</w:t>
      </w:r>
      <w:r>
        <w:rPr>
          <w:rFonts w:hint="eastAsia" w:ascii="宋体" w:hAnsi="Times New Roman"/>
          <w:kern w:val="0"/>
          <w:szCs w:val="20"/>
          <w:vertAlign w:val="subscript"/>
        </w:rPr>
        <w:t>4b</w:t>
      </w:r>
      <w:r>
        <w:rPr>
          <w:rFonts w:ascii="宋体" w:hAnsi="Times New Roman"/>
          <w:kern w:val="0"/>
          <w:szCs w:val="20"/>
          <w:vertAlign w:val="subscript"/>
        </w:rPr>
        <w:t>1</w:t>
      </w:r>
      <w:r>
        <w:rPr>
          <w:rFonts w:hint="eastAsia" w:ascii="宋体" w:hAnsi="Times New Roman"/>
          <w:kern w:val="0"/>
          <w:szCs w:val="20"/>
        </w:rPr>
        <w:t>──平面优先尺寸的典型功能空间的总面积；</w:t>
      </w:r>
    </w:p>
    <w:p>
      <w:pPr>
        <w:autoSpaceDE w:val="0"/>
        <w:autoSpaceDN w:val="0"/>
        <w:adjustRightInd/>
        <w:spacing w:line="240" w:lineRule="auto"/>
        <w:ind w:left="1470" w:leftChars="400" w:hanging="630" w:hangingChars="300"/>
        <w:jc w:val="left"/>
      </w:pPr>
      <w:r>
        <w:rPr>
          <w:rFonts w:hint="eastAsia" w:ascii="宋体" w:hAnsi="Times New Roman"/>
          <w:kern w:val="0"/>
          <w:szCs w:val="20"/>
        </w:rPr>
        <w:t>N</w:t>
      </w:r>
      <w:r>
        <w:rPr>
          <w:rFonts w:hint="eastAsia" w:ascii="宋体" w:hAnsi="Times New Roman"/>
          <w:kern w:val="0"/>
          <w:szCs w:val="20"/>
          <w:vertAlign w:val="subscript"/>
        </w:rPr>
        <w:t>4b</w:t>
      </w:r>
      <w:r>
        <w:rPr>
          <w:rFonts w:ascii="宋体" w:hAnsi="Times New Roman"/>
          <w:kern w:val="0"/>
          <w:szCs w:val="20"/>
          <w:vertAlign w:val="subscript"/>
        </w:rPr>
        <w:t>2</w:t>
      </w:r>
      <w:r>
        <w:rPr>
          <w:rFonts w:hint="eastAsia" w:ascii="宋体" w:hAnsi="Times New Roman"/>
          <w:kern w:val="0"/>
          <w:szCs w:val="20"/>
        </w:rPr>
        <w:t>──重复使用率最多的三种基本单元（含其镜像单元）的总面积；</w:t>
      </w:r>
    </w:p>
    <w:p>
      <w:pPr>
        <w:autoSpaceDE w:val="0"/>
        <w:autoSpaceDN w:val="0"/>
        <w:adjustRightInd/>
        <w:spacing w:line="240" w:lineRule="auto"/>
        <w:ind w:firstLine="840" w:firstLineChars="400"/>
        <w:jc w:val="left"/>
        <w:rPr>
          <w:rFonts w:ascii="宋体" w:hAnsi="Times New Roman"/>
          <w:kern w:val="0"/>
          <w:szCs w:val="20"/>
        </w:rPr>
      </w:pPr>
      <w:r>
        <w:rPr>
          <w:rFonts w:hint="eastAsia" w:ascii="宋体" w:hAnsi="Times New Roman"/>
          <w:kern w:val="0"/>
          <w:szCs w:val="20"/>
        </w:rPr>
        <w:t>N──所有评价单元总建筑面积。</w:t>
      </w:r>
    </w:p>
    <w:p>
      <w:pPr>
        <w:autoSpaceDE w:val="0"/>
        <w:autoSpaceDN w:val="0"/>
        <w:adjustRightInd/>
        <w:spacing w:line="240" w:lineRule="auto"/>
        <w:jc w:val="left"/>
        <w:rPr>
          <w:rFonts w:ascii="宋体" w:hAnsi="Times New Roman"/>
          <w:kern w:val="0"/>
          <w:szCs w:val="20"/>
        </w:rPr>
      </w:pPr>
      <w:r>
        <w:rPr>
          <w:rFonts w:ascii="黑体" w:hAnsi="黑体" w:eastAsia="黑体"/>
          <w:b/>
          <w:bCs/>
          <w:kern w:val="0"/>
          <w:szCs w:val="20"/>
        </w:rPr>
        <w:t>5.</w:t>
      </w:r>
      <w:r>
        <w:rPr>
          <w:rFonts w:hint="eastAsia" w:ascii="黑体" w:hAnsi="黑体" w:eastAsia="黑体"/>
          <w:b/>
          <w:bCs/>
          <w:kern w:val="0"/>
          <w:szCs w:val="20"/>
        </w:rPr>
        <w:t>15</w:t>
      </w:r>
      <w:r>
        <w:rPr>
          <w:rFonts w:ascii="宋体" w:hAnsi="Times New Roman"/>
          <w:kern w:val="0"/>
          <w:szCs w:val="20"/>
        </w:rPr>
        <w:t xml:space="preserve"> </w:t>
      </w:r>
      <w:r>
        <w:rPr>
          <w:rFonts w:hint="eastAsia" w:ascii="宋体" w:hAnsi="Times New Roman"/>
          <w:kern w:val="0"/>
          <w:szCs w:val="20"/>
        </w:rPr>
        <w:t>标准化柱网应用</w:t>
      </w:r>
      <w:r>
        <w:rPr>
          <w:rFonts w:ascii="宋体" w:hAnsi="Times New Roman"/>
          <w:kern w:val="0"/>
          <w:szCs w:val="20"/>
        </w:rPr>
        <w:t>比例应按下列</w:t>
      </w:r>
      <w:r>
        <w:rPr>
          <w:rFonts w:hint="eastAsia" w:ascii="宋体" w:hAnsi="Times New Roman"/>
          <w:kern w:val="0"/>
          <w:szCs w:val="20"/>
        </w:rPr>
        <w:t>（公式1</w:t>
      </w:r>
      <w:r>
        <w:rPr>
          <w:rFonts w:ascii="宋体" w:hAnsi="Times New Roman"/>
          <w:kern w:val="0"/>
          <w:szCs w:val="20"/>
        </w:rPr>
        <w:t>6</w:t>
      </w:r>
      <w:r>
        <w:rPr>
          <w:rFonts w:hint="eastAsia" w:ascii="宋体" w:hAnsi="Times New Roman"/>
          <w:kern w:val="0"/>
          <w:szCs w:val="20"/>
        </w:rPr>
        <w:t>）</w:t>
      </w:r>
      <w:r>
        <w:rPr>
          <w:rFonts w:ascii="宋体" w:hAnsi="Times New Roman"/>
          <w:kern w:val="0"/>
          <w:szCs w:val="20"/>
        </w:rPr>
        <w:t>计算</w:t>
      </w:r>
      <w:r>
        <w:rPr>
          <w:rFonts w:hint="eastAsia" w:ascii="宋体" w:hAnsi="Times New Roman"/>
          <w:kern w:val="0"/>
          <w:szCs w:val="20"/>
        </w:rPr>
        <w:t>：</w:t>
      </w:r>
    </w:p>
    <w:p>
      <w:pPr>
        <w:autoSpaceDE w:val="0"/>
        <w:autoSpaceDN w:val="0"/>
        <w:adjustRightInd/>
        <w:spacing w:line="240" w:lineRule="auto"/>
        <w:ind w:firstLine="3780" w:firstLineChars="1800"/>
        <w:jc w:val="left"/>
        <w:rPr>
          <w:rFonts w:ascii="宋体" w:hAnsi="Times New Roman"/>
          <w:kern w:val="0"/>
          <w:szCs w:val="20"/>
        </w:rPr>
      </w:pPr>
      <w:r>
        <w:rPr>
          <w:rFonts w:hint="eastAsia" w:ascii="宋体" w:hAnsi="Times New Roman"/>
          <w:kern w:val="0"/>
          <w:szCs w:val="20"/>
        </w:rPr>
        <w:t>Q</w:t>
      </w:r>
      <w:r>
        <w:rPr>
          <w:rFonts w:hint="eastAsia" w:ascii="宋体" w:hAnsi="Times New Roman"/>
          <w:kern w:val="0"/>
          <w:szCs w:val="20"/>
          <w:vertAlign w:val="subscript"/>
        </w:rPr>
        <w:t>4c</w:t>
      </w:r>
      <w:r>
        <w:rPr>
          <w:rFonts w:hint="eastAsia" w:ascii="宋体" w:hAnsi="Times New Roman"/>
          <w:kern w:val="0"/>
          <w:szCs w:val="20"/>
        </w:rPr>
        <w:t>=A</w:t>
      </w:r>
      <w:r>
        <w:rPr>
          <w:rFonts w:hint="eastAsia" w:ascii="宋体" w:hAnsi="Times New Roman"/>
          <w:kern w:val="0"/>
          <w:szCs w:val="20"/>
          <w:vertAlign w:val="subscript"/>
        </w:rPr>
        <w:t>4c</w:t>
      </w:r>
      <w:r>
        <w:rPr>
          <w:rFonts w:hint="eastAsia" w:ascii="宋体" w:hAnsi="Times New Roman"/>
          <w:kern w:val="0"/>
          <w:szCs w:val="20"/>
        </w:rPr>
        <w:t>/A</w:t>
      </w:r>
      <w:r>
        <w:rPr>
          <w:rFonts w:hint="eastAsia" w:ascii="宋体" w:hAnsi="Times New Roman"/>
          <w:kern w:val="0"/>
          <w:szCs w:val="20"/>
          <w:vertAlign w:val="subscript"/>
        </w:rPr>
        <w:t>t</w:t>
      </w:r>
      <w:r>
        <w:rPr>
          <w:rFonts w:hint="eastAsia" w:ascii="宋体" w:hAnsi="Times New Roman"/>
          <w:kern w:val="0"/>
          <w:szCs w:val="20"/>
        </w:rPr>
        <w:t>×100%</w:t>
      </w:r>
      <w:r>
        <w:rPr>
          <w:rFonts w:hint="eastAsia" w:ascii="宋体" w:hAnsi="Times New Roman"/>
          <w:kern w:val="0"/>
          <w:szCs w:val="20"/>
        </w:rPr>
        <w:tab/>
      </w:r>
      <w:r>
        <w:rPr>
          <w:rFonts w:ascii="宋体" w:hAnsi="Times New Roman"/>
          <w:kern w:val="0"/>
          <w:szCs w:val="20"/>
        </w:rPr>
        <w:t xml:space="preserve">                        </w:t>
      </w:r>
      <w:r>
        <w:rPr>
          <w:rFonts w:hint="eastAsia" w:ascii="宋体" w:hAnsi="Times New Roman"/>
          <w:kern w:val="0"/>
          <w:szCs w:val="20"/>
        </w:rPr>
        <w:t xml:space="preserve">   （</w:t>
      </w:r>
      <w:r>
        <w:rPr>
          <w:rFonts w:ascii="宋体" w:hAnsi="Times New Roman"/>
          <w:kern w:val="0"/>
          <w:szCs w:val="20"/>
        </w:rPr>
        <w:t>公式</w:t>
      </w:r>
      <w:r>
        <w:rPr>
          <w:rFonts w:hint="eastAsia" w:ascii="宋体" w:hAnsi="Times New Roman"/>
          <w:kern w:val="0"/>
          <w:szCs w:val="20"/>
        </w:rPr>
        <w:t>1</w:t>
      </w:r>
      <w:r>
        <w:rPr>
          <w:rFonts w:ascii="宋体" w:hAnsi="Times New Roman"/>
          <w:kern w:val="0"/>
          <w:szCs w:val="20"/>
        </w:rPr>
        <w:t>6</w:t>
      </w:r>
      <w:r>
        <w:rPr>
          <w:rFonts w:hint="eastAsia" w:ascii="宋体" w:hAnsi="Times New Roman"/>
          <w:kern w:val="0"/>
          <w:szCs w:val="20"/>
        </w:rPr>
        <w:t>）</w:t>
      </w:r>
    </w:p>
    <w:p>
      <w:pPr>
        <w:autoSpaceDE w:val="0"/>
        <w:autoSpaceDN w:val="0"/>
        <w:adjustRightInd/>
        <w:spacing w:line="240" w:lineRule="auto"/>
        <w:ind w:firstLine="210" w:firstLineChars="100"/>
        <w:jc w:val="left"/>
        <w:rPr>
          <w:rFonts w:ascii="宋体" w:hAnsi="Times New Roman"/>
          <w:kern w:val="0"/>
          <w:szCs w:val="20"/>
        </w:rPr>
      </w:pPr>
      <w:r>
        <w:rPr>
          <w:rFonts w:hint="eastAsia" w:ascii="宋体" w:hAnsi="Times New Roman"/>
          <w:kern w:val="0"/>
          <w:szCs w:val="20"/>
        </w:rPr>
        <w:t>式中：Q</w:t>
      </w:r>
      <w:r>
        <w:rPr>
          <w:rFonts w:hint="eastAsia" w:ascii="宋体" w:hAnsi="Times New Roman"/>
          <w:kern w:val="0"/>
          <w:szCs w:val="20"/>
          <w:vertAlign w:val="subscript"/>
        </w:rPr>
        <w:t>4c</w:t>
      </w:r>
      <w:r>
        <w:rPr>
          <w:rFonts w:hint="eastAsia" w:ascii="宋体" w:hAnsi="Times New Roman"/>
          <w:kern w:val="0"/>
          <w:szCs w:val="20"/>
        </w:rPr>
        <w:t>──标准化柱网应用比例；</w:t>
      </w:r>
    </w:p>
    <w:p>
      <w:pPr>
        <w:autoSpaceDE w:val="0"/>
        <w:autoSpaceDN w:val="0"/>
        <w:adjustRightInd/>
        <w:spacing w:line="240" w:lineRule="auto"/>
        <w:ind w:left="1470" w:leftChars="400" w:hanging="630" w:hangingChars="300"/>
        <w:jc w:val="left"/>
        <w:rPr>
          <w:rFonts w:ascii="宋体" w:hAnsi="Times New Roman"/>
          <w:kern w:val="0"/>
          <w:szCs w:val="20"/>
        </w:rPr>
      </w:pPr>
      <w:r>
        <w:rPr>
          <w:rFonts w:hint="eastAsia" w:ascii="宋体" w:hAnsi="Times New Roman"/>
          <w:kern w:val="0"/>
          <w:szCs w:val="20"/>
        </w:rPr>
        <w:t>A</w:t>
      </w:r>
      <w:r>
        <w:rPr>
          <w:rFonts w:hint="eastAsia" w:ascii="宋体" w:hAnsi="Times New Roman"/>
          <w:kern w:val="0"/>
          <w:szCs w:val="20"/>
          <w:vertAlign w:val="subscript"/>
        </w:rPr>
        <w:t>4c</w:t>
      </w:r>
      <w:r>
        <w:rPr>
          <w:rFonts w:hint="eastAsia" w:ascii="宋体" w:hAnsi="Times New Roman"/>
          <w:kern w:val="0"/>
          <w:szCs w:val="20"/>
        </w:rPr>
        <w:t>──各层标准柱网按轴线计算的面积之和；</w:t>
      </w:r>
    </w:p>
    <w:p>
      <w:pPr>
        <w:autoSpaceDE w:val="0"/>
        <w:autoSpaceDN w:val="0"/>
        <w:adjustRightInd/>
        <w:spacing w:line="240" w:lineRule="auto"/>
        <w:ind w:firstLine="840" w:firstLineChars="400"/>
        <w:jc w:val="left"/>
        <w:rPr>
          <w:rFonts w:ascii="宋体" w:hAnsi="Times New Roman"/>
          <w:kern w:val="0"/>
          <w:szCs w:val="20"/>
        </w:rPr>
      </w:pPr>
      <w:r>
        <w:rPr>
          <w:rFonts w:hint="eastAsia" w:ascii="宋体" w:hAnsi="Times New Roman"/>
          <w:kern w:val="0"/>
          <w:szCs w:val="20"/>
        </w:rPr>
        <w:t>A</w:t>
      </w:r>
      <w:r>
        <w:rPr>
          <w:rFonts w:hint="eastAsia" w:ascii="宋体" w:hAnsi="Times New Roman"/>
          <w:kern w:val="0"/>
          <w:szCs w:val="20"/>
          <w:vertAlign w:val="subscript"/>
        </w:rPr>
        <w:t>t</w:t>
      </w:r>
      <w:r>
        <w:rPr>
          <w:rFonts w:hint="eastAsia" w:ascii="宋体" w:hAnsi="Times New Roman"/>
          <w:kern w:val="0"/>
          <w:szCs w:val="20"/>
        </w:rPr>
        <w:t>──各层建筑面积之和。</w:t>
      </w:r>
    </w:p>
    <w:p>
      <w:pPr>
        <w:autoSpaceDE w:val="0"/>
        <w:autoSpaceDN w:val="0"/>
        <w:adjustRightInd/>
        <w:spacing w:line="240" w:lineRule="auto"/>
        <w:jc w:val="left"/>
        <w:rPr>
          <w:rFonts w:ascii="宋体" w:hAnsi="Times New Roman"/>
          <w:kern w:val="0"/>
          <w:szCs w:val="20"/>
        </w:rPr>
      </w:pPr>
      <w:r>
        <w:rPr>
          <w:rFonts w:ascii="黑体" w:hAnsi="黑体" w:eastAsia="黑体"/>
          <w:b/>
          <w:bCs/>
          <w:kern w:val="0"/>
          <w:szCs w:val="20"/>
        </w:rPr>
        <w:t>5</w:t>
      </w:r>
      <w:r>
        <w:rPr>
          <w:rFonts w:hint="eastAsia" w:ascii="黑体" w:hAnsi="黑体" w:eastAsia="黑体"/>
          <w:b/>
          <w:bCs/>
          <w:kern w:val="0"/>
          <w:szCs w:val="20"/>
        </w:rPr>
        <w:t>.</w:t>
      </w:r>
      <w:r>
        <w:rPr>
          <w:rFonts w:ascii="黑体" w:hAnsi="黑体" w:eastAsia="黑体"/>
          <w:b/>
          <w:bCs/>
          <w:kern w:val="0"/>
          <w:szCs w:val="20"/>
        </w:rPr>
        <w:t>16</w:t>
      </w:r>
      <w:r>
        <w:rPr>
          <w:rFonts w:ascii="宋体" w:hAnsi="Times New Roman"/>
          <w:kern w:val="0"/>
          <w:szCs w:val="20"/>
        </w:rPr>
        <w:t xml:space="preserve"> </w:t>
      </w:r>
      <w:r>
        <w:rPr>
          <w:rFonts w:hint="eastAsia" w:ascii="宋体" w:hAnsi="Times New Roman"/>
          <w:kern w:val="0"/>
          <w:szCs w:val="20"/>
        </w:rPr>
        <w:t>创新项指标得分值按如下要求计算得分：</w:t>
      </w:r>
    </w:p>
    <w:p>
      <w:pPr>
        <w:autoSpaceDE w:val="0"/>
        <w:autoSpaceDN w:val="0"/>
        <w:adjustRightInd/>
        <w:spacing w:line="240" w:lineRule="auto"/>
        <w:jc w:val="left"/>
        <w:rPr>
          <w:rFonts w:ascii="宋体" w:hAnsi="Times New Roman"/>
          <w:kern w:val="0"/>
          <w:szCs w:val="20"/>
        </w:rPr>
      </w:pPr>
      <w:r>
        <w:rPr>
          <w:rFonts w:ascii="黑体" w:hAnsi="黑体" w:eastAsia="黑体"/>
          <w:b/>
          <w:bCs/>
          <w:kern w:val="0"/>
          <w:szCs w:val="20"/>
        </w:rPr>
        <w:t>5.16.1</w:t>
      </w:r>
      <w:r>
        <w:rPr>
          <w:rFonts w:hint="eastAsia" w:ascii="宋体" w:hAnsi="Times New Roman"/>
          <w:kern w:val="0"/>
          <w:szCs w:val="20"/>
        </w:rPr>
        <w:t xml:space="preserve"> 工程总承包（EPC）是指从事建设工程总承包的单位按照与建设单位签订的合同，对工程项目的设计、采购、施工等实行全过程承包，并对工程的质量、安全、工期等全面负责的工程承包方式。</w:t>
      </w:r>
    </w:p>
    <w:p>
      <w:pPr>
        <w:autoSpaceDE w:val="0"/>
        <w:autoSpaceDN w:val="0"/>
        <w:adjustRightInd/>
        <w:spacing w:line="240" w:lineRule="auto"/>
        <w:jc w:val="left"/>
        <w:rPr>
          <w:rFonts w:ascii="宋体" w:hAnsi="Times New Roman"/>
          <w:kern w:val="0"/>
          <w:szCs w:val="20"/>
        </w:rPr>
      </w:pPr>
      <w:r>
        <w:rPr>
          <w:rFonts w:hint="eastAsia" w:ascii="黑体" w:hAnsi="黑体" w:eastAsia="黑体"/>
          <w:b/>
          <w:bCs/>
          <w:kern w:val="0"/>
          <w:szCs w:val="20"/>
        </w:rPr>
        <w:t>5</w:t>
      </w:r>
      <w:r>
        <w:rPr>
          <w:rFonts w:ascii="黑体" w:hAnsi="黑体" w:eastAsia="黑体"/>
          <w:b/>
          <w:bCs/>
          <w:kern w:val="0"/>
          <w:szCs w:val="20"/>
        </w:rPr>
        <w:t xml:space="preserve">.16.2 </w:t>
      </w:r>
      <w:r>
        <w:rPr>
          <w:rFonts w:hint="eastAsia" w:ascii="宋体" w:hAnsi="Times New Roman"/>
          <w:kern w:val="0"/>
          <w:szCs w:val="20"/>
        </w:rPr>
        <w:t>装配式装修是指装配式建筑各功能区间（不含架空层、室外连廊、阳台、水电管井）的墙面、楼面、地面、顶面采用干式工法免湿作业进行装修。</w:t>
      </w:r>
    </w:p>
    <w:p>
      <w:pPr>
        <w:autoSpaceDE w:val="0"/>
        <w:autoSpaceDN w:val="0"/>
        <w:adjustRightInd/>
        <w:spacing w:line="240" w:lineRule="auto"/>
        <w:jc w:val="left"/>
        <w:rPr>
          <w:rFonts w:ascii="宋体" w:hAnsi="Times New Roman"/>
          <w:kern w:val="0"/>
          <w:szCs w:val="20"/>
        </w:rPr>
      </w:pPr>
      <w:r>
        <w:rPr>
          <w:rFonts w:ascii="黑体" w:hAnsi="黑体" w:eastAsia="黑体"/>
          <w:b/>
          <w:bCs/>
          <w:kern w:val="0"/>
          <w:szCs w:val="20"/>
        </w:rPr>
        <w:t>5.</w:t>
      </w:r>
      <w:r>
        <w:rPr>
          <w:rFonts w:hint="eastAsia" w:ascii="黑体" w:hAnsi="黑体" w:eastAsia="黑体"/>
          <w:b/>
          <w:bCs/>
          <w:kern w:val="0"/>
          <w:szCs w:val="20"/>
        </w:rPr>
        <w:t>16.</w:t>
      </w:r>
      <w:r>
        <w:rPr>
          <w:rFonts w:ascii="黑体" w:hAnsi="黑体" w:eastAsia="黑体"/>
          <w:b/>
          <w:bCs/>
          <w:kern w:val="0"/>
          <w:szCs w:val="20"/>
        </w:rPr>
        <w:t>3</w:t>
      </w:r>
      <w:r>
        <w:rPr>
          <w:rFonts w:hint="eastAsia" w:ascii="宋体" w:hAnsi="Times New Roman"/>
          <w:kern w:val="0"/>
          <w:szCs w:val="20"/>
        </w:rPr>
        <w:t xml:space="preserve"> 信息化管理（含BIM技术）得分值按如下要求计算得分：</w:t>
      </w:r>
    </w:p>
    <w:p>
      <w:pPr>
        <w:autoSpaceDE w:val="0"/>
        <w:autoSpaceDN w:val="0"/>
        <w:adjustRightInd/>
        <w:spacing w:line="240" w:lineRule="auto"/>
        <w:ind w:firstLine="420" w:firstLineChars="200"/>
        <w:jc w:val="left"/>
        <w:rPr>
          <w:rFonts w:ascii="宋体" w:hAnsi="Times New Roman"/>
          <w:kern w:val="0"/>
          <w:szCs w:val="20"/>
        </w:rPr>
      </w:pPr>
      <w:r>
        <w:rPr>
          <w:rFonts w:hint="eastAsia" w:ascii="宋体" w:hAnsi="Times New Roman"/>
          <w:kern w:val="0"/>
          <w:szCs w:val="20"/>
        </w:rPr>
        <w:t>信息化管理（含BIM技术）在设计阶段的</w:t>
      </w:r>
      <w:r>
        <w:rPr>
          <w:rFonts w:ascii="宋体" w:hAnsi="Times New Roman"/>
          <w:kern w:val="0"/>
          <w:szCs w:val="20"/>
        </w:rPr>
        <w:t>应用点</w:t>
      </w:r>
      <w:r>
        <w:rPr>
          <w:rFonts w:hint="eastAsia" w:ascii="宋体" w:hAnsi="Times New Roman"/>
          <w:kern w:val="0"/>
          <w:szCs w:val="20"/>
        </w:rPr>
        <w:t>包括</w:t>
      </w:r>
      <w:r>
        <w:rPr>
          <w:rFonts w:ascii="宋体" w:hAnsi="Times New Roman"/>
          <w:kern w:val="0"/>
          <w:szCs w:val="20"/>
        </w:rPr>
        <w:t>：节点设计、碰撞检</w:t>
      </w:r>
      <w:r>
        <w:rPr>
          <w:rFonts w:hint="eastAsia" w:ascii="宋体" w:hAnsi="Times New Roman"/>
          <w:kern w:val="0"/>
          <w:szCs w:val="20"/>
        </w:rPr>
        <w:t>测</w:t>
      </w:r>
      <w:r>
        <w:rPr>
          <w:rFonts w:ascii="宋体" w:hAnsi="Times New Roman"/>
          <w:kern w:val="0"/>
          <w:szCs w:val="20"/>
        </w:rPr>
        <w:t>、工程量清单、可视化展示、管线综合</w:t>
      </w:r>
      <w:r>
        <w:rPr>
          <w:rFonts w:hint="eastAsia" w:ascii="宋体" w:hAnsi="Times New Roman"/>
          <w:kern w:val="0"/>
          <w:szCs w:val="20"/>
        </w:rPr>
        <w:t>、</w:t>
      </w:r>
      <w:r>
        <w:rPr>
          <w:rFonts w:ascii="宋体" w:hAnsi="Times New Roman"/>
          <w:kern w:val="0"/>
          <w:szCs w:val="20"/>
        </w:rPr>
        <w:t>三维模型交付</w:t>
      </w:r>
      <w:r>
        <w:rPr>
          <w:rFonts w:hint="eastAsia" w:ascii="宋体" w:hAnsi="Times New Roman"/>
          <w:kern w:val="0"/>
          <w:szCs w:val="20"/>
        </w:rPr>
        <w:t>、</w:t>
      </w:r>
      <w:r>
        <w:rPr>
          <w:rFonts w:ascii="宋体" w:hAnsi="Times New Roman"/>
          <w:kern w:val="0"/>
          <w:szCs w:val="20"/>
        </w:rPr>
        <w:t>正向设计出图</w:t>
      </w:r>
      <w:r>
        <w:rPr>
          <w:rFonts w:hint="eastAsia" w:ascii="宋体" w:hAnsi="Times New Roman"/>
          <w:kern w:val="0"/>
          <w:szCs w:val="20"/>
        </w:rPr>
        <w:t>等</w:t>
      </w:r>
      <w:r>
        <w:rPr>
          <w:rFonts w:ascii="宋体" w:hAnsi="Times New Roman"/>
          <w:kern w:val="0"/>
          <w:szCs w:val="20"/>
        </w:rPr>
        <w:t>，</w:t>
      </w:r>
      <w:r>
        <w:rPr>
          <w:rFonts w:hint="eastAsia" w:ascii="宋体" w:hAnsi="Times New Roman"/>
          <w:kern w:val="0"/>
          <w:szCs w:val="20"/>
        </w:rPr>
        <w:t>每个技术</w:t>
      </w:r>
      <w:r>
        <w:rPr>
          <w:rFonts w:ascii="宋体" w:hAnsi="Times New Roman"/>
          <w:kern w:val="0"/>
          <w:szCs w:val="20"/>
        </w:rPr>
        <w:t>应用点</w:t>
      </w:r>
      <w:r>
        <w:rPr>
          <w:rFonts w:hint="eastAsia" w:ascii="宋体" w:hAnsi="Times New Roman"/>
          <w:kern w:val="0"/>
          <w:szCs w:val="20"/>
        </w:rPr>
        <w:t>提供相关资料可得0.5分</w:t>
      </w:r>
      <w:r>
        <w:rPr>
          <w:rFonts w:ascii="宋体" w:hAnsi="Times New Roman"/>
          <w:kern w:val="0"/>
          <w:szCs w:val="20"/>
        </w:rPr>
        <w:t>，总分不超过1</w:t>
      </w:r>
      <w:r>
        <w:rPr>
          <w:rFonts w:hint="eastAsia" w:ascii="宋体" w:hAnsi="Times New Roman"/>
          <w:kern w:val="0"/>
          <w:szCs w:val="20"/>
        </w:rPr>
        <w:t>分。</w:t>
      </w:r>
    </w:p>
    <w:p>
      <w:pPr>
        <w:autoSpaceDE w:val="0"/>
        <w:autoSpaceDN w:val="0"/>
        <w:adjustRightInd/>
        <w:spacing w:line="240" w:lineRule="auto"/>
        <w:ind w:firstLine="420" w:firstLineChars="200"/>
        <w:jc w:val="left"/>
        <w:rPr>
          <w:rFonts w:ascii="宋体" w:hAnsi="Times New Roman"/>
          <w:kern w:val="0"/>
          <w:szCs w:val="20"/>
        </w:rPr>
      </w:pPr>
      <w:r>
        <w:t>生产阶段BIM技术应用点包括：利用BIM构件加工图进行数字化加工、采用射频识别(RFID) 或二维码识别预制构件主要信息、建立预制构件信息库和质量可追溯系统、建立预制构件运输信息化实时定位监控系统等</w:t>
      </w:r>
      <w:r>
        <w:rPr>
          <w:rFonts w:hint="eastAsia"/>
        </w:rPr>
        <w:t>，</w:t>
      </w:r>
      <w:r>
        <w:rPr>
          <w:rFonts w:hint="eastAsia" w:ascii="宋体" w:hAnsi="Times New Roman"/>
          <w:kern w:val="0"/>
          <w:szCs w:val="20"/>
        </w:rPr>
        <w:t>每个技术</w:t>
      </w:r>
      <w:r>
        <w:rPr>
          <w:rFonts w:ascii="宋体" w:hAnsi="Times New Roman"/>
          <w:kern w:val="0"/>
          <w:szCs w:val="20"/>
        </w:rPr>
        <w:t>应用点</w:t>
      </w:r>
      <w:r>
        <w:rPr>
          <w:rFonts w:hint="eastAsia" w:ascii="宋体" w:hAnsi="Times New Roman"/>
          <w:kern w:val="0"/>
          <w:szCs w:val="20"/>
        </w:rPr>
        <w:t>提供相关资料可得0.5分</w:t>
      </w:r>
      <w:r>
        <w:rPr>
          <w:rFonts w:ascii="宋体" w:hAnsi="Times New Roman"/>
          <w:kern w:val="0"/>
          <w:szCs w:val="20"/>
        </w:rPr>
        <w:t>，总分不超过1</w:t>
      </w:r>
      <w:r>
        <w:rPr>
          <w:rFonts w:hint="eastAsia" w:ascii="宋体" w:hAnsi="Times New Roman"/>
          <w:kern w:val="0"/>
          <w:szCs w:val="20"/>
        </w:rPr>
        <w:t>分。</w:t>
      </w:r>
    </w:p>
    <w:p>
      <w:pPr>
        <w:autoSpaceDE w:val="0"/>
        <w:autoSpaceDN w:val="0"/>
        <w:adjustRightInd/>
        <w:spacing w:line="240" w:lineRule="auto"/>
        <w:ind w:firstLine="420" w:firstLineChars="200"/>
        <w:jc w:val="left"/>
      </w:pPr>
      <w:r>
        <w:rPr>
          <w:rFonts w:hint="eastAsia" w:ascii="宋体" w:hAnsi="Times New Roman"/>
          <w:kern w:val="0"/>
          <w:szCs w:val="20"/>
        </w:rPr>
        <w:t>在</w:t>
      </w:r>
      <w:r>
        <w:rPr>
          <w:rFonts w:ascii="宋体" w:hAnsi="Times New Roman"/>
          <w:kern w:val="0"/>
          <w:szCs w:val="20"/>
        </w:rPr>
        <w:t>施工阶段</w:t>
      </w:r>
      <w:r>
        <w:rPr>
          <w:rFonts w:hint="eastAsia" w:ascii="宋体" w:hAnsi="Times New Roman"/>
          <w:kern w:val="0"/>
          <w:szCs w:val="20"/>
        </w:rPr>
        <w:t>B</w:t>
      </w:r>
      <w:r>
        <w:rPr>
          <w:rFonts w:ascii="宋体" w:hAnsi="Times New Roman"/>
          <w:kern w:val="0"/>
          <w:szCs w:val="20"/>
        </w:rPr>
        <w:t>IM</w:t>
      </w:r>
      <w:r>
        <w:rPr>
          <w:rFonts w:hint="eastAsia" w:ascii="宋体" w:hAnsi="Times New Roman"/>
          <w:kern w:val="0"/>
          <w:szCs w:val="20"/>
        </w:rPr>
        <w:t>技术</w:t>
      </w:r>
      <w:r>
        <w:rPr>
          <w:rFonts w:ascii="宋体" w:hAnsi="Times New Roman"/>
          <w:kern w:val="0"/>
          <w:szCs w:val="20"/>
        </w:rPr>
        <w:t>应用点</w:t>
      </w:r>
      <w:r>
        <w:rPr>
          <w:rFonts w:hint="eastAsia" w:ascii="宋体" w:hAnsi="Times New Roman"/>
          <w:kern w:val="0"/>
          <w:szCs w:val="20"/>
        </w:rPr>
        <w:t>包括</w:t>
      </w:r>
      <w:r>
        <w:rPr>
          <w:rFonts w:ascii="宋体" w:hAnsi="Times New Roman"/>
          <w:kern w:val="0"/>
          <w:szCs w:val="20"/>
        </w:rPr>
        <w:t>：施工</w:t>
      </w:r>
      <w:r>
        <w:rPr>
          <w:rFonts w:hint="eastAsia" w:ascii="宋体" w:hAnsi="Times New Roman"/>
          <w:kern w:val="0"/>
          <w:szCs w:val="20"/>
        </w:rPr>
        <w:t>平面布置</w:t>
      </w:r>
      <w:r>
        <w:rPr>
          <w:rFonts w:ascii="宋体" w:hAnsi="Times New Roman"/>
          <w:kern w:val="0"/>
          <w:szCs w:val="20"/>
        </w:rPr>
        <w:t>模拟、</w:t>
      </w:r>
      <w:r>
        <w:rPr>
          <w:rFonts w:hint="eastAsia" w:ascii="宋体" w:hAnsi="Times New Roman"/>
          <w:kern w:val="0"/>
          <w:szCs w:val="20"/>
        </w:rPr>
        <w:t>重点施工</w:t>
      </w:r>
      <w:r>
        <w:rPr>
          <w:rFonts w:ascii="宋体" w:hAnsi="Times New Roman"/>
          <w:kern w:val="0"/>
          <w:szCs w:val="20"/>
        </w:rPr>
        <w:t>方案模拟、</w:t>
      </w:r>
      <w:r>
        <w:rPr>
          <w:rFonts w:hint="eastAsia" w:ascii="宋体" w:hAnsi="Times New Roman"/>
          <w:kern w:val="0"/>
          <w:szCs w:val="20"/>
        </w:rPr>
        <w:t>三维</w:t>
      </w:r>
      <w:r>
        <w:rPr>
          <w:rFonts w:ascii="宋体" w:hAnsi="Times New Roman"/>
          <w:kern w:val="0"/>
          <w:szCs w:val="20"/>
        </w:rPr>
        <w:t>模板脚手架设计、</w:t>
      </w:r>
      <w:r>
        <w:rPr>
          <w:rFonts w:hint="eastAsia" w:ascii="宋体" w:hAnsi="Times New Roman"/>
          <w:kern w:val="0"/>
          <w:szCs w:val="20"/>
        </w:rPr>
        <w:t>施工</w:t>
      </w:r>
      <w:r>
        <w:rPr>
          <w:rFonts w:ascii="宋体" w:hAnsi="Times New Roman"/>
          <w:kern w:val="0"/>
          <w:szCs w:val="20"/>
        </w:rPr>
        <w:t>进度</w:t>
      </w:r>
      <w:r>
        <w:rPr>
          <w:rFonts w:hint="eastAsia" w:ascii="宋体" w:hAnsi="Times New Roman"/>
          <w:kern w:val="0"/>
          <w:szCs w:val="20"/>
        </w:rPr>
        <w:t>模拟</w:t>
      </w:r>
      <w:r>
        <w:rPr>
          <w:rFonts w:ascii="宋体" w:hAnsi="Times New Roman"/>
          <w:kern w:val="0"/>
          <w:szCs w:val="20"/>
        </w:rPr>
        <w:t>、</w:t>
      </w:r>
      <w:r>
        <w:rPr>
          <w:rFonts w:hint="eastAsia" w:ascii="宋体" w:hAnsi="Times New Roman"/>
          <w:kern w:val="0"/>
          <w:szCs w:val="20"/>
        </w:rPr>
        <w:t>施工5D应用</w:t>
      </w:r>
      <w:r>
        <w:rPr>
          <w:rFonts w:ascii="宋体" w:hAnsi="Times New Roman"/>
          <w:kern w:val="0"/>
          <w:szCs w:val="20"/>
        </w:rPr>
        <w:t>、</w:t>
      </w:r>
      <w:r>
        <w:rPr>
          <w:rFonts w:hint="eastAsia" w:ascii="宋体" w:hAnsi="Times New Roman"/>
          <w:kern w:val="0"/>
          <w:szCs w:val="20"/>
        </w:rPr>
        <w:t>构件管理</w:t>
      </w:r>
      <w:r>
        <w:rPr>
          <w:rFonts w:ascii="宋体" w:hAnsi="Times New Roman"/>
          <w:kern w:val="0"/>
          <w:szCs w:val="20"/>
        </w:rPr>
        <w:t>、</w:t>
      </w:r>
      <w:r>
        <w:rPr>
          <w:rFonts w:hint="eastAsia" w:ascii="宋体" w:hAnsi="Times New Roman"/>
          <w:kern w:val="0"/>
          <w:szCs w:val="20"/>
        </w:rPr>
        <w:t>设备</w:t>
      </w:r>
      <w:r>
        <w:rPr>
          <w:rFonts w:ascii="宋体" w:hAnsi="Times New Roman"/>
          <w:kern w:val="0"/>
          <w:szCs w:val="20"/>
        </w:rPr>
        <w:t>与材料管理、</w:t>
      </w:r>
      <w:r>
        <w:rPr>
          <w:rFonts w:hint="eastAsia" w:ascii="宋体" w:hAnsi="Times New Roman"/>
          <w:kern w:val="0"/>
          <w:szCs w:val="20"/>
        </w:rPr>
        <w:t>竣工</w:t>
      </w:r>
      <w:r>
        <w:rPr>
          <w:rFonts w:ascii="宋体" w:hAnsi="Times New Roman"/>
          <w:kern w:val="0"/>
          <w:szCs w:val="20"/>
        </w:rPr>
        <w:t>工程量统计</w:t>
      </w:r>
      <w:r>
        <w:rPr>
          <w:rFonts w:hint="eastAsia" w:ascii="宋体" w:hAnsi="Times New Roman"/>
          <w:kern w:val="0"/>
          <w:szCs w:val="20"/>
        </w:rPr>
        <w:t>、</w:t>
      </w:r>
      <w:r>
        <w:rPr>
          <w:rFonts w:ascii="宋体" w:hAnsi="Times New Roman"/>
          <w:kern w:val="0"/>
          <w:szCs w:val="20"/>
        </w:rPr>
        <w:t>竣工模型交付等</w:t>
      </w:r>
      <w:r>
        <w:rPr>
          <w:rFonts w:hint="eastAsia" w:ascii="宋体" w:hAnsi="Times New Roman"/>
          <w:kern w:val="0"/>
          <w:szCs w:val="20"/>
        </w:rPr>
        <w:t>，每个</w:t>
      </w:r>
      <w:r>
        <w:rPr>
          <w:rFonts w:hint="eastAsia"/>
        </w:rPr>
        <w:t>技术</w:t>
      </w:r>
      <w:r>
        <w:t>应用点</w:t>
      </w:r>
      <w:r>
        <w:rPr>
          <w:rFonts w:hint="eastAsia"/>
        </w:rPr>
        <w:t>0.5分</w:t>
      </w:r>
      <w:r>
        <w:t>，总分不超过1</w:t>
      </w:r>
      <w:r>
        <w:rPr>
          <w:rFonts w:hint="eastAsia"/>
        </w:rPr>
        <w:t>分。</w:t>
      </w:r>
    </w:p>
    <w:p>
      <w:pPr>
        <w:autoSpaceDE w:val="0"/>
        <w:autoSpaceDN w:val="0"/>
        <w:adjustRightInd/>
        <w:spacing w:line="240" w:lineRule="auto"/>
        <w:ind w:firstLine="420" w:firstLineChars="200"/>
        <w:jc w:val="left"/>
      </w:pPr>
      <w:r>
        <w:rPr>
          <w:rFonts w:hint="eastAsia"/>
        </w:rPr>
        <w:t>信息化管理协同包括：设计阶段和生产阶段信息化管理协同、生产阶段和施工阶段信息化管理协同、设计阶段和施工阶段信息化管理协同，每个技术应用点1分，总分不超过2分。</w:t>
      </w:r>
    </w:p>
    <w:p>
      <w:pPr>
        <w:autoSpaceDE w:val="0"/>
        <w:autoSpaceDN w:val="0"/>
        <w:adjustRightInd/>
        <w:spacing w:line="240" w:lineRule="auto"/>
        <w:ind w:firstLine="420" w:firstLineChars="200"/>
        <w:jc w:val="left"/>
      </w:pPr>
    </w:p>
    <w:p>
      <w:pPr>
        <w:pStyle w:val="110"/>
        <w:spacing w:before="312" w:after="312"/>
        <w:ind w:left="0"/>
      </w:pPr>
      <w:r>
        <w:rPr>
          <w:rFonts w:hint="eastAsia"/>
        </w:rPr>
        <w:t>评价等级划分</w:t>
      </w:r>
    </w:p>
    <w:p>
      <w:pPr>
        <w:pStyle w:val="64"/>
        <w:ind w:firstLine="0" w:firstLineChars="0"/>
      </w:pPr>
      <w:r>
        <w:rPr>
          <w:rFonts w:hint="eastAsia" w:ascii="黑体" w:hAnsi="黑体" w:eastAsia="黑体"/>
          <w:b/>
          <w:bCs/>
        </w:rPr>
        <w:t>6</w:t>
      </w:r>
      <w:r>
        <w:rPr>
          <w:rFonts w:ascii="黑体" w:hAnsi="黑体" w:eastAsia="黑体"/>
          <w:b/>
          <w:bCs/>
        </w:rPr>
        <w:t>.1</w:t>
      </w:r>
      <w:r>
        <w:t xml:space="preserve"> </w:t>
      </w:r>
      <w:r>
        <w:rPr>
          <w:rFonts w:hint="eastAsia"/>
        </w:rPr>
        <w:t>当评价项目满足本标准第</w:t>
      </w:r>
      <w:r>
        <w:t>4.3</w:t>
      </w:r>
      <w:r>
        <w:rPr>
          <w:rFonts w:hint="eastAsia"/>
        </w:rPr>
        <w:t>条规定，可进行装配式建筑等级评价。</w:t>
      </w:r>
    </w:p>
    <w:p>
      <w:pPr>
        <w:pStyle w:val="64"/>
        <w:ind w:firstLine="0" w:firstLineChars="0"/>
      </w:pPr>
      <w:r>
        <w:rPr>
          <w:rFonts w:hint="eastAsia" w:ascii="黑体" w:hAnsi="黑体" w:eastAsia="黑体"/>
          <w:b/>
          <w:bCs/>
        </w:rPr>
        <w:t>6.2</w:t>
      </w:r>
      <w:r>
        <w:rPr>
          <w:rFonts w:hint="eastAsia"/>
        </w:rPr>
        <w:tab/>
      </w:r>
      <w:r>
        <w:rPr>
          <w:rFonts w:hint="eastAsia"/>
        </w:rPr>
        <w:t>装配式建筑评价等级应划分为装配式建筑、 A 级、AA 级、AAA 级，并应符合下列规定：</w:t>
      </w:r>
    </w:p>
    <w:p>
      <w:pPr>
        <w:pStyle w:val="64"/>
        <w:ind w:firstLine="420"/>
      </w:pPr>
      <w:r>
        <w:t xml:space="preserve">a) </w:t>
      </w:r>
      <w:r>
        <w:rPr>
          <w:rFonts w:hint="eastAsia"/>
        </w:rPr>
        <w:t>装配率为50%～59%时，评价为装配式建筑。</w:t>
      </w:r>
    </w:p>
    <w:p>
      <w:pPr>
        <w:pStyle w:val="64"/>
        <w:ind w:firstLine="420"/>
      </w:pPr>
      <w:r>
        <w:t xml:space="preserve">b) </w:t>
      </w:r>
      <w:r>
        <w:rPr>
          <w:rFonts w:hint="eastAsia"/>
        </w:rPr>
        <w:t>装配率为60%～75%时，且主体结构构件竖向构件中预制部品部件的应用比例不低于</w:t>
      </w:r>
      <w:r>
        <w:t>35%</w:t>
      </w:r>
      <w:r>
        <w:rPr>
          <w:rFonts w:hint="eastAsia"/>
        </w:rPr>
        <w:t>时，评价为 A 级装配式建筑。</w:t>
      </w:r>
    </w:p>
    <w:p>
      <w:pPr>
        <w:pStyle w:val="64"/>
        <w:ind w:firstLine="420"/>
      </w:pPr>
      <w:r>
        <w:t xml:space="preserve">c) </w:t>
      </w:r>
      <w:r>
        <w:rPr>
          <w:rFonts w:hint="eastAsia"/>
        </w:rPr>
        <w:t>装配率为76%～90%时，且主体结构构件竖向构件中预制部品部件的应用比例不低于35%时，评价为 AA 级装配式建筑。</w:t>
      </w:r>
    </w:p>
    <w:p>
      <w:pPr>
        <w:pStyle w:val="64"/>
        <w:ind w:firstLine="420"/>
      </w:pPr>
      <w:r>
        <w:t xml:space="preserve">d) </w:t>
      </w:r>
      <w:r>
        <w:rPr>
          <w:rFonts w:hint="eastAsia"/>
        </w:rPr>
        <w:t>装配率为</w:t>
      </w:r>
      <w:r>
        <w:t>9</w:t>
      </w:r>
      <w:r>
        <w:rPr>
          <w:rFonts w:hint="eastAsia"/>
        </w:rPr>
        <w:t>1</w:t>
      </w:r>
      <w:r>
        <w:t>%</w:t>
      </w:r>
      <w:r>
        <w:rPr>
          <w:rFonts w:hint="eastAsia"/>
        </w:rPr>
        <w:t>及以上时，且主体结构构件竖向构件中预制部品部件的应用比例不低于35%时，评价为 AAA 级装配式建筑。</w:t>
      </w:r>
    </w:p>
    <w:p>
      <w:pPr>
        <w:pStyle w:val="64"/>
        <w:ind w:firstLine="420"/>
      </w:pPr>
      <w:r>
        <w:t>上述装配率以四舍五入取整数</w:t>
      </w:r>
      <w:r>
        <w:rPr>
          <w:rFonts w:hint="eastAsia"/>
        </w:rPr>
        <w:t>。</w:t>
      </w:r>
    </w:p>
    <w:p>
      <w:pPr>
        <w:pStyle w:val="110"/>
        <w:spacing w:before="312" w:after="312"/>
        <w:ind w:left="0"/>
        <w:rPr>
          <w:b/>
          <w:bCs/>
          <w:szCs w:val="22"/>
        </w:rPr>
        <w:sectPr>
          <w:footerReference r:id="rId13" w:type="default"/>
          <w:pgSz w:w="11906" w:h="16838"/>
          <w:pgMar w:top="1440" w:right="1800" w:bottom="1440" w:left="1800" w:header="851" w:footer="992" w:gutter="0"/>
          <w:cols w:space="425" w:num="1"/>
          <w:docGrid w:type="lines" w:linePitch="312" w:charSpace="0"/>
        </w:sectPr>
      </w:pPr>
    </w:p>
    <w:p>
      <w:pPr>
        <w:pStyle w:val="110"/>
        <w:spacing w:before="312" w:after="312"/>
        <w:ind w:left="0"/>
        <w:rPr>
          <w:b/>
          <w:bCs/>
          <w:szCs w:val="22"/>
        </w:rPr>
      </w:pPr>
      <w:r>
        <w:rPr>
          <w:rFonts w:hint="eastAsia"/>
          <w:b/>
          <w:bCs/>
          <w:szCs w:val="22"/>
        </w:rPr>
        <w:t>装配式建筑评价方法</w:t>
      </w:r>
    </w:p>
    <w:p>
      <w:pPr>
        <w:pStyle w:val="64"/>
        <w:ind w:firstLine="0" w:firstLineChars="0"/>
      </w:pPr>
      <w:r>
        <w:rPr>
          <w:rFonts w:hint="eastAsia" w:ascii="黑体" w:hAnsi="黑体" w:eastAsia="黑体"/>
          <w:b/>
          <w:bCs/>
        </w:rPr>
        <w:t>7.1</w:t>
      </w:r>
      <w:r>
        <w:t xml:space="preserve"> </w:t>
      </w:r>
      <w:r>
        <w:rPr>
          <w:rFonts w:hint="eastAsia"/>
        </w:rPr>
        <w:t>装配式建筑分为预评价和竣工项目评价。</w:t>
      </w:r>
    </w:p>
    <w:p>
      <w:pPr>
        <w:pStyle w:val="3"/>
      </w:pPr>
      <w:r>
        <w:rPr>
          <w:rFonts w:hint="eastAsia" w:ascii="黑体" w:hAnsi="黑体" w:eastAsia="黑体"/>
          <w:b/>
          <w:bCs/>
        </w:rPr>
        <w:t>7.2</w:t>
      </w:r>
      <w:r>
        <w:t xml:space="preserve"> </w:t>
      </w:r>
      <w:r>
        <w:rPr>
          <w:rFonts w:hint="eastAsia"/>
        </w:rPr>
        <w:t>装配式建筑预评价可在初步设计阶段或施工图设计文件通过审查后进行，其设计深度应符合DB42/T1863要求。</w:t>
      </w:r>
    </w:p>
    <w:p>
      <w:pPr>
        <w:pStyle w:val="3"/>
      </w:pPr>
      <w:r>
        <w:rPr>
          <w:rFonts w:hint="eastAsia" w:ascii="黑体" w:hAnsi="黑体" w:eastAsia="黑体"/>
          <w:b/>
          <w:bCs/>
        </w:rPr>
        <w:t>7.</w:t>
      </w:r>
      <w:r>
        <w:rPr>
          <w:rFonts w:ascii="黑体" w:hAnsi="黑体" w:eastAsia="黑体"/>
          <w:b/>
          <w:bCs/>
        </w:rPr>
        <w:t>3</w:t>
      </w:r>
      <w:r>
        <w:rPr>
          <w:rFonts w:hint="eastAsia"/>
        </w:rPr>
        <w:t xml:space="preserve"> </w:t>
      </w:r>
      <w:r>
        <w:t xml:space="preserve"> </w:t>
      </w:r>
      <w:r>
        <w:rPr>
          <w:rFonts w:hint="eastAsia"/>
        </w:rPr>
        <w:t>装配式建筑竣工项目评价依据装配式建筑设计要求进行评价。</w:t>
      </w:r>
    </w:p>
    <w:p>
      <w:pPr>
        <w:pStyle w:val="3"/>
      </w:pPr>
      <w:r>
        <w:rPr>
          <w:rFonts w:hint="eastAsia" w:ascii="黑体" w:hAnsi="黑体" w:eastAsia="黑体"/>
          <w:b/>
          <w:bCs/>
        </w:rPr>
        <w:t>7.</w:t>
      </w:r>
      <w:r>
        <w:rPr>
          <w:rFonts w:ascii="黑体" w:hAnsi="黑体" w:eastAsia="黑体"/>
          <w:b/>
          <w:bCs/>
        </w:rPr>
        <w:t>4</w:t>
      </w:r>
      <w:r>
        <w:t xml:space="preserve"> </w:t>
      </w:r>
      <w:r>
        <w:rPr>
          <w:rFonts w:hint="eastAsia"/>
        </w:rPr>
        <w:t>装配式建筑竣工项目评价应在相关分部、分项工程验收合格，且相关的检测报告及现场检查核查合格后进行。</w:t>
      </w:r>
    </w:p>
    <w:p>
      <w:pPr>
        <w:pStyle w:val="64"/>
        <w:ind w:firstLine="0" w:firstLineChars="0"/>
      </w:pPr>
      <w:r>
        <w:rPr>
          <w:rFonts w:hint="eastAsia" w:ascii="黑体" w:hAnsi="黑体" w:eastAsia="黑体"/>
          <w:b/>
          <w:bCs/>
        </w:rPr>
        <w:t>7.</w:t>
      </w:r>
      <w:r>
        <w:rPr>
          <w:rFonts w:ascii="黑体" w:hAnsi="黑体" w:eastAsia="黑体"/>
          <w:b/>
          <w:bCs/>
        </w:rPr>
        <w:t>5</w:t>
      </w:r>
      <w:r>
        <w:rPr>
          <w:rFonts w:hint="eastAsia"/>
        </w:rPr>
        <w:t xml:space="preserve"> 申请装配式建筑评价时应提交申请报告、评价报告、相关评价文件和证明材料。</w:t>
      </w:r>
    </w:p>
    <w:p>
      <w:pPr>
        <w:pStyle w:val="64"/>
        <w:ind w:firstLine="0" w:firstLineChars="0"/>
      </w:pPr>
      <w:r>
        <w:rPr>
          <w:rFonts w:hint="eastAsia" w:ascii="黑体" w:hAnsi="黑体" w:eastAsia="黑体"/>
          <w:b/>
          <w:bCs/>
        </w:rPr>
        <w:t>7.</w:t>
      </w:r>
      <w:r>
        <w:rPr>
          <w:rFonts w:ascii="黑体" w:hAnsi="黑体" w:eastAsia="黑体"/>
          <w:b/>
          <w:bCs/>
        </w:rPr>
        <w:t xml:space="preserve">6 </w:t>
      </w:r>
      <w:r>
        <w:rPr>
          <w:rFonts w:hint="eastAsia"/>
        </w:rPr>
        <w:t>建设单位应对所提交资料的真实性和完整性负责。</w:t>
      </w:r>
    </w:p>
    <w:p>
      <w:pPr>
        <w:pStyle w:val="64"/>
        <w:ind w:firstLine="420"/>
      </w:pPr>
    </w:p>
    <w:p>
      <w:pPr>
        <w:pStyle w:val="110"/>
        <w:numPr>
          <w:ilvl w:val="0"/>
          <w:numId w:val="0"/>
        </w:numPr>
        <w:spacing w:before="312" w:after="312"/>
        <w:ind w:firstLine="420" w:firstLineChars="200"/>
        <w:jc w:val="center"/>
        <w:rPr>
          <w:szCs w:val="22"/>
        </w:rPr>
      </w:pPr>
      <w:r>
        <w:rPr>
          <w:rFonts w:hint="eastAsia"/>
          <w:szCs w:val="22"/>
        </w:rPr>
        <w:t>附录</w:t>
      </w:r>
      <w:bookmarkStart w:id="33" w:name="_Hlk143086829"/>
      <w:r>
        <w:rPr>
          <w:rFonts w:hint="eastAsia"/>
          <w:szCs w:val="22"/>
        </w:rPr>
        <w:t>A</w:t>
      </w:r>
      <w:r>
        <w:rPr>
          <w:szCs w:val="22"/>
        </w:rPr>
        <w:t xml:space="preserve"> </w:t>
      </w:r>
      <w:r>
        <w:rPr>
          <w:rFonts w:hint="eastAsia"/>
          <w:szCs w:val="22"/>
        </w:rPr>
        <w:t>装配式建筑综合评价得分表</w:t>
      </w:r>
      <w:bookmarkEnd w:id="33"/>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0" w:firstLineChars="0"/>
      </w:pPr>
    </w:p>
    <w:p>
      <w:pPr>
        <w:pStyle w:val="64"/>
        <w:ind w:firstLine="0" w:firstLineChars="0"/>
        <w:sectPr>
          <w:footerReference r:id="rId14" w:type="default"/>
          <w:pgSz w:w="11906" w:h="16838"/>
          <w:pgMar w:top="1440" w:right="1800" w:bottom="1440" w:left="1800" w:header="851" w:footer="992" w:gutter="0"/>
          <w:cols w:space="425" w:num="1"/>
          <w:docGrid w:type="lines" w:linePitch="312" w:charSpace="0"/>
        </w:sectPr>
      </w:pPr>
    </w:p>
    <w:p>
      <w:pPr>
        <w:pStyle w:val="2"/>
        <w:ind w:firstLine="320"/>
        <w:jc w:val="center"/>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附录A 装配式建筑综合评价得分表（指标项）</w:t>
      </w:r>
    </w:p>
    <w:p>
      <w:pPr>
        <w:pStyle w:val="2"/>
        <w:ind w:firstLine="210"/>
        <w:jc w:val="center"/>
        <w:rPr>
          <w:rFonts w:ascii="黑体" w:hAnsi="黑体" w:eastAsia="黑体" w:cs="黑体"/>
        </w:rPr>
      </w:pPr>
      <w:r>
        <w:rPr>
          <w:rFonts w:hint="eastAsia" w:ascii="黑体" w:hAnsi="黑体" w:eastAsia="黑体" w:cs="黑体"/>
        </w:rPr>
        <w:t xml:space="preserve">项目名称： </w:t>
      </w:r>
      <w:r>
        <w:rPr>
          <w:rFonts w:ascii="黑体" w:hAnsi="黑体" w:eastAsia="黑体" w:cs="黑体"/>
        </w:rPr>
        <w:t xml:space="preserve">                                                                                </w:t>
      </w:r>
      <w:r>
        <w:rPr>
          <w:rFonts w:hint="eastAsia" w:ascii="黑体" w:hAnsi="黑体" w:eastAsia="黑体" w:cs="黑体"/>
        </w:rPr>
        <w:t xml:space="preserve"> 计算阶段：设计预评价□</w:t>
      </w:r>
      <w:r>
        <w:rPr>
          <w:rFonts w:ascii="黑体" w:hAnsi="黑体" w:eastAsia="黑体" w:cs="黑体"/>
        </w:rPr>
        <w:t xml:space="preserve">  </w:t>
      </w:r>
      <w:r>
        <w:rPr>
          <w:rFonts w:hint="eastAsia" w:ascii="黑体" w:hAnsi="黑体" w:eastAsia="黑体" w:cs="黑体"/>
        </w:rPr>
        <w:t>竣工项目评价□</w:t>
      </w:r>
    </w:p>
    <w:tbl>
      <w:tblPr>
        <w:tblStyle w:val="29"/>
        <w:tblW w:w="149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9"/>
        <w:gridCol w:w="3960"/>
        <w:gridCol w:w="2325"/>
        <w:gridCol w:w="1560"/>
        <w:gridCol w:w="1080"/>
        <w:gridCol w:w="1065"/>
        <w:gridCol w:w="1380"/>
        <w:gridCol w:w="735"/>
        <w:gridCol w:w="1035"/>
        <w:gridCol w:w="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29" w:type="dxa"/>
            <w:gridSpan w:val="2"/>
            <w:shd w:val="clear" w:color="auto" w:fill="auto"/>
            <w:vAlign w:val="center"/>
          </w:tcPr>
          <w:p>
            <w:pPr>
              <w:widowControl/>
              <w:spacing w:line="240" w:lineRule="atLeast"/>
              <w:jc w:val="center"/>
              <w:rPr>
                <w:rFonts w:ascii="黑体" w:hAnsi="黑体" w:eastAsia="黑体" w:cs="黑体"/>
                <w:bCs/>
                <w:kern w:val="0"/>
              </w:rPr>
            </w:pPr>
            <w:r>
              <w:rPr>
                <w:rFonts w:hint="eastAsia" w:ascii="黑体" w:hAnsi="黑体" w:eastAsia="黑体" w:cs="黑体"/>
                <w:bCs/>
                <w:w w:val="95"/>
                <w:kern w:val="0"/>
                <w:szCs w:val="22"/>
                <w:lang w:eastAsia="en-US"/>
              </w:rPr>
              <w:t>指标项</w:t>
            </w:r>
          </w:p>
        </w:tc>
        <w:tc>
          <w:tcPr>
            <w:tcW w:w="2325" w:type="dxa"/>
            <w:shd w:val="clear" w:color="auto" w:fill="auto"/>
            <w:vAlign w:val="center"/>
          </w:tcPr>
          <w:p>
            <w:pPr>
              <w:widowControl/>
              <w:spacing w:line="240" w:lineRule="atLeast"/>
              <w:jc w:val="center"/>
              <w:rPr>
                <w:rFonts w:ascii="黑体" w:hAnsi="黑体" w:eastAsia="黑体" w:cs="黑体"/>
                <w:bCs/>
                <w:kern w:val="0"/>
              </w:rPr>
            </w:pPr>
            <w:r>
              <w:rPr>
                <w:rFonts w:hint="eastAsia" w:ascii="黑体" w:hAnsi="黑体" w:eastAsia="黑体" w:cs="黑体"/>
                <w:bCs/>
                <w:w w:val="95"/>
                <w:kern w:val="0"/>
                <w:szCs w:val="22"/>
                <w:lang w:eastAsia="en-US"/>
              </w:rPr>
              <w:t>指标要求</w:t>
            </w:r>
          </w:p>
        </w:tc>
        <w:tc>
          <w:tcPr>
            <w:tcW w:w="1560" w:type="dxa"/>
            <w:shd w:val="clear" w:color="auto" w:fill="auto"/>
            <w:vAlign w:val="center"/>
          </w:tcPr>
          <w:p>
            <w:pPr>
              <w:widowControl/>
              <w:spacing w:line="240" w:lineRule="atLeast"/>
              <w:jc w:val="center"/>
              <w:rPr>
                <w:rFonts w:ascii="黑体" w:hAnsi="黑体" w:eastAsia="黑体" w:cs="黑体"/>
                <w:bCs/>
                <w:kern w:val="0"/>
              </w:rPr>
            </w:pPr>
            <w:r>
              <w:rPr>
                <w:rFonts w:hint="eastAsia" w:ascii="黑体" w:hAnsi="黑体" w:eastAsia="黑体" w:cs="黑体"/>
                <w:bCs/>
                <w:w w:val="95"/>
                <w:kern w:val="0"/>
                <w:szCs w:val="22"/>
                <w:lang w:eastAsia="en-US"/>
              </w:rPr>
              <w:t>指标分值</w:t>
            </w:r>
          </w:p>
        </w:tc>
        <w:tc>
          <w:tcPr>
            <w:tcW w:w="1080" w:type="dxa"/>
            <w:shd w:val="clear" w:color="auto" w:fill="auto"/>
            <w:vAlign w:val="center"/>
          </w:tcPr>
          <w:p>
            <w:pPr>
              <w:widowControl/>
              <w:spacing w:line="240" w:lineRule="atLeast"/>
              <w:jc w:val="center"/>
              <w:rPr>
                <w:rFonts w:ascii="黑体" w:hAnsi="黑体" w:eastAsia="黑体" w:cs="黑体"/>
                <w:bCs/>
                <w:kern w:val="0"/>
              </w:rPr>
            </w:pPr>
            <w:r>
              <w:rPr>
                <w:rFonts w:hint="eastAsia" w:ascii="黑体" w:hAnsi="黑体" w:eastAsia="黑体" w:cs="黑体"/>
                <w:bCs/>
                <w:w w:val="95"/>
                <w:kern w:val="0"/>
                <w:szCs w:val="22"/>
                <w:lang w:eastAsia="en-US"/>
              </w:rPr>
              <w:t>最低分值</w:t>
            </w:r>
          </w:p>
        </w:tc>
        <w:tc>
          <w:tcPr>
            <w:tcW w:w="1065" w:type="dxa"/>
            <w:vAlign w:val="center"/>
          </w:tcPr>
          <w:p>
            <w:pPr>
              <w:widowControl/>
              <w:spacing w:line="240" w:lineRule="atLeast"/>
              <w:jc w:val="center"/>
              <w:rPr>
                <w:rFonts w:ascii="黑体" w:hAnsi="黑体" w:eastAsia="黑体" w:cs="黑体"/>
                <w:bCs/>
                <w:w w:val="95"/>
                <w:kern w:val="0"/>
                <w:szCs w:val="22"/>
                <w:lang w:eastAsia="en-US"/>
              </w:rPr>
            </w:pPr>
            <w:r>
              <w:rPr>
                <w:rFonts w:hint="eastAsia" w:ascii="黑体" w:hAnsi="黑体" w:eastAsia="黑体" w:cs="黑体"/>
                <w:bCs/>
                <w:w w:val="95"/>
                <w:kern w:val="0"/>
                <w:szCs w:val="22"/>
                <w:lang w:eastAsia="en-US"/>
              </w:rPr>
              <w:t>体积或面积或长度</w:t>
            </w:r>
          </w:p>
        </w:tc>
        <w:tc>
          <w:tcPr>
            <w:tcW w:w="1380" w:type="dxa"/>
            <w:vAlign w:val="center"/>
          </w:tcPr>
          <w:p>
            <w:pPr>
              <w:widowControl/>
              <w:spacing w:line="240" w:lineRule="atLeast"/>
              <w:jc w:val="center"/>
              <w:rPr>
                <w:rFonts w:ascii="黑体" w:hAnsi="黑体" w:eastAsia="黑体" w:cs="黑体"/>
                <w:bCs/>
                <w:w w:val="95"/>
                <w:kern w:val="0"/>
                <w:szCs w:val="22"/>
              </w:rPr>
            </w:pPr>
            <w:r>
              <w:rPr>
                <w:rFonts w:hint="eastAsia" w:ascii="黑体" w:hAnsi="黑体" w:eastAsia="黑体" w:cs="黑体"/>
                <w:bCs/>
                <w:w w:val="95"/>
                <w:kern w:val="0"/>
                <w:szCs w:val="22"/>
              </w:rPr>
              <w:t>对应部分总体积或总面积或总长度</w:t>
            </w:r>
          </w:p>
        </w:tc>
        <w:tc>
          <w:tcPr>
            <w:tcW w:w="735" w:type="dxa"/>
            <w:vAlign w:val="center"/>
          </w:tcPr>
          <w:p>
            <w:pPr>
              <w:widowControl/>
              <w:spacing w:line="240" w:lineRule="atLeast"/>
              <w:jc w:val="center"/>
              <w:rPr>
                <w:rFonts w:ascii="黑体" w:hAnsi="黑体" w:eastAsia="黑体" w:cs="黑体"/>
                <w:bCs/>
                <w:w w:val="95"/>
                <w:kern w:val="0"/>
                <w:szCs w:val="22"/>
                <w:lang w:eastAsia="en-US"/>
              </w:rPr>
            </w:pPr>
            <w:r>
              <w:rPr>
                <w:rFonts w:hint="eastAsia" w:ascii="黑体" w:hAnsi="黑体" w:eastAsia="黑体" w:cs="黑体"/>
                <w:bCs/>
                <w:w w:val="95"/>
                <w:kern w:val="0"/>
                <w:szCs w:val="22"/>
              </w:rPr>
              <w:t>比例</w:t>
            </w:r>
          </w:p>
        </w:tc>
        <w:tc>
          <w:tcPr>
            <w:tcW w:w="1035" w:type="dxa"/>
            <w:vAlign w:val="center"/>
          </w:tcPr>
          <w:p>
            <w:pPr>
              <w:widowControl/>
              <w:spacing w:line="240" w:lineRule="atLeast"/>
              <w:jc w:val="center"/>
              <w:rPr>
                <w:rFonts w:ascii="黑体" w:hAnsi="黑体" w:eastAsia="黑体" w:cs="黑体"/>
                <w:bCs/>
                <w:w w:val="95"/>
                <w:kern w:val="0"/>
                <w:szCs w:val="22"/>
                <w:lang w:eastAsia="en-US"/>
              </w:rPr>
            </w:pPr>
            <w:r>
              <w:rPr>
                <w:rFonts w:hint="eastAsia" w:ascii="黑体" w:hAnsi="黑体" w:eastAsia="黑体" w:cs="黑体"/>
                <w:bCs/>
                <w:w w:val="95"/>
                <w:kern w:val="0"/>
                <w:szCs w:val="22"/>
              </w:rPr>
              <w:t>评价分值</w:t>
            </w:r>
          </w:p>
        </w:tc>
        <w:tc>
          <w:tcPr>
            <w:tcW w:w="781" w:type="dxa"/>
            <w:vAlign w:val="center"/>
          </w:tcPr>
          <w:p>
            <w:pPr>
              <w:widowControl/>
              <w:spacing w:line="240" w:lineRule="atLeast"/>
              <w:jc w:val="center"/>
              <w:rPr>
                <w:rFonts w:ascii="黑体" w:hAnsi="黑体" w:eastAsia="黑体" w:cs="黑体"/>
                <w:bCs/>
                <w:w w:val="95"/>
                <w:kern w:val="0"/>
                <w:szCs w:val="22"/>
              </w:rPr>
            </w:pPr>
            <w:r>
              <w:rPr>
                <w:rFonts w:hint="eastAsia" w:ascii="黑体" w:hAnsi="黑体" w:eastAsia="黑体" w:cs="黑体"/>
                <w:bCs/>
                <w:w w:val="95"/>
                <w:kern w:val="0"/>
                <w:szCs w:val="22"/>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jc w:val="center"/>
        </w:trPr>
        <w:tc>
          <w:tcPr>
            <w:tcW w:w="1069" w:type="dxa"/>
            <w:vMerge w:val="restart"/>
            <w:shd w:val="clear" w:color="auto" w:fill="auto"/>
            <w:vAlign w:val="center"/>
          </w:tcPr>
          <w:p>
            <w:pPr>
              <w:spacing w:line="240" w:lineRule="atLeast"/>
              <w:jc w:val="center"/>
              <w:rPr>
                <w:rFonts w:ascii="黑体" w:hAnsi="黑体" w:eastAsia="黑体" w:cs="黑体"/>
                <w:kern w:val="0"/>
              </w:rPr>
            </w:pPr>
            <w:r>
              <w:rPr>
                <w:rFonts w:hint="eastAsia" w:ascii="黑体" w:hAnsi="黑体" w:eastAsia="黑体" w:cs="黑体"/>
                <w:kern w:val="0"/>
              </w:rPr>
              <w:t>主体</w:t>
            </w:r>
            <w:r>
              <w:rPr>
                <w:rFonts w:hint="eastAsia" w:ascii="黑体" w:hAnsi="黑体" w:eastAsia="黑体" w:cs="黑体"/>
                <w:bCs/>
                <w:w w:val="95"/>
                <w:kern w:val="0"/>
                <w:lang w:eastAsia="en-US"/>
              </w:rPr>
              <w:t>结构</w:t>
            </w:r>
            <w:r>
              <w:rPr>
                <w:rFonts w:hint="eastAsia" w:ascii="黑体" w:hAnsi="黑体" w:eastAsia="黑体" w:cs="黑体"/>
                <w:kern w:val="0"/>
              </w:rPr>
              <w:t>（</w:t>
            </w:r>
            <w:r>
              <w:rPr>
                <w:rFonts w:hint="eastAsia" w:ascii="黑体" w:hAnsi="黑体" w:eastAsia="黑体" w:cs="黑体"/>
                <w:kern w:val="0"/>
                <w:szCs w:val="22"/>
                <w:lang w:eastAsia="en-US"/>
              </w:rPr>
              <w:t>50</w:t>
            </w:r>
            <w:r>
              <w:rPr>
                <w:rFonts w:hint="eastAsia" w:ascii="黑体" w:hAnsi="黑体" w:eastAsia="黑体" w:cs="黑体"/>
                <w:kern w:val="0"/>
              </w:rPr>
              <w:t>分）</w:t>
            </w:r>
          </w:p>
        </w:tc>
        <w:tc>
          <w:tcPr>
            <w:tcW w:w="3960" w:type="dxa"/>
            <w:shd w:val="clear" w:color="auto" w:fill="auto"/>
            <w:vAlign w:val="center"/>
          </w:tcPr>
          <w:p>
            <w:pPr>
              <w:widowControl/>
              <w:spacing w:line="240" w:lineRule="atLeast"/>
              <w:rPr>
                <w:rFonts w:ascii="黑体" w:hAnsi="黑体" w:eastAsia="黑体" w:cs="黑体"/>
                <w:kern w:val="0"/>
              </w:rPr>
            </w:pPr>
            <w:r>
              <w:rPr>
                <w:rFonts w:hint="eastAsia" w:ascii="黑体" w:hAnsi="黑体" w:eastAsia="黑体" w:cs="黑体"/>
                <w:kern w:val="0"/>
              </w:rPr>
              <w:t>柱、支撑、承重墙、延性墙板等竖向构件</w:t>
            </w:r>
          </w:p>
        </w:tc>
        <w:tc>
          <w:tcPr>
            <w:tcW w:w="2325" w:type="dxa"/>
            <w:shd w:val="clear" w:color="auto" w:fill="auto"/>
            <w:vAlign w:val="center"/>
          </w:tcPr>
          <w:p>
            <w:pPr>
              <w:widowControl/>
              <w:spacing w:line="240" w:lineRule="atLeast"/>
              <w:jc w:val="center"/>
              <w:rPr>
                <w:rFonts w:ascii="黑体" w:hAnsi="黑体" w:eastAsia="黑体" w:cs="黑体"/>
              </w:rPr>
            </w:pPr>
            <w:r>
              <w:rPr>
                <w:rFonts w:hint="eastAsia" w:ascii="黑体" w:hAnsi="黑体" w:eastAsia="黑体" w:cs="黑体"/>
              </w:rPr>
              <w:t>取下列两种指标其一：</w:t>
            </w:r>
          </w:p>
          <w:p>
            <w:pPr>
              <w:widowControl/>
              <w:spacing w:line="240" w:lineRule="atLeast"/>
              <w:jc w:val="left"/>
              <w:rPr>
                <w:rFonts w:ascii="黑体" w:hAnsi="黑体" w:eastAsia="黑体" w:cs="黑体"/>
              </w:rPr>
            </w:pPr>
            <w:r>
              <w:rPr>
                <w:rFonts w:hint="eastAsia" w:ascii="黑体" w:hAnsi="黑体" w:eastAsia="黑体" w:cs="黑体"/>
                <w:kern w:val="0"/>
                <w:szCs w:val="22"/>
              </w:rPr>
              <w:t>①35%</w:t>
            </w:r>
            <w:r>
              <w:rPr>
                <w:rFonts w:hint="eastAsia" w:ascii="黑体" w:hAnsi="黑体" w:eastAsia="黑体" w:cs="黑体"/>
              </w:rPr>
              <w:t>≤比例≤</w:t>
            </w:r>
            <w:r>
              <w:rPr>
                <w:rFonts w:hint="eastAsia" w:ascii="黑体" w:hAnsi="黑体" w:eastAsia="黑体" w:cs="黑体"/>
                <w:kern w:val="0"/>
                <w:szCs w:val="22"/>
              </w:rPr>
              <w:t>80%；</w:t>
            </w:r>
          </w:p>
          <w:p>
            <w:pPr>
              <w:autoSpaceDE w:val="0"/>
              <w:autoSpaceDN w:val="0"/>
              <w:adjustRightInd/>
              <w:spacing w:line="240" w:lineRule="auto"/>
              <w:ind w:right="453"/>
              <w:rPr>
                <w:rFonts w:ascii="黑体" w:hAnsi="黑体" w:eastAsia="黑体" w:cs="黑体"/>
              </w:rPr>
            </w:pPr>
            <w:r>
              <w:rPr>
                <w:rFonts w:hint="eastAsia" w:ascii="黑体" w:hAnsi="黑体" w:eastAsia="黑体" w:cs="黑体"/>
                <w:kern w:val="0"/>
                <w:szCs w:val="22"/>
                <w:lang w:eastAsia="en-US"/>
              </w:rPr>
              <w:t>②15%</w:t>
            </w:r>
            <w:r>
              <w:rPr>
                <w:rFonts w:hint="eastAsia" w:ascii="黑体" w:hAnsi="黑体" w:eastAsia="黑体" w:cs="黑体"/>
              </w:rPr>
              <w:t>≤比例&lt;</w:t>
            </w:r>
            <w:r>
              <w:rPr>
                <w:rFonts w:hint="eastAsia" w:ascii="黑体" w:hAnsi="黑体" w:eastAsia="黑体" w:cs="黑体"/>
                <w:kern w:val="0"/>
                <w:szCs w:val="22"/>
                <w:lang w:eastAsia="en-US"/>
              </w:rPr>
              <w:t>35%</w:t>
            </w:r>
          </w:p>
        </w:tc>
        <w:tc>
          <w:tcPr>
            <w:tcW w:w="1560" w:type="dxa"/>
            <w:shd w:val="clear" w:color="auto" w:fill="auto"/>
            <w:vAlign w:val="center"/>
          </w:tcPr>
          <w:p>
            <w:pPr>
              <w:autoSpaceDE w:val="0"/>
              <w:autoSpaceDN w:val="0"/>
              <w:snapToGrid w:val="0"/>
              <w:spacing w:line="240" w:lineRule="atLeast"/>
              <w:jc w:val="center"/>
              <w:rPr>
                <w:rFonts w:ascii="黑体" w:hAnsi="黑体" w:eastAsia="黑体" w:cs="黑体"/>
                <w:kern w:val="0"/>
                <w:lang w:eastAsia="en-US"/>
              </w:rPr>
            </w:pPr>
            <w:r>
              <w:rPr>
                <w:rFonts w:hint="eastAsia" w:ascii="黑体" w:hAnsi="黑体" w:eastAsia="黑体" w:cs="黑体"/>
                <w:kern w:val="0"/>
                <w:szCs w:val="22"/>
                <w:lang w:eastAsia="en-US"/>
              </w:rPr>
              <w:t>①20</w:t>
            </w:r>
            <w:r>
              <w:rPr>
                <w:rFonts w:hint="eastAsia" w:ascii="黑体" w:hAnsi="黑体" w:eastAsia="黑体" w:cs="黑体"/>
                <w:kern w:val="0"/>
              </w:rPr>
              <w:t>～</w:t>
            </w:r>
            <w:r>
              <w:rPr>
                <w:rFonts w:hint="eastAsia" w:ascii="黑体" w:hAnsi="黑体" w:eastAsia="黑体" w:cs="黑体"/>
                <w:kern w:val="0"/>
                <w:szCs w:val="22"/>
                <w:lang w:eastAsia="en-US"/>
              </w:rPr>
              <w:t>30*</w:t>
            </w:r>
          </w:p>
          <w:p>
            <w:pPr>
              <w:autoSpaceDE w:val="0"/>
              <w:autoSpaceDN w:val="0"/>
              <w:snapToGrid w:val="0"/>
              <w:spacing w:line="240" w:lineRule="atLeast"/>
              <w:jc w:val="center"/>
              <w:rPr>
                <w:rFonts w:ascii="黑体" w:hAnsi="黑体" w:eastAsia="黑体" w:cs="黑体"/>
              </w:rPr>
            </w:pPr>
            <w:r>
              <w:rPr>
                <w:rFonts w:hint="eastAsia" w:ascii="黑体" w:hAnsi="黑体" w:eastAsia="黑体" w:cs="黑体"/>
                <w:kern w:val="0"/>
                <w:szCs w:val="22"/>
                <w:lang w:eastAsia="en-US"/>
              </w:rPr>
              <w:t>②5</w:t>
            </w:r>
            <w:r>
              <w:rPr>
                <w:rFonts w:hint="eastAsia" w:ascii="黑体" w:hAnsi="黑体" w:eastAsia="黑体" w:cs="黑体"/>
                <w:kern w:val="0"/>
              </w:rPr>
              <w:t>～</w:t>
            </w:r>
            <w:r>
              <w:rPr>
                <w:rFonts w:hint="eastAsia" w:ascii="黑体" w:hAnsi="黑体" w:eastAsia="黑体" w:cs="黑体"/>
                <w:kern w:val="0"/>
                <w:szCs w:val="22"/>
                <w:lang w:eastAsia="en-US"/>
              </w:rPr>
              <w:t>20*</w:t>
            </w:r>
          </w:p>
        </w:tc>
        <w:tc>
          <w:tcPr>
            <w:tcW w:w="1080" w:type="dxa"/>
            <w:vMerge w:val="restart"/>
            <w:shd w:val="clear" w:color="auto" w:fill="auto"/>
            <w:vAlign w:val="center"/>
          </w:tcPr>
          <w:p>
            <w:pPr>
              <w:autoSpaceDE w:val="0"/>
              <w:autoSpaceDN w:val="0"/>
              <w:snapToGrid w:val="0"/>
              <w:spacing w:line="240" w:lineRule="atLeast"/>
              <w:jc w:val="center"/>
              <w:rPr>
                <w:rFonts w:ascii="黑体" w:hAnsi="黑体" w:eastAsia="黑体" w:cs="黑体"/>
                <w:kern w:val="0"/>
              </w:rPr>
            </w:pPr>
            <w:r>
              <w:rPr>
                <w:rFonts w:hint="eastAsia" w:ascii="黑体" w:hAnsi="黑体" w:eastAsia="黑体" w:cs="黑体"/>
                <w:kern w:val="0"/>
                <w:szCs w:val="22"/>
                <w:lang w:eastAsia="en-US"/>
              </w:rPr>
              <w:t>20</w:t>
            </w:r>
          </w:p>
        </w:tc>
        <w:tc>
          <w:tcPr>
            <w:tcW w:w="1065" w:type="dxa"/>
          </w:tcPr>
          <w:p>
            <w:pPr>
              <w:autoSpaceDE w:val="0"/>
              <w:autoSpaceDN w:val="0"/>
              <w:snapToGrid w:val="0"/>
              <w:spacing w:line="240" w:lineRule="atLeast"/>
              <w:jc w:val="center"/>
              <w:rPr>
                <w:rFonts w:ascii="黑体" w:hAnsi="黑体" w:eastAsia="黑体" w:cs="黑体"/>
                <w:kern w:val="0"/>
                <w:szCs w:val="22"/>
                <w:lang w:eastAsia="en-US"/>
              </w:rPr>
            </w:pPr>
          </w:p>
        </w:tc>
        <w:tc>
          <w:tcPr>
            <w:tcW w:w="1380" w:type="dxa"/>
          </w:tcPr>
          <w:p>
            <w:pPr>
              <w:autoSpaceDE w:val="0"/>
              <w:autoSpaceDN w:val="0"/>
              <w:snapToGrid w:val="0"/>
              <w:spacing w:line="240" w:lineRule="atLeast"/>
              <w:jc w:val="center"/>
              <w:rPr>
                <w:rFonts w:ascii="黑体" w:hAnsi="黑体" w:eastAsia="黑体" w:cs="黑体"/>
                <w:kern w:val="0"/>
                <w:szCs w:val="22"/>
                <w:lang w:eastAsia="en-US"/>
              </w:rPr>
            </w:pPr>
          </w:p>
        </w:tc>
        <w:tc>
          <w:tcPr>
            <w:tcW w:w="735" w:type="dxa"/>
          </w:tcPr>
          <w:p>
            <w:pPr>
              <w:autoSpaceDE w:val="0"/>
              <w:autoSpaceDN w:val="0"/>
              <w:snapToGrid w:val="0"/>
              <w:spacing w:line="240" w:lineRule="atLeast"/>
              <w:jc w:val="center"/>
              <w:rPr>
                <w:rFonts w:ascii="黑体" w:hAnsi="黑体" w:eastAsia="黑体" w:cs="黑体"/>
                <w:kern w:val="0"/>
                <w:szCs w:val="22"/>
                <w:lang w:eastAsia="en-US"/>
              </w:rPr>
            </w:pPr>
          </w:p>
        </w:tc>
        <w:tc>
          <w:tcPr>
            <w:tcW w:w="1035" w:type="dxa"/>
          </w:tcPr>
          <w:p>
            <w:pPr>
              <w:autoSpaceDE w:val="0"/>
              <w:autoSpaceDN w:val="0"/>
              <w:snapToGrid w:val="0"/>
              <w:spacing w:line="240" w:lineRule="atLeast"/>
              <w:jc w:val="center"/>
              <w:rPr>
                <w:rFonts w:ascii="黑体" w:hAnsi="黑体" w:eastAsia="黑体" w:cs="黑体"/>
                <w:kern w:val="0"/>
                <w:szCs w:val="22"/>
                <w:lang w:eastAsia="en-US"/>
              </w:rPr>
            </w:pPr>
          </w:p>
        </w:tc>
        <w:tc>
          <w:tcPr>
            <w:tcW w:w="781" w:type="dxa"/>
            <w:vMerge w:val="restart"/>
          </w:tcPr>
          <w:p>
            <w:pPr>
              <w:autoSpaceDE w:val="0"/>
              <w:autoSpaceDN w:val="0"/>
              <w:snapToGrid w:val="0"/>
              <w:spacing w:line="240" w:lineRule="atLeast"/>
              <w:jc w:val="center"/>
              <w:rPr>
                <w:rFonts w:ascii="黑体" w:hAnsi="黑体" w:eastAsia="黑体" w:cs="黑体"/>
                <w:kern w:val="0"/>
                <w:szCs w:val="22"/>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jc w:val="center"/>
        </w:trPr>
        <w:tc>
          <w:tcPr>
            <w:tcW w:w="1069" w:type="dxa"/>
            <w:vMerge w:val="continue"/>
            <w:vAlign w:val="center"/>
          </w:tcPr>
          <w:p>
            <w:pPr>
              <w:widowControl/>
              <w:spacing w:line="240" w:lineRule="atLeast"/>
              <w:ind w:firstLine="420"/>
              <w:jc w:val="left"/>
              <w:rPr>
                <w:rFonts w:ascii="黑体" w:hAnsi="黑体" w:eastAsia="黑体" w:cs="黑体"/>
                <w:kern w:val="0"/>
              </w:rPr>
            </w:pPr>
          </w:p>
        </w:tc>
        <w:tc>
          <w:tcPr>
            <w:tcW w:w="3960" w:type="dxa"/>
            <w:shd w:val="clear" w:color="auto" w:fill="auto"/>
            <w:vAlign w:val="center"/>
          </w:tcPr>
          <w:p>
            <w:pPr>
              <w:widowControl/>
              <w:spacing w:line="240" w:lineRule="atLeast"/>
              <w:rPr>
                <w:rFonts w:ascii="黑体" w:hAnsi="黑体" w:eastAsia="黑体" w:cs="黑体"/>
                <w:kern w:val="0"/>
              </w:rPr>
            </w:pPr>
            <w:r>
              <w:rPr>
                <w:rFonts w:hint="eastAsia" w:ascii="黑体" w:hAnsi="黑体" w:eastAsia="黑体" w:cs="黑体"/>
                <w:kern w:val="0"/>
              </w:rPr>
              <w:t>梁、板、楼梯、阳台、空调板等水平构件</w:t>
            </w:r>
          </w:p>
        </w:tc>
        <w:tc>
          <w:tcPr>
            <w:tcW w:w="2325" w:type="dxa"/>
            <w:shd w:val="clear" w:color="auto" w:fill="auto"/>
            <w:vAlign w:val="center"/>
          </w:tcPr>
          <w:p>
            <w:pPr>
              <w:widowControl/>
              <w:spacing w:line="240" w:lineRule="atLeast"/>
              <w:jc w:val="center"/>
              <w:rPr>
                <w:rFonts w:ascii="黑体" w:hAnsi="黑体" w:eastAsia="黑体" w:cs="黑体"/>
              </w:rPr>
            </w:pPr>
            <w:r>
              <w:rPr>
                <w:rFonts w:hint="eastAsia" w:ascii="黑体" w:hAnsi="黑体" w:eastAsia="黑体" w:cs="黑体"/>
              </w:rPr>
              <w:t>取下列两种指标其一：</w:t>
            </w:r>
          </w:p>
          <w:p>
            <w:pPr>
              <w:widowControl/>
              <w:spacing w:line="240" w:lineRule="atLeast"/>
              <w:jc w:val="left"/>
              <w:rPr>
                <w:rFonts w:ascii="黑体" w:hAnsi="黑体" w:eastAsia="黑体" w:cs="黑体"/>
              </w:rPr>
            </w:pPr>
            <w:r>
              <w:rPr>
                <w:rFonts w:hint="eastAsia" w:ascii="黑体" w:hAnsi="黑体" w:eastAsia="黑体" w:cs="黑体"/>
                <w:kern w:val="0"/>
                <w:szCs w:val="22"/>
              </w:rPr>
              <w:t>①60%</w:t>
            </w:r>
            <w:r>
              <w:rPr>
                <w:rFonts w:hint="eastAsia" w:ascii="黑体" w:hAnsi="黑体" w:eastAsia="黑体" w:cs="黑体"/>
              </w:rPr>
              <w:t>≤比例≤</w:t>
            </w:r>
            <w:r>
              <w:rPr>
                <w:rFonts w:hint="eastAsia" w:ascii="黑体" w:hAnsi="黑体" w:eastAsia="黑体" w:cs="黑体"/>
                <w:kern w:val="0"/>
                <w:szCs w:val="22"/>
              </w:rPr>
              <w:t>80%</w:t>
            </w:r>
            <w:r>
              <w:rPr>
                <w:rFonts w:hint="eastAsia" w:ascii="黑体" w:hAnsi="黑体" w:eastAsia="黑体" w:cs="黑体"/>
              </w:rPr>
              <w:t>；</w:t>
            </w:r>
          </w:p>
          <w:p>
            <w:pPr>
              <w:widowControl/>
              <w:spacing w:line="240" w:lineRule="atLeast"/>
              <w:jc w:val="left"/>
              <w:rPr>
                <w:rFonts w:ascii="黑体" w:hAnsi="黑体" w:eastAsia="黑体" w:cs="黑体"/>
              </w:rPr>
            </w:pPr>
            <w:r>
              <w:rPr>
                <w:rFonts w:hint="eastAsia" w:ascii="黑体" w:hAnsi="黑体" w:eastAsia="黑体" w:cs="黑体"/>
                <w:kern w:val="0"/>
                <w:szCs w:val="22"/>
                <w:lang w:eastAsia="en-US"/>
              </w:rPr>
              <w:t>②40%</w:t>
            </w:r>
            <w:r>
              <w:rPr>
                <w:rFonts w:hint="eastAsia" w:ascii="黑体" w:hAnsi="黑体" w:eastAsia="黑体" w:cs="黑体"/>
              </w:rPr>
              <w:t>≤比例&lt;</w:t>
            </w:r>
            <w:r>
              <w:rPr>
                <w:rFonts w:hint="eastAsia" w:ascii="黑体" w:hAnsi="黑体" w:eastAsia="黑体" w:cs="黑体"/>
                <w:kern w:val="0"/>
                <w:szCs w:val="22"/>
                <w:lang w:eastAsia="en-US"/>
              </w:rPr>
              <w:t>60%</w:t>
            </w:r>
          </w:p>
        </w:tc>
        <w:tc>
          <w:tcPr>
            <w:tcW w:w="1560" w:type="dxa"/>
            <w:shd w:val="clear" w:color="auto" w:fill="auto"/>
            <w:vAlign w:val="center"/>
          </w:tcPr>
          <w:p>
            <w:pPr>
              <w:autoSpaceDE w:val="0"/>
              <w:autoSpaceDN w:val="0"/>
              <w:snapToGrid w:val="0"/>
              <w:spacing w:line="240" w:lineRule="atLeast"/>
              <w:jc w:val="center"/>
              <w:rPr>
                <w:rFonts w:ascii="黑体" w:hAnsi="黑体" w:eastAsia="黑体" w:cs="黑体"/>
                <w:kern w:val="0"/>
                <w:szCs w:val="22"/>
                <w:lang w:eastAsia="en-US"/>
              </w:rPr>
            </w:pPr>
            <w:r>
              <w:rPr>
                <w:rFonts w:hint="eastAsia" w:ascii="黑体" w:hAnsi="黑体" w:eastAsia="黑体" w:cs="黑体"/>
                <w:kern w:val="0"/>
                <w:szCs w:val="22"/>
                <w:lang w:eastAsia="en-US"/>
              </w:rPr>
              <w:t>①10</w:t>
            </w:r>
            <w:r>
              <w:rPr>
                <w:rFonts w:hint="eastAsia" w:ascii="黑体" w:hAnsi="黑体" w:eastAsia="黑体" w:cs="黑体"/>
              </w:rPr>
              <w:t>～</w:t>
            </w:r>
            <w:r>
              <w:rPr>
                <w:rFonts w:hint="eastAsia" w:ascii="黑体" w:hAnsi="黑体" w:eastAsia="黑体" w:cs="黑体"/>
                <w:kern w:val="0"/>
                <w:szCs w:val="22"/>
                <w:lang w:eastAsia="en-US"/>
              </w:rPr>
              <w:t>20*</w:t>
            </w:r>
          </w:p>
          <w:p>
            <w:pPr>
              <w:autoSpaceDE w:val="0"/>
              <w:autoSpaceDN w:val="0"/>
              <w:snapToGrid w:val="0"/>
              <w:spacing w:line="240" w:lineRule="atLeast"/>
              <w:jc w:val="center"/>
              <w:rPr>
                <w:rFonts w:ascii="黑体" w:hAnsi="黑体" w:eastAsia="黑体" w:cs="黑体"/>
              </w:rPr>
            </w:pPr>
            <w:r>
              <w:rPr>
                <w:rFonts w:hint="eastAsia" w:ascii="黑体" w:hAnsi="黑体" w:eastAsia="黑体" w:cs="黑体"/>
                <w:kern w:val="0"/>
                <w:szCs w:val="22"/>
                <w:lang w:eastAsia="en-US"/>
              </w:rPr>
              <w:t>②5</w:t>
            </w:r>
            <w:r>
              <w:rPr>
                <w:rFonts w:hint="eastAsia" w:ascii="黑体" w:hAnsi="黑体" w:eastAsia="黑体" w:cs="黑体"/>
              </w:rPr>
              <w:t>～</w:t>
            </w:r>
            <w:r>
              <w:rPr>
                <w:rFonts w:hint="eastAsia" w:ascii="黑体" w:hAnsi="黑体" w:eastAsia="黑体" w:cs="黑体"/>
                <w:kern w:val="0"/>
                <w:szCs w:val="22"/>
                <w:lang w:eastAsia="en-US"/>
              </w:rPr>
              <w:t>10*</w:t>
            </w:r>
          </w:p>
        </w:tc>
        <w:tc>
          <w:tcPr>
            <w:tcW w:w="108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065" w:type="dxa"/>
          </w:tcPr>
          <w:p>
            <w:pPr>
              <w:autoSpaceDE w:val="0"/>
              <w:autoSpaceDN w:val="0"/>
              <w:snapToGrid w:val="0"/>
              <w:spacing w:line="240" w:lineRule="atLeast"/>
              <w:jc w:val="center"/>
              <w:rPr>
                <w:rFonts w:ascii="黑体" w:hAnsi="黑体" w:eastAsia="黑体" w:cs="黑体"/>
                <w:kern w:val="0"/>
              </w:rPr>
            </w:pPr>
          </w:p>
        </w:tc>
        <w:tc>
          <w:tcPr>
            <w:tcW w:w="1380" w:type="dxa"/>
          </w:tcPr>
          <w:p>
            <w:pPr>
              <w:autoSpaceDE w:val="0"/>
              <w:autoSpaceDN w:val="0"/>
              <w:snapToGrid w:val="0"/>
              <w:spacing w:line="240" w:lineRule="atLeast"/>
              <w:jc w:val="center"/>
              <w:rPr>
                <w:rFonts w:ascii="黑体" w:hAnsi="黑体" w:eastAsia="黑体" w:cs="黑体"/>
                <w:kern w:val="0"/>
              </w:rPr>
            </w:pPr>
          </w:p>
        </w:tc>
        <w:tc>
          <w:tcPr>
            <w:tcW w:w="735" w:type="dxa"/>
          </w:tcPr>
          <w:p>
            <w:pPr>
              <w:autoSpaceDE w:val="0"/>
              <w:autoSpaceDN w:val="0"/>
              <w:snapToGrid w:val="0"/>
              <w:spacing w:line="240" w:lineRule="atLeast"/>
              <w:jc w:val="center"/>
              <w:rPr>
                <w:rFonts w:ascii="黑体" w:hAnsi="黑体" w:eastAsia="黑体" w:cs="黑体"/>
                <w:kern w:val="0"/>
              </w:rPr>
            </w:pPr>
          </w:p>
        </w:tc>
        <w:tc>
          <w:tcPr>
            <w:tcW w:w="1035" w:type="dxa"/>
          </w:tcPr>
          <w:p>
            <w:pPr>
              <w:autoSpaceDE w:val="0"/>
              <w:autoSpaceDN w:val="0"/>
              <w:snapToGrid w:val="0"/>
              <w:spacing w:line="240" w:lineRule="atLeast"/>
              <w:jc w:val="center"/>
              <w:rPr>
                <w:rFonts w:ascii="黑体" w:hAnsi="黑体" w:eastAsia="黑体" w:cs="黑体"/>
                <w:kern w:val="0"/>
              </w:rPr>
            </w:pPr>
          </w:p>
        </w:tc>
        <w:tc>
          <w:tcPr>
            <w:tcW w:w="781" w:type="dxa"/>
            <w:vMerge w:val="continue"/>
          </w:tcPr>
          <w:p>
            <w:pPr>
              <w:autoSpaceDE w:val="0"/>
              <w:autoSpaceDN w:val="0"/>
              <w:snapToGrid w:val="0"/>
              <w:spacing w:line="240" w:lineRule="atLeast"/>
              <w:jc w:val="center"/>
              <w:rPr>
                <w:rFonts w:ascii="黑体" w:hAnsi="黑体" w:eastAsia="黑体" w:cs="黑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069" w:type="dxa"/>
            <w:vMerge w:val="restart"/>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rPr>
              <w:t>围护墙和内隔墙（</w:t>
            </w:r>
            <w:r>
              <w:rPr>
                <w:rFonts w:hint="eastAsia" w:ascii="黑体" w:hAnsi="黑体" w:eastAsia="黑体" w:cs="黑体"/>
                <w:kern w:val="0"/>
                <w:szCs w:val="22"/>
              </w:rPr>
              <w:t>20</w:t>
            </w:r>
            <w:r>
              <w:rPr>
                <w:rFonts w:hint="eastAsia" w:ascii="黑体" w:hAnsi="黑体" w:eastAsia="黑体" w:cs="黑体"/>
                <w:kern w:val="0"/>
              </w:rPr>
              <w:t>分）</w:t>
            </w:r>
          </w:p>
        </w:tc>
        <w:tc>
          <w:tcPr>
            <w:tcW w:w="3960" w:type="dxa"/>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rPr>
              <w:t>非承重围护墙非砌筑</w:t>
            </w:r>
            <w:r>
              <w:rPr>
                <w:rFonts w:hint="eastAsia" w:ascii="黑体" w:hAnsi="黑体" w:eastAsia="黑体" w:cs="黑体"/>
              </w:rPr>
              <w:t>和非现场浇筑墙体</w:t>
            </w:r>
          </w:p>
        </w:tc>
        <w:tc>
          <w:tcPr>
            <w:tcW w:w="2325" w:type="dxa"/>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rPr>
              <w:t>比例≥</w:t>
            </w:r>
            <w:r>
              <w:rPr>
                <w:rFonts w:hint="eastAsia" w:ascii="黑体" w:hAnsi="黑体" w:eastAsia="黑体" w:cs="黑体"/>
                <w:kern w:val="0"/>
                <w:szCs w:val="22"/>
                <w:lang w:eastAsia="en-US"/>
              </w:rPr>
              <w:t>80%</w:t>
            </w:r>
          </w:p>
        </w:tc>
        <w:tc>
          <w:tcPr>
            <w:tcW w:w="1560" w:type="dxa"/>
            <w:shd w:val="clear" w:color="auto" w:fill="auto"/>
            <w:vAlign w:val="center"/>
          </w:tcPr>
          <w:p>
            <w:pPr>
              <w:autoSpaceDE w:val="0"/>
              <w:autoSpaceDN w:val="0"/>
              <w:snapToGrid w:val="0"/>
              <w:spacing w:line="240" w:lineRule="atLeast"/>
              <w:jc w:val="center"/>
              <w:rPr>
                <w:rFonts w:ascii="黑体" w:hAnsi="黑体" w:eastAsia="黑体" w:cs="黑体"/>
                <w:kern w:val="0"/>
              </w:rPr>
            </w:pPr>
            <w:r>
              <w:rPr>
                <w:rFonts w:hint="eastAsia" w:ascii="黑体" w:hAnsi="黑体" w:eastAsia="黑体" w:cs="黑体"/>
                <w:kern w:val="0"/>
                <w:szCs w:val="22"/>
                <w:lang w:eastAsia="en-US"/>
              </w:rPr>
              <w:t>5</w:t>
            </w:r>
          </w:p>
        </w:tc>
        <w:tc>
          <w:tcPr>
            <w:tcW w:w="1080" w:type="dxa"/>
            <w:vMerge w:val="restart"/>
            <w:shd w:val="clear" w:color="auto" w:fill="auto"/>
            <w:vAlign w:val="center"/>
          </w:tcPr>
          <w:p>
            <w:pPr>
              <w:autoSpaceDE w:val="0"/>
              <w:autoSpaceDN w:val="0"/>
              <w:snapToGrid w:val="0"/>
              <w:spacing w:line="240" w:lineRule="atLeast"/>
              <w:jc w:val="center"/>
              <w:rPr>
                <w:rFonts w:ascii="黑体" w:hAnsi="黑体" w:eastAsia="黑体" w:cs="黑体"/>
                <w:kern w:val="0"/>
              </w:rPr>
            </w:pPr>
            <w:r>
              <w:rPr>
                <w:rFonts w:hint="eastAsia" w:ascii="黑体" w:hAnsi="黑体" w:eastAsia="黑体" w:cs="黑体"/>
                <w:kern w:val="0"/>
                <w:szCs w:val="22"/>
                <w:lang w:eastAsia="en-US"/>
              </w:rPr>
              <w:t>10</w:t>
            </w:r>
          </w:p>
        </w:tc>
        <w:tc>
          <w:tcPr>
            <w:tcW w:w="1065" w:type="dxa"/>
          </w:tcPr>
          <w:p>
            <w:pPr>
              <w:autoSpaceDE w:val="0"/>
              <w:autoSpaceDN w:val="0"/>
              <w:snapToGrid w:val="0"/>
              <w:spacing w:line="240" w:lineRule="atLeast"/>
              <w:jc w:val="center"/>
              <w:rPr>
                <w:rFonts w:ascii="黑体" w:hAnsi="黑体" w:eastAsia="黑体" w:cs="黑体"/>
                <w:kern w:val="0"/>
                <w:szCs w:val="22"/>
                <w:lang w:eastAsia="en-US"/>
              </w:rPr>
            </w:pPr>
          </w:p>
        </w:tc>
        <w:tc>
          <w:tcPr>
            <w:tcW w:w="1380" w:type="dxa"/>
          </w:tcPr>
          <w:p>
            <w:pPr>
              <w:autoSpaceDE w:val="0"/>
              <w:autoSpaceDN w:val="0"/>
              <w:snapToGrid w:val="0"/>
              <w:spacing w:line="240" w:lineRule="atLeast"/>
              <w:jc w:val="center"/>
              <w:rPr>
                <w:rFonts w:ascii="黑体" w:hAnsi="黑体" w:eastAsia="黑体" w:cs="黑体"/>
                <w:kern w:val="0"/>
                <w:szCs w:val="22"/>
                <w:lang w:eastAsia="en-US"/>
              </w:rPr>
            </w:pPr>
          </w:p>
        </w:tc>
        <w:tc>
          <w:tcPr>
            <w:tcW w:w="735" w:type="dxa"/>
          </w:tcPr>
          <w:p>
            <w:pPr>
              <w:autoSpaceDE w:val="0"/>
              <w:autoSpaceDN w:val="0"/>
              <w:snapToGrid w:val="0"/>
              <w:spacing w:line="240" w:lineRule="atLeast"/>
              <w:jc w:val="center"/>
              <w:rPr>
                <w:rFonts w:ascii="黑体" w:hAnsi="黑体" w:eastAsia="黑体" w:cs="黑体"/>
                <w:kern w:val="0"/>
                <w:szCs w:val="22"/>
                <w:lang w:eastAsia="en-US"/>
              </w:rPr>
            </w:pPr>
          </w:p>
        </w:tc>
        <w:tc>
          <w:tcPr>
            <w:tcW w:w="1035" w:type="dxa"/>
          </w:tcPr>
          <w:p>
            <w:pPr>
              <w:autoSpaceDE w:val="0"/>
              <w:autoSpaceDN w:val="0"/>
              <w:snapToGrid w:val="0"/>
              <w:spacing w:line="240" w:lineRule="atLeast"/>
              <w:jc w:val="center"/>
              <w:rPr>
                <w:rFonts w:ascii="黑体" w:hAnsi="黑体" w:eastAsia="黑体" w:cs="黑体"/>
                <w:kern w:val="0"/>
                <w:szCs w:val="22"/>
                <w:lang w:eastAsia="en-US"/>
              </w:rPr>
            </w:pPr>
          </w:p>
        </w:tc>
        <w:tc>
          <w:tcPr>
            <w:tcW w:w="781" w:type="dxa"/>
            <w:vMerge w:val="restart"/>
          </w:tcPr>
          <w:p>
            <w:pPr>
              <w:autoSpaceDE w:val="0"/>
              <w:autoSpaceDN w:val="0"/>
              <w:snapToGrid w:val="0"/>
              <w:spacing w:line="240" w:lineRule="atLeast"/>
              <w:jc w:val="center"/>
              <w:rPr>
                <w:rFonts w:ascii="黑体" w:hAnsi="黑体" w:eastAsia="黑体" w:cs="黑体"/>
                <w:kern w:val="0"/>
                <w:szCs w:val="22"/>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069" w:type="dxa"/>
            <w:vMerge w:val="continue"/>
            <w:vAlign w:val="center"/>
          </w:tcPr>
          <w:p>
            <w:pPr>
              <w:widowControl/>
              <w:spacing w:line="240" w:lineRule="atLeast"/>
              <w:ind w:firstLine="420"/>
              <w:jc w:val="left"/>
              <w:rPr>
                <w:rFonts w:ascii="黑体" w:hAnsi="黑体" w:eastAsia="黑体" w:cs="黑体"/>
                <w:kern w:val="0"/>
              </w:rPr>
            </w:pPr>
          </w:p>
        </w:tc>
        <w:tc>
          <w:tcPr>
            <w:tcW w:w="3960" w:type="dxa"/>
            <w:tcBorders>
              <w:bottom w:val="nil"/>
            </w:tcBorders>
            <w:shd w:val="clear" w:color="auto" w:fill="auto"/>
            <w:vAlign w:val="center"/>
          </w:tcPr>
          <w:p>
            <w:pPr>
              <w:widowControl/>
              <w:spacing w:line="240" w:lineRule="atLeast"/>
              <w:jc w:val="center"/>
              <w:rPr>
                <w:rFonts w:ascii="黑体" w:hAnsi="黑体" w:eastAsia="黑体" w:cs="黑体"/>
              </w:rPr>
            </w:pPr>
            <w:r>
              <w:rPr>
                <w:rFonts w:hint="eastAsia" w:ascii="黑体" w:hAnsi="黑体" w:eastAsia="黑体" w:cs="黑体"/>
              </w:rPr>
              <w:t>围护墙与保温装饰一体化</w:t>
            </w:r>
          </w:p>
        </w:tc>
        <w:tc>
          <w:tcPr>
            <w:tcW w:w="2325" w:type="dxa"/>
            <w:tcBorders>
              <w:bottom w:val="nil"/>
            </w:tcBorders>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szCs w:val="22"/>
                <w:lang w:eastAsia="en-US"/>
              </w:rPr>
              <w:t>50%</w:t>
            </w:r>
            <w:r>
              <w:rPr>
                <w:rFonts w:hint="eastAsia" w:ascii="黑体" w:hAnsi="黑体" w:eastAsia="黑体" w:cs="黑体"/>
                <w:kern w:val="0"/>
              </w:rPr>
              <w:t>≤比例≤</w:t>
            </w:r>
            <w:r>
              <w:rPr>
                <w:rFonts w:hint="eastAsia" w:ascii="黑体" w:hAnsi="黑体" w:eastAsia="黑体" w:cs="黑体"/>
                <w:kern w:val="0"/>
                <w:szCs w:val="22"/>
                <w:lang w:eastAsia="en-US"/>
              </w:rPr>
              <w:t>80</w:t>
            </w:r>
            <w:r>
              <w:rPr>
                <w:rFonts w:hint="eastAsia" w:ascii="黑体" w:hAnsi="黑体" w:eastAsia="黑体" w:cs="黑体"/>
                <w:kern w:val="0"/>
              </w:rPr>
              <w:t>%</w:t>
            </w:r>
          </w:p>
        </w:tc>
        <w:tc>
          <w:tcPr>
            <w:tcW w:w="1560" w:type="dxa"/>
            <w:tcBorders>
              <w:bottom w:val="nil"/>
            </w:tcBorders>
            <w:shd w:val="clear" w:color="auto" w:fill="auto"/>
            <w:vAlign w:val="center"/>
          </w:tcPr>
          <w:p>
            <w:pPr>
              <w:autoSpaceDE w:val="0"/>
              <w:autoSpaceDN w:val="0"/>
              <w:snapToGrid w:val="0"/>
              <w:spacing w:line="240" w:lineRule="atLeast"/>
              <w:jc w:val="center"/>
              <w:rPr>
                <w:rFonts w:ascii="黑体" w:hAnsi="黑体" w:eastAsia="黑体" w:cs="黑体"/>
                <w:kern w:val="0"/>
              </w:rPr>
            </w:pPr>
            <w:r>
              <w:rPr>
                <w:rFonts w:hint="eastAsia" w:ascii="黑体" w:hAnsi="黑体" w:eastAsia="黑体" w:cs="黑体"/>
                <w:kern w:val="0"/>
                <w:szCs w:val="22"/>
                <w:lang w:eastAsia="en-US"/>
              </w:rPr>
              <w:t>2</w:t>
            </w:r>
            <w:r>
              <w:rPr>
                <w:rFonts w:hint="eastAsia" w:ascii="黑体" w:hAnsi="黑体" w:eastAsia="黑体" w:cs="黑体"/>
                <w:kern w:val="0"/>
              </w:rPr>
              <w:t>～</w:t>
            </w:r>
            <w:r>
              <w:rPr>
                <w:rFonts w:hint="eastAsia" w:ascii="黑体" w:hAnsi="黑体" w:eastAsia="黑体" w:cs="黑体"/>
                <w:kern w:val="0"/>
                <w:szCs w:val="22"/>
                <w:lang w:eastAsia="en-US"/>
              </w:rPr>
              <w:t>5*</w:t>
            </w:r>
          </w:p>
        </w:tc>
        <w:tc>
          <w:tcPr>
            <w:tcW w:w="108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065" w:type="dxa"/>
          </w:tcPr>
          <w:p>
            <w:pPr>
              <w:autoSpaceDE w:val="0"/>
              <w:autoSpaceDN w:val="0"/>
              <w:snapToGrid w:val="0"/>
              <w:spacing w:line="240" w:lineRule="atLeast"/>
              <w:jc w:val="center"/>
              <w:rPr>
                <w:rFonts w:ascii="黑体" w:hAnsi="黑体" w:eastAsia="黑体" w:cs="黑体"/>
                <w:kern w:val="0"/>
              </w:rPr>
            </w:pPr>
          </w:p>
        </w:tc>
        <w:tc>
          <w:tcPr>
            <w:tcW w:w="1380" w:type="dxa"/>
          </w:tcPr>
          <w:p>
            <w:pPr>
              <w:autoSpaceDE w:val="0"/>
              <w:autoSpaceDN w:val="0"/>
              <w:snapToGrid w:val="0"/>
              <w:spacing w:line="240" w:lineRule="atLeast"/>
              <w:jc w:val="center"/>
              <w:rPr>
                <w:rFonts w:ascii="黑体" w:hAnsi="黑体" w:eastAsia="黑体" w:cs="黑体"/>
                <w:kern w:val="0"/>
              </w:rPr>
            </w:pPr>
          </w:p>
        </w:tc>
        <w:tc>
          <w:tcPr>
            <w:tcW w:w="735" w:type="dxa"/>
          </w:tcPr>
          <w:p>
            <w:pPr>
              <w:autoSpaceDE w:val="0"/>
              <w:autoSpaceDN w:val="0"/>
              <w:snapToGrid w:val="0"/>
              <w:spacing w:line="240" w:lineRule="atLeast"/>
              <w:jc w:val="center"/>
              <w:rPr>
                <w:rFonts w:ascii="黑体" w:hAnsi="黑体" w:eastAsia="黑体" w:cs="黑体"/>
                <w:kern w:val="0"/>
              </w:rPr>
            </w:pPr>
          </w:p>
        </w:tc>
        <w:tc>
          <w:tcPr>
            <w:tcW w:w="1035" w:type="dxa"/>
          </w:tcPr>
          <w:p>
            <w:pPr>
              <w:autoSpaceDE w:val="0"/>
              <w:autoSpaceDN w:val="0"/>
              <w:snapToGrid w:val="0"/>
              <w:spacing w:line="240" w:lineRule="atLeast"/>
              <w:jc w:val="center"/>
              <w:rPr>
                <w:rFonts w:ascii="黑体" w:hAnsi="黑体" w:eastAsia="黑体" w:cs="黑体"/>
                <w:kern w:val="0"/>
              </w:rPr>
            </w:pPr>
          </w:p>
        </w:tc>
        <w:tc>
          <w:tcPr>
            <w:tcW w:w="781" w:type="dxa"/>
            <w:vMerge w:val="continue"/>
          </w:tcPr>
          <w:p>
            <w:pPr>
              <w:autoSpaceDE w:val="0"/>
              <w:autoSpaceDN w:val="0"/>
              <w:snapToGrid w:val="0"/>
              <w:spacing w:line="240" w:lineRule="atLeast"/>
              <w:jc w:val="center"/>
              <w:rPr>
                <w:rFonts w:ascii="黑体" w:hAnsi="黑体" w:eastAsia="黑体" w:cs="黑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069" w:type="dxa"/>
            <w:vMerge w:val="continue"/>
            <w:vAlign w:val="center"/>
          </w:tcPr>
          <w:p>
            <w:pPr>
              <w:widowControl/>
              <w:spacing w:line="240" w:lineRule="atLeast"/>
              <w:ind w:firstLine="420"/>
              <w:jc w:val="left"/>
              <w:rPr>
                <w:rFonts w:ascii="黑体" w:hAnsi="黑体" w:eastAsia="黑体" w:cs="黑体"/>
                <w:kern w:val="0"/>
              </w:rPr>
            </w:pPr>
          </w:p>
        </w:tc>
        <w:tc>
          <w:tcPr>
            <w:tcW w:w="3960" w:type="dxa"/>
            <w:tcBorders>
              <w:top w:val="nil"/>
              <w:bottom w:val="nil"/>
            </w:tcBorders>
            <w:shd w:val="clear" w:color="auto" w:fill="auto"/>
            <w:vAlign w:val="center"/>
          </w:tcPr>
          <w:p>
            <w:pPr>
              <w:widowControl/>
              <w:spacing w:line="240" w:lineRule="atLeast"/>
              <w:jc w:val="center"/>
              <w:rPr>
                <w:rFonts w:ascii="黑体" w:hAnsi="黑体" w:eastAsia="黑体" w:cs="黑体"/>
              </w:rPr>
            </w:pPr>
            <w:r>
              <w:rPr>
                <w:rFonts w:hint="eastAsia" w:ascii="黑体" w:hAnsi="黑体" w:eastAsia="黑体" w:cs="黑体"/>
              </w:rPr>
              <w:t>（围护墙与保温一体化）</w:t>
            </w:r>
          </w:p>
        </w:tc>
        <w:tc>
          <w:tcPr>
            <w:tcW w:w="2325" w:type="dxa"/>
            <w:tcBorders>
              <w:top w:val="nil"/>
              <w:bottom w:val="nil"/>
            </w:tcBorders>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szCs w:val="22"/>
                <w:lang w:eastAsia="en-US"/>
              </w:rPr>
              <w:t>（50%</w:t>
            </w:r>
            <w:r>
              <w:rPr>
                <w:rFonts w:hint="eastAsia" w:ascii="黑体" w:hAnsi="黑体" w:eastAsia="黑体" w:cs="黑体"/>
                <w:kern w:val="0"/>
              </w:rPr>
              <w:t>≤比例≤</w:t>
            </w:r>
            <w:r>
              <w:rPr>
                <w:rFonts w:hint="eastAsia" w:ascii="黑体" w:hAnsi="黑体" w:eastAsia="黑体" w:cs="黑体"/>
                <w:kern w:val="0"/>
                <w:szCs w:val="22"/>
                <w:lang w:eastAsia="en-US"/>
              </w:rPr>
              <w:t>80%）</w:t>
            </w:r>
          </w:p>
        </w:tc>
        <w:tc>
          <w:tcPr>
            <w:tcW w:w="1560" w:type="dxa"/>
            <w:tcBorders>
              <w:top w:val="nil"/>
              <w:bottom w:val="nil"/>
            </w:tcBorders>
            <w:shd w:val="clear" w:color="auto" w:fill="auto"/>
            <w:vAlign w:val="center"/>
          </w:tcPr>
          <w:p>
            <w:pPr>
              <w:autoSpaceDE w:val="0"/>
              <w:autoSpaceDN w:val="0"/>
              <w:snapToGrid w:val="0"/>
              <w:spacing w:line="240" w:lineRule="atLeast"/>
              <w:jc w:val="center"/>
              <w:rPr>
                <w:rFonts w:ascii="黑体" w:hAnsi="黑体" w:eastAsia="黑体" w:cs="黑体"/>
                <w:kern w:val="0"/>
              </w:rPr>
            </w:pPr>
            <w:r>
              <w:rPr>
                <w:rFonts w:hint="eastAsia" w:ascii="黑体" w:hAnsi="黑体" w:eastAsia="黑体" w:cs="黑体"/>
                <w:kern w:val="0"/>
                <w:szCs w:val="22"/>
                <w:lang w:eastAsia="en-US"/>
              </w:rPr>
              <w:t>（1.4</w:t>
            </w:r>
            <w:r>
              <w:rPr>
                <w:rFonts w:hint="eastAsia" w:ascii="黑体" w:hAnsi="黑体" w:eastAsia="黑体" w:cs="黑体"/>
                <w:kern w:val="0"/>
              </w:rPr>
              <w:t>～</w:t>
            </w:r>
            <w:r>
              <w:rPr>
                <w:rFonts w:hint="eastAsia" w:ascii="黑体" w:hAnsi="黑体" w:eastAsia="黑体" w:cs="黑体"/>
                <w:kern w:val="0"/>
                <w:szCs w:val="22"/>
                <w:lang w:eastAsia="en-US"/>
              </w:rPr>
              <w:t>3.5*）</w:t>
            </w:r>
          </w:p>
        </w:tc>
        <w:tc>
          <w:tcPr>
            <w:tcW w:w="108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065" w:type="dxa"/>
          </w:tcPr>
          <w:p>
            <w:pPr>
              <w:autoSpaceDE w:val="0"/>
              <w:autoSpaceDN w:val="0"/>
              <w:snapToGrid w:val="0"/>
              <w:spacing w:line="240" w:lineRule="atLeast"/>
              <w:jc w:val="center"/>
              <w:rPr>
                <w:rFonts w:ascii="黑体" w:hAnsi="黑体" w:eastAsia="黑体" w:cs="黑体"/>
                <w:kern w:val="0"/>
              </w:rPr>
            </w:pPr>
          </w:p>
        </w:tc>
        <w:tc>
          <w:tcPr>
            <w:tcW w:w="1380" w:type="dxa"/>
          </w:tcPr>
          <w:p>
            <w:pPr>
              <w:autoSpaceDE w:val="0"/>
              <w:autoSpaceDN w:val="0"/>
              <w:snapToGrid w:val="0"/>
              <w:spacing w:line="240" w:lineRule="atLeast"/>
              <w:jc w:val="center"/>
              <w:rPr>
                <w:rFonts w:ascii="黑体" w:hAnsi="黑体" w:eastAsia="黑体" w:cs="黑体"/>
                <w:kern w:val="0"/>
              </w:rPr>
            </w:pPr>
          </w:p>
        </w:tc>
        <w:tc>
          <w:tcPr>
            <w:tcW w:w="735" w:type="dxa"/>
          </w:tcPr>
          <w:p>
            <w:pPr>
              <w:autoSpaceDE w:val="0"/>
              <w:autoSpaceDN w:val="0"/>
              <w:snapToGrid w:val="0"/>
              <w:spacing w:line="240" w:lineRule="atLeast"/>
              <w:jc w:val="center"/>
              <w:rPr>
                <w:rFonts w:ascii="黑体" w:hAnsi="黑体" w:eastAsia="黑体" w:cs="黑体"/>
                <w:kern w:val="0"/>
              </w:rPr>
            </w:pPr>
          </w:p>
        </w:tc>
        <w:tc>
          <w:tcPr>
            <w:tcW w:w="1035" w:type="dxa"/>
          </w:tcPr>
          <w:p>
            <w:pPr>
              <w:autoSpaceDE w:val="0"/>
              <w:autoSpaceDN w:val="0"/>
              <w:snapToGrid w:val="0"/>
              <w:spacing w:line="240" w:lineRule="atLeast"/>
              <w:jc w:val="center"/>
              <w:rPr>
                <w:rFonts w:ascii="黑体" w:hAnsi="黑体" w:eastAsia="黑体" w:cs="黑体"/>
                <w:kern w:val="0"/>
              </w:rPr>
            </w:pPr>
          </w:p>
        </w:tc>
        <w:tc>
          <w:tcPr>
            <w:tcW w:w="781" w:type="dxa"/>
            <w:vMerge w:val="continue"/>
          </w:tcPr>
          <w:p>
            <w:pPr>
              <w:autoSpaceDE w:val="0"/>
              <w:autoSpaceDN w:val="0"/>
              <w:snapToGrid w:val="0"/>
              <w:spacing w:line="240" w:lineRule="atLeast"/>
              <w:jc w:val="center"/>
              <w:rPr>
                <w:rFonts w:ascii="黑体" w:hAnsi="黑体" w:eastAsia="黑体" w:cs="黑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069" w:type="dxa"/>
            <w:vMerge w:val="continue"/>
            <w:vAlign w:val="center"/>
          </w:tcPr>
          <w:p>
            <w:pPr>
              <w:widowControl/>
              <w:spacing w:line="240" w:lineRule="atLeast"/>
              <w:ind w:firstLine="420"/>
              <w:jc w:val="left"/>
              <w:rPr>
                <w:rFonts w:ascii="黑体" w:hAnsi="黑体" w:eastAsia="黑体" w:cs="黑体"/>
                <w:kern w:val="0"/>
              </w:rPr>
            </w:pPr>
          </w:p>
        </w:tc>
        <w:tc>
          <w:tcPr>
            <w:tcW w:w="3960" w:type="dxa"/>
            <w:tcBorders>
              <w:top w:val="nil"/>
            </w:tcBorders>
            <w:shd w:val="clear" w:color="auto" w:fill="auto"/>
            <w:vAlign w:val="center"/>
          </w:tcPr>
          <w:p>
            <w:pPr>
              <w:widowControl/>
              <w:spacing w:line="240" w:lineRule="atLeast"/>
              <w:jc w:val="center"/>
              <w:rPr>
                <w:rFonts w:ascii="黑体" w:hAnsi="黑体" w:eastAsia="黑体" w:cs="黑体"/>
              </w:rPr>
            </w:pPr>
            <w:r>
              <w:rPr>
                <w:rFonts w:hint="eastAsia" w:ascii="黑体" w:hAnsi="黑体" w:eastAsia="黑体" w:cs="黑体"/>
              </w:rPr>
              <w:t>（保温装饰一体化）</w:t>
            </w:r>
          </w:p>
        </w:tc>
        <w:tc>
          <w:tcPr>
            <w:tcW w:w="2325" w:type="dxa"/>
            <w:tcBorders>
              <w:top w:val="nil"/>
            </w:tcBorders>
            <w:shd w:val="clear" w:color="auto" w:fill="auto"/>
            <w:vAlign w:val="center"/>
          </w:tcPr>
          <w:p>
            <w:pPr>
              <w:widowControl/>
              <w:spacing w:line="240" w:lineRule="atLeast"/>
              <w:jc w:val="center"/>
              <w:rPr>
                <w:rFonts w:ascii="黑体" w:hAnsi="黑体" w:eastAsia="黑体" w:cs="黑体"/>
              </w:rPr>
            </w:pPr>
            <w:r>
              <w:rPr>
                <w:rFonts w:hint="eastAsia" w:ascii="黑体" w:hAnsi="黑体" w:eastAsia="黑体" w:cs="黑体"/>
                <w:kern w:val="0"/>
                <w:szCs w:val="22"/>
                <w:lang w:eastAsia="en-US"/>
              </w:rPr>
              <w:t>（50%</w:t>
            </w:r>
            <w:r>
              <w:rPr>
                <w:rFonts w:hint="eastAsia" w:ascii="黑体" w:hAnsi="黑体" w:eastAsia="黑体" w:cs="黑体"/>
              </w:rPr>
              <w:t>≤比例≤</w:t>
            </w:r>
            <w:r>
              <w:rPr>
                <w:rFonts w:hint="eastAsia" w:ascii="黑体" w:hAnsi="黑体" w:eastAsia="黑体" w:cs="黑体"/>
                <w:kern w:val="0"/>
                <w:szCs w:val="22"/>
                <w:lang w:eastAsia="en-US"/>
              </w:rPr>
              <w:t>80%）</w:t>
            </w:r>
          </w:p>
        </w:tc>
        <w:tc>
          <w:tcPr>
            <w:tcW w:w="1560" w:type="dxa"/>
            <w:tcBorders>
              <w:top w:val="nil"/>
            </w:tcBorders>
            <w:shd w:val="clear" w:color="auto" w:fill="auto"/>
            <w:vAlign w:val="center"/>
          </w:tcPr>
          <w:p>
            <w:pPr>
              <w:widowControl/>
              <w:spacing w:line="240" w:lineRule="atLeast"/>
              <w:jc w:val="center"/>
              <w:rPr>
                <w:rFonts w:ascii="黑体" w:hAnsi="黑体" w:eastAsia="黑体" w:cs="黑体"/>
              </w:rPr>
            </w:pPr>
            <w:r>
              <w:rPr>
                <w:rFonts w:hint="eastAsia" w:ascii="黑体" w:hAnsi="黑体" w:eastAsia="黑体" w:cs="黑体"/>
                <w:kern w:val="0"/>
                <w:szCs w:val="22"/>
                <w:lang w:eastAsia="en-US"/>
              </w:rPr>
              <w:t>（1.4</w:t>
            </w:r>
            <w:r>
              <w:rPr>
                <w:rFonts w:hint="eastAsia" w:ascii="黑体" w:hAnsi="黑体" w:eastAsia="黑体" w:cs="黑体"/>
              </w:rPr>
              <w:t>～</w:t>
            </w:r>
            <w:r>
              <w:rPr>
                <w:rFonts w:hint="eastAsia" w:ascii="黑体" w:hAnsi="黑体" w:eastAsia="黑体" w:cs="黑体"/>
                <w:kern w:val="0"/>
                <w:szCs w:val="22"/>
                <w:lang w:eastAsia="en-US"/>
              </w:rPr>
              <w:t>3.5*）</w:t>
            </w:r>
          </w:p>
        </w:tc>
        <w:tc>
          <w:tcPr>
            <w:tcW w:w="108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065" w:type="dxa"/>
          </w:tcPr>
          <w:p>
            <w:pPr>
              <w:autoSpaceDE w:val="0"/>
              <w:autoSpaceDN w:val="0"/>
              <w:snapToGrid w:val="0"/>
              <w:spacing w:line="240" w:lineRule="atLeast"/>
              <w:jc w:val="center"/>
              <w:rPr>
                <w:rFonts w:ascii="黑体" w:hAnsi="黑体" w:eastAsia="黑体" w:cs="黑体"/>
                <w:kern w:val="0"/>
              </w:rPr>
            </w:pPr>
          </w:p>
        </w:tc>
        <w:tc>
          <w:tcPr>
            <w:tcW w:w="1380" w:type="dxa"/>
          </w:tcPr>
          <w:p>
            <w:pPr>
              <w:autoSpaceDE w:val="0"/>
              <w:autoSpaceDN w:val="0"/>
              <w:snapToGrid w:val="0"/>
              <w:spacing w:line="240" w:lineRule="atLeast"/>
              <w:jc w:val="center"/>
              <w:rPr>
                <w:rFonts w:ascii="黑体" w:hAnsi="黑体" w:eastAsia="黑体" w:cs="黑体"/>
                <w:kern w:val="0"/>
              </w:rPr>
            </w:pPr>
          </w:p>
        </w:tc>
        <w:tc>
          <w:tcPr>
            <w:tcW w:w="735" w:type="dxa"/>
          </w:tcPr>
          <w:p>
            <w:pPr>
              <w:autoSpaceDE w:val="0"/>
              <w:autoSpaceDN w:val="0"/>
              <w:snapToGrid w:val="0"/>
              <w:spacing w:line="240" w:lineRule="atLeast"/>
              <w:jc w:val="center"/>
              <w:rPr>
                <w:rFonts w:ascii="黑体" w:hAnsi="黑体" w:eastAsia="黑体" w:cs="黑体"/>
                <w:kern w:val="0"/>
              </w:rPr>
            </w:pPr>
          </w:p>
        </w:tc>
        <w:tc>
          <w:tcPr>
            <w:tcW w:w="1035" w:type="dxa"/>
          </w:tcPr>
          <w:p>
            <w:pPr>
              <w:autoSpaceDE w:val="0"/>
              <w:autoSpaceDN w:val="0"/>
              <w:snapToGrid w:val="0"/>
              <w:spacing w:line="240" w:lineRule="atLeast"/>
              <w:jc w:val="center"/>
              <w:rPr>
                <w:rFonts w:ascii="黑体" w:hAnsi="黑体" w:eastAsia="黑体" w:cs="黑体"/>
                <w:kern w:val="0"/>
              </w:rPr>
            </w:pPr>
          </w:p>
        </w:tc>
        <w:tc>
          <w:tcPr>
            <w:tcW w:w="781" w:type="dxa"/>
            <w:vMerge w:val="continue"/>
          </w:tcPr>
          <w:p>
            <w:pPr>
              <w:autoSpaceDE w:val="0"/>
              <w:autoSpaceDN w:val="0"/>
              <w:snapToGrid w:val="0"/>
              <w:spacing w:line="240" w:lineRule="atLeast"/>
              <w:jc w:val="center"/>
              <w:rPr>
                <w:rFonts w:ascii="黑体" w:hAnsi="黑体" w:eastAsia="黑体" w:cs="黑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069" w:type="dxa"/>
            <w:vMerge w:val="continue"/>
            <w:vAlign w:val="center"/>
          </w:tcPr>
          <w:p>
            <w:pPr>
              <w:widowControl/>
              <w:spacing w:line="240" w:lineRule="atLeast"/>
              <w:ind w:firstLine="420"/>
              <w:jc w:val="left"/>
              <w:rPr>
                <w:rFonts w:ascii="黑体" w:hAnsi="黑体" w:eastAsia="黑体" w:cs="黑体"/>
                <w:kern w:val="0"/>
              </w:rPr>
            </w:pPr>
          </w:p>
        </w:tc>
        <w:tc>
          <w:tcPr>
            <w:tcW w:w="3960" w:type="dxa"/>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rPr>
              <w:t>内隔墙非砌筑</w:t>
            </w:r>
          </w:p>
        </w:tc>
        <w:tc>
          <w:tcPr>
            <w:tcW w:w="2325" w:type="dxa"/>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rPr>
              <w:t>比例≥</w:t>
            </w:r>
            <w:r>
              <w:rPr>
                <w:rFonts w:hint="eastAsia" w:ascii="黑体" w:hAnsi="黑体" w:eastAsia="黑体" w:cs="黑体"/>
                <w:kern w:val="0"/>
                <w:szCs w:val="22"/>
                <w:lang w:eastAsia="en-US"/>
              </w:rPr>
              <w:t>50%</w:t>
            </w:r>
          </w:p>
        </w:tc>
        <w:tc>
          <w:tcPr>
            <w:tcW w:w="1560" w:type="dxa"/>
            <w:shd w:val="clear" w:color="auto" w:fill="auto"/>
            <w:vAlign w:val="center"/>
          </w:tcPr>
          <w:p>
            <w:pPr>
              <w:autoSpaceDE w:val="0"/>
              <w:autoSpaceDN w:val="0"/>
              <w:snapToGrid w:val="0"/>
              <w:spacing w:line="240" w:lineRule="atLeast"/>
              <w:jc w:val="center"/>
              <w:rPr>
                <w:rFonts w:ascii="黑体" w:hAnsi="黑体" w:eastAsia="黑体" w:cs="黑体"/>
                <w:kern w:val="0"/>
              </w:rPr>
            </w:pPr>
            <w:r>
              <w:rPr>
                <w:rFonts w:hint="eastAsia" w:ascii="黑体" w:hAnsi="黑体" w:eastAsia="黑体" w:cs="黑体"/>
                <w:kern w:val="0"/>
                <w:szCs w:val="22"/>
                <w:lang w:eastAsia="en-US"/>
              </w:rPr>
              <w:t>5</w:t>
            </w:r>
          </w:p>
        </w:tc>
        <w:tc>
          <w:tcPr>
            <w:tcW w:w="108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065" w:type="dxa"/>
          </w:tcPr>
          <w:p>
            <w:pPr>
              <w:autoSpaceDE w:val="0"/>
              <w:autoSpaceDN w:val="0"/>
              <w:snapToGrid w:val="0"/>
              <w:spacing w:line="240" w:lineRule="atLeast"/>
              <w:jc w:val="center"/>
              <w:rPr>
                <w:rFonts w:ascii="黑体" w:hAnsi="黑体" w:eastAsia="黑体" w:cs="黑体"/>
                <w:kern w:val="0"/>
              </w:rPr>
            </w:pPr>
          </w:p>
        </w:tc>
        <w:tc>
          <w:tcPr>
            <w:tcW w:w="1380" w:type="dxa"/>
          </w:tcPr>
          <w:p>
            <w:pPr>
              <w:autoSpaceDE w:val="0"/>
              <w:autoSpaceDN w:val="0"/>
              <w:snapToGrid w:val="0"/>
              <w:spacing w:line="240" w:lineRule="atLeast"/>
              <w:jc w:val="center"/>
              <w:rPr>
                <w:rFonts w:ascii="黑体" w:hAnsi="黑体" w:eastAsia="黑体" w:cs="黑体"/>
                <w:kern w:val="0"/>
              </w:rPr>
            </w:pPr>
          </w:p>
        </w:tc>
        <w:tc>
          <w:tcPr>
            <w:tcW w:w="735" w:type="dxa"/>
          </w:tcPr>
          <w:p>
            <w:pPr>
              <w:autoSpaceDE w:val="0"/>
              <w:autoSpaceDN w:val="0"/>
              <w:snapToGrid w:val="0"/>
              <w:spacing w:line="240" w:lineRule="atLeast"/>
              <w:jc w:val="center"/>
              <w:rPr>
                <w:rFonts w:ascii="黑体" w:hAnsi="黑体" w:eastAsia="黑体" w:cs="黑体"/>
                <w:kern w:val="0"/>
              </w:rPr>
            </w:pPr>
          </w:p>
        </w:tc>
        <w:tc>
          <w:tcPr>
            <w:tcW w:w="1035" w:type="dxa"/>
          </w:tcPr>
          <w:p>
            <w:pPr>
              <w:autoSpaceDE w:val="0"/>
              <w:autoSpaceDN w:val="0"/>
              <w:snapToGrid w:val="0"/>
              <w:spacing w:line="240" w:lineRule="atLeast"/>
              <w:jc w:val="center"/>
              <w:rPr>
                <w:rFonts w:ascii="黑体" w:hAnsi="黑体" w:eastAsia="黑体" w:cs="黑体"/>
                <w:kern w:val="0"/>
              </w:rPr>
            </w:pPr>
          </w:p>
        </w:tc>
        <w:tc>
          <w:tcPr>
            <w:tcW w:w="781" w:type="dxa"/>
            <w:vMerge w:val="continue"/>
          </w:tcPr>
          <w:p>
            <w:pPr>
              <w:autoSpaceDE w:val="0"/>
              <w:autoSpaceDN w:val="0"/>
              <w:snapToGrid w:val="0"/>
              <w:spacing w:line="240" w:lineRule="atLeast"/>
              <w:jc w:val="center"/>
              <w:rPr>
                <w:rFonts w:ascii="黑体" w:hAnsi="黑体" w:eastAsia="黑体" w:cs="黑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069" w:type="dxa"/>
            <w:vMerge w:val="continue"/>
            <w:vAlign w:val="center"/>
          </w:tcPr>
          <w:p>
            <w:pPr>
              <w:widowControl/>
              <w:spacing w:line="240" w:lineRule="atLeast"/>
              <w:ind w:firstLine="420"/>
              <w:jc w:val="left"/>
              <w:rPr>
                <w:rFonts w:ascii="黑体" w:hAnsi="黑体" w:eastAsia="黑体" w:cs="黑体"/>
                <w:kern w:val="0"/>
              </w:rPr>
            </w:pPr>
          </w:p>
        </w:tc>
        <w:tc>
          <w:tcPr>
            <w:tcW w:w="3960" w:type="dxa"/>
            <w:tcBorders>
              <w:bottom w:val="nil"/>
            </w:tcBorders>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rPr>
              <w:t>内隔墙与管线、装修一体化</w:t>
            </w:r>
          </w:p>
        </w:tc>
        <w:tc>
          <w:tcPr>
            <w:tcW w:w="2325" w:type="dxa"/>
            <w:tcBorders>
              <w:bottom w:val="nil"/>
            </w:tcBorders>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szCs w:val="22"/>
                <w:lang w:eastAsia="en-US"/>
              </w:rPr>
              <w:t>50%</w:t>
            </w:r>
            <w:r>
              <w:rPr>
                <w:rFonts w:hint="eastAsia" w:ascii="黑体" w:hAnsi="黑体" w:eastAsia="黑体" w:cs="黑体"/>
                <w:kern w:val="0"/>
              </w:rPr>
              <w:t>≤比例≤</w:t>
            </w:r>
            <w:r>
              <w:rPr>
                <w:rFonts w:hint="eastAsia" w:ascii="黑体" w:hAnsi="黑体" w:eastAsia="黑体" w:cs="黑体"/>
                <w:kern w:val="0"/>
                <w:szCs w:val="22"/>
                <w:lang w:eastAsia="en-US"/>
              </w:rPr>
              <w:t>80%</w:t>
            </w:r>
          </w:p>
        </w:tc>
        <w:tc>
          <w:tcPr>
            <w:tcW w:w="1560" w:type="dxa"/>
            <w:tcBorders>
              <w:bottom w:val="nil"/>
            </w:tcBorders>
            <w:shd w:val="clear" w:color="auto" w:fill="auto"/>
            <w:vAlign w:val="center"/>
          </w:tcPr>
          <w:p>
            <w:pPr>
              <w:autoSpaceDE w:val="0"/>
              <w:autoSpaceDN w:val="0"/>
              <w:snapToGrid w:val="0"/>
              <w:spacing w:line="240" w:lineRule="atLeast"/>
              <w:jc w:val="center"/>
              <w:rPr>
                <w:rFonts w:ascii="黑体" w:hAnsi="黑体" w:eastAsia="黑体" w:cs="黑体"/>
                <w:kern w:val="0"/>
              </w:rPr>
            </w:pPr>
            <w:r>
              <w:rPr>
                <w:rFonts w:hint="eastAsia" w:ascii="黑体" w:hAnsi="黑体" w:eastAsia="黑体" w:cs="黑体"/>
                <w:kern w:val="0"/>
                <w:szCs w:val="22"/>
                <w:lang w:eastAsia="en-US"/>
              </w:rPr>
              <w:t>2</w:t>
            </w:r>
            <w:r>
              <w:rPr>
                <w:rFonts w:hint="eastAsia" w:ascii="黑体" w:hAnsi="黑体" w:eastAsia="黑体" w:cs="黑体"/>
                <w:kern w:val="0"/>
              </w:rPr>
              <w:t>～</w:t>
            </w:r>
            <w:r>
              <w:rPr>
                <w:rFonts w:hint="eastAsia" w:ascii="黑体" w:hAnsi="黑体" w:eastAsia="黑体" w:cs="黑体"/>
                <w:kern w:val="0"/>
                <w:szCs w:val="22"/>
              </w:rPr>
              <w:t>5</w:t>
            </w:r>
            <w:r>
              <w:rPr>
                <w:rFonts w:hint="eastAsia" w:ascii="黑体" w:hAnsi="黑体" w:eastAsia="黑体" w:cs="黑体"/>
                <w:kern w:val="0"/>
                <w:szCs w:val="22"/>
                <w:lang w:eastAsia="en-US"/>
              </w:rPr>
              <w:t>*</w:t>
            </w:r>
          </w:p>
        </w:tc>
        <w:tc>
          <w:tcPr>
            <w:tcW w:w="108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065" w:type="dxa"/>
          </w:tcPr>
          <w:p>
            <w:pPr>
              <w:autoSpaceDE w:val="0"/>
              <w:autoSpaceDN w:val="0"/>
              <w:snapToGrid w:val="0"/>
              <w:spacing w:line="240" w:lineRule="atLeast"/>
              <w:jc w:val="center"/>
              <w:rPr>
                <w:rFonts w:ascii="黑体" w:hAnsi="黑体" w:eastAsia="黑体" w:cs="黑体"/>
                <w:kern w:val="0"/>
              </w:rPr>
            </w:pPr>
          </w:p>
        </w:tc>
        <w:tc>
          <w:tcPr>
            <w:tcW w:w="1380" w:type="dxa"/>
          </w:tcPr>
          <w:p>
            <w:pPr>
              <w:autoSpaceDE w:val="0"/>
              <w:autoSpaceDN w:val="0"/>
              <w:snapToGrid w:val="0"/>
              <w:spacing w:line="240" w:lineRule="atLeast"/>
              <w:jc w:val="center"/>
              <w:rPr>
                <w:rFonts w:ascii="黑体" w:hAnsi="黑体" w:eastAsia="黑体" w:cs="黑体"/>
                <w:kern w:val="0"/>
              </w:rPr>
            </w:pPr>
          </w:p>
        </w:tc>
        <w:tc>
          <w:tcPr>
            <w:tcW w:w="735" w:type="dxa"/>
          </w:tcPr>
          <w:p>
            <w:pPr>
              <w:autoSpaceDE w:val="0"/>
              <w:autoSpaceDN w:val="0"/>
              <w:snapToGrid w:val="0"/>
              <w:spacing w:line="240" w:lineRule="atLeast"/>
              <w:jc w:val="center"/>
              <w:rPr>
                <w:rFonts w:ascii="黑体" w:hAnsi="黑体" w:eastAsia="黑体" w:cs="黑体"/>
                <w:kern w:val="0"/>
              </w:rPr>
            </w:pPr>
          </w:p>
        </w:tc>
        <w:tc>
          <w:tcPr>
            <w:tcW w:w="1035" w:type="dxa"/>
          </w:tcPr>
          <w:p>
            <w:pPr>
              <w:autoSpaceDE w:val="0"/>
              <w:autoSpaceDN w:val="0"/>
              <w:snapToGrid w:val="0"/>
              <w:spacing w:line="240" w:lineRule="atLeast"/>
              <w:jc w:val="center"/>
              <w:rPr>
                <w:rFonts w:ascii="黑体" w:hAnsi="黑体" w:eastAsia="黑体" w:cs="黑体"/>
                <w:kern w:val="0"/>
              </w:rPr>
            </w:pPr>
          </w:p>
        </w:tc>
        <w:tc>
          <w:tcPr>
            <w:tcW w:w="781" w:type="dxa"/>
            <w:vMerge w:val="continue"/>
          </w:tcPr>
          <w:p>
            <w:pPr>
              <w:autoSpaceDE w:val="0"/>
              <w:autoSpaceDN w:val="0"/>
              <w:snapToGrid w:val="0"/>
              <w:spacing w:line="240" w:lineRule="atLeast"/>
              <w:jc w:val="center"/>
              <w:rPr>
                <w:rFonts w:ascii="黑体" w:hAnsi="黑体" w:eastAsia="黑体" w:cs="黑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069" w:type="dxa"/>
            <w:vMerge w:val="continue"/>
            <w:vAlign w:val="center"/>
          </w:tcPr>
          <w:p>
            <w:pPr>
              <w:widowControl/>
              <w:spacing w:line="240" w:lineRule="atLeast"/>
              <w:ind w:firstLine="420"/>
              <w:jc w:val="left"/>
              <w:rPr>
                <w:rFonts w:ascii="黑体" w:hAnsi="黑体" w:eastAsia="黑体" w:cs="黑体"/>
                <w:kern w:val="0"/>
              </w:rPr>
            </w:pPr>
          </w:p>
        </w:tc>
        <w:tc>
          <w:tcPr>
            <w:tcW w:w="3960" w:type="dxa"/>
            <w:tcBorders>
              <w:top w:val="nil"/>
            </w:tcBorders>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rPr>
              <w:t>（内隔墙与管线一体化）</w:t>
            </w:r>
          </w:p>
        </w:tc>
        <w:tc>
          <w:tcPr>
            <w:tcW w:w="2325" w:type="dxa"/>
            <w:tcBorders>
              <w:top w:val="nil"/>
            </w:tcBorders>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szCs w:val="22"/>
                <w:lang w:eastAsia="en-US"/>
              </w:rPr>
              <w:t>（50%</w:t>
            </w:r>
            <w:r>
              <w:rPr>
                <w:rFonts w:hint="eastAsia" w:ascii="黑体" w:hAnsi="黑体" w:eastAsia="黑体" w:cs="黑体"/>
                <w:kern w:val="0"/>
              </w:rPr>
              <w:t>≤比例≤</w:t>
            </w:r>
            <w:r>
              <w:rPr>
                <w:rFonts w:hint="eastAsia" w:ascii="黑体" w:hAnsi="黑体" w:eastAsia="黑体" w:cs="黑体"/>
                <w:kern w:val="0"/>
                <w:szCs w:val="22"/>
                <w:lang w:eastAsia="en-US"/>
              </w:rPr>
              <w:t>80%）</w:t>
            </w:r>
          </w:p>
        </w:tc>
        <w:tc>
          <w:tcPr>
            <w:tcW w:w="1560" w:type="dxa"/>
            <w:tcBorders>
              <w:top w:val="nil"/>
            </w:tcBorders>
            <w:shd w:val="clear" w:color="auto" w:fill="auto"/>
            <w:vAlign w:val="center"/>
          </w:tcPr>
          <w:p>
            <w:pPr>
              <w:widowControl/>
              <w:spacing w:line="240" w:lineRule="atLeast"/>
              <w:jc w:val="center"/>
              <w:rPr>
                <w:rFonts w:ascii="黑体" w:hAnsi="黑体" w:eastAsia="黑体" w:cs="黑体"/>
                <w:kern w:val="0"/>
                <w:szCs w:val="22"/>
                <w:lang w:eastAsia="en-US"/>
              </w:rPr>
            </w:pPr>
            <w:r>
              <w:rPr>
                <w:rFonts w:hint="eastAsia" w:ascii="黑体" w:hAnsi="黑体" w:eastAsia="黑体" w:cs="黑体"/>
                <w:kern w:val="0"/>
                <w:szCs w:val="22"/>
                <w:lang w:eastAsia="en-US"/>
              </w:rPr>
              <w:t>（1.4</w:t>
            </w:r>
            <w:r>
              <w:rPr>
                <w:rFonts w:hint="eastAsia" w:ascii="黑体" w:hAnsi="黑体" w:eastAsia="黑体" w:cs="黑体"/>
                <w:kern w:val="0"/>
                <w:szCs w:val="22"/>
              </w:rPr>
              <w:t xml:space="preserve"> ~ </w:t>
            </w:r>
            <w:r>
              <w:rPr>
                <w:rFonts w:hint="eastAsia" w:ascii="黑体" w:hAnsi="黑体" w:eastAsia="黑体" w:cs="黑体"/>
                <w:kern w:val="0"/>
                <w:szCs w:val="22"/>
                <w:lang w:eastAsia="en-US"/>
              </w:rPr>
              <w:t>3.5*）</w:t>
            </w:r>
          </w:p>
        </w:tc>
        <w:tc>
          <w:tcPr>
            <w:tcW w:w="108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065" w:type="dxa"/>
          </w:tcPr>
          <w:p>
            <w:pPr>
              <w:autoSpaceDE w:val="0"/>
              <w:autoSpaceDN w:val="0"/>
              <w:snapToGrid w:val="0"/>
              <w:spacing w:line="240" w:lineRule="atLeast"/>
              <w:jc w:val="center"/>
              <w:rPr>
                <w:rFonts w:ascii="黑体" w:hAnsi="黑体" w:eastAsia="黑体" w:cs="黑体"/>
                <w:kern w:val="0"/>
              </w:rPr>
            </w:pPr>
          </w:p>
        </w:tc>
        <w:tc>
          <w:tcPr>
            <w:tcW w:w="1380" w:type="dxa"/>
          </w:tcPr>
          <w:p>
            <w:pPr>
              <w:autoSpaceDE w:val="0"/>
              <w:autoSpaceDN w:val="0"/>
              <w:snapToGrid w:val="0"/>
              <w:spacing w:line="240" w:lineRule="atLeast"/>
              <w:jc w:val="center"/>
              <w:rPr>
                <w:rFonts w:ascii="黑体" w:hAnsi="黑体" w:eastAsia="黑体" w:cs="黑体"/>
                <w:kern w:val="0"/>
              </w:rPr>
            </w:pPr>
          </w:p>
        </w:tc>
        <w:tc>
          <w:tcPr>
            <w:tcW w:w="735" w:type="dxa"/>
          </w:tcPr>
          <w:p>
            <w:pPr>
              <w:autoSpaceDE w:val="0"/>
              <w:autoSpaceDN w:val="0"/>
              <w:snapToGrid w:val="0"/>
              <w:spacing w:line="240" w:lineRule="atLeast"/>
              <w:jc w:val="center"/>
              <w:rPr>
                <w:rFonts w:ascii="黑体" w:hAnsi="黑体" w:eastAsia="黑体" w:cs="黑体"/>
                <w:kern w:val="0"/>
              </w:rPr>
            </w:pPr>
          </w:p>
        </w:tc>
        <w:tc>
          <w:tcPr>
            <w:tcW w:w="1035" w:type="dxa"/>
          </w:tcPr>
          <w:p>
            <w:pPr>
              <w:autoSpaceDE w:val="0"/>
              <w:autoSpaceDN w:val="0"/>
              <w:snapToGrid w:val="0"/>
              <w:spacing w:line="240" w:lineRule="atLeast"/>
              <w:jc w:val="center"/>
              <w:rPr>
                <w:rFonts w:ascii="黑体" w:hAnsi="黑体" w:eastAsia="黑体" w:cs="黑体"/>
                <w:kern w:val="0"/>
              </w:rPr>
            </w:pPr>
          </w:p>
        </w:tc>
        <w:tc>
          <w:tcPr>
            <w:tcW w:w="781" w:type="dxa"/>
            <w:vMerge w:val="continue"/>
          </w:tcPr>
          <w:p>
            <w:pPr>
              <w:autoSpaceDE w:val="0"/>
              <w:autoSpaceDN w:val="0"/>
              <w:snapToGrid w:val="0"/>
              <w:spacing w:line="240" w:lineRule="atLeast"/>
              <w:jc w:val="center"/>
              <w:rPr>
                <w:rFonts w:ascii="黑体" w:hAnsi="黑体" w:eastAsia="黑体" w:cs="黑体"/>
                <w:kern w:val="0"/>
              </w:rPr>
            </w:pPr>
          </w:p>
        </w:tc>
      </w:tr>
    </w:tbl>
    <w:p>
      <w:pPr>
        <w:widowControl/>
        <w:spacing w:line="240" w:lineRule="atLeast"/>
        <w:jc w:val="center"/>
        <w:rPr>
          <w:rFonts w:ascii="黑体" w:hAnsi="黑体" w:eastAsia="黑体" w:cs="黑体"/>
          <w:kern w:val="0"/>
        </w:rPr>
        <w:sectPr>
          <w:footerReference r:id="rId15" w:type="default"/>
          <w:pgSz w:w="16838" w:h="11906" w:orient="landscape"/>
          <w:pgMar w:top="1800" w:right="1440" w:bottom="1800" w:left="1440" w:header="851" w:footer="992" w:gutter="0"/>
          <w:cols w:space="425" w:num="1"/>
          <w:docGrid w:type="lines" w:linePitch="312" w:charSpace="0"/>
        </w:sectPr>
      </w:pPr>
    </w:p>
    <w:tbl>
      <w:tblPr>
        <w:tblStyle w:val="29"/>
        <w:tblW w:w="149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9"/>
        <w:gridCol w:w="3960"/>
        <w:gridCol w:w="2325"/>
        <w:gridCol w:w="1560"/>
        <w:gridCol w:w="1080"/>
        <w:gridCol w:w="1065"/>
        <w:gridCol w:w="1380"/>
        <w:gridCol w:w="735"/>
        <w:gridCol w:w="1035"/>
        <w:gridCol w:w="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069" w:type="dxa"/>
            <w:vMerge w:val="restart"/>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rPr>
              <w:t>装修和设备管线（</w:t>
            </w:r>
            <w:r>
              <w:rPr>
                <w:rFonts w:hint="eastAsia" w:ascii="黑体" w:hAnsi="黑体" w:eastAsia="黑体" w:cs="黑体"/>
                <w:kern w:val="0"/>
                <w:szCs w:val="22"/>
              </w:rPr>
              <w:t>24</w:t>
            </w:r>
            <w:r>
              <w:rPr>
                <w:rFonts w:hint="eastAsia" w:ascii="黑体" w:hAnsi="黑体" w:eastAsia="黑体" w:cs="黑体"/>
                <w:kern w:val="0"/>
              </w:rPr>
              <w:t>分）</w:t>
            </w:r>
          </w:p>
        </w:tc>
        <w:tc>
          <w:tcPr>
            <w:tcW w:w="3960" w:type="dxa"/>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rPr>
              <w:t>全装修</w:t>
            </w:r>
          </w:p>
        </w:tc>
        <w:tc>
          <w:tcPr>
            <w:tcW w:w="2325" w:type="dxa"/>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szCs w:val="22"/>
                <w:lang w:eastAsia="en-US"/>
              </w:rPr>
              <w:t>-</w:t>
            </w:r>
          </w:p>
        </w:tc>
        <w:tc>
          <w:tcPr>
            <w:tcW w:w="1560" w:type="dxa"/>
            <w:shd w:val="clear" w:color="auto" w:fill="auto"/>
            <w:vAlign w:val="center"/>
          </w:tcPr>
          <w:p>
            <w:pPr>
              <w:autoSpaceDE w:val="0"/>
              <w:autoSpaceDN w:val="0"/>
              <w:snapToGrid w:val="0"/>
              <w:spacing w:line="240" w:lineRule="atLeast"/>
              <w:jc w:val="center"/>
              <w:rPr>
                <w:rFonts w:ascii="黑体" w:hAnsi="黑体" w:eastAsia="黑体" w:cs="黑体"/>
                <w:kern w:val="0"/>
              </w:rPr>
            </w:pPr>
            <w:r>
              <w:rPr>
                <w:rFonts w:hint="eastAsia" w:ascii="黑体" w:hAnsi="黑体" w:eastAsia="黑体" w:cs="黑体"/>
                <w:kern w:val="0"/>
                <w:szCs w:val="22"/>
                <w:lang w:eastAsia="en-US"/>
              </w:rPr>
              <w:t>6</w:t>
            </w:r>
          </w:p>
        </w:tc>
        <w:tc>
          <w:tcPr>
            <w:tcW w:w="1080" w:type="dxa"/>
            <w:shd w:val="clear" w:color="auto" w:fill="auto"/>
            <w:vAlign w:val="center"/>
          </w:tcPr>
          <w:p>
            <w:pPr>
              <w:autoSpaceDE w:val="0"/>
              <w:autoSpaceDN w:val="0"/>
              <w:snapToGrid w:val="0"/>
              <w:spacing w:line="240" w:lineRule="atLeast"/>
              <w:jc w:val="center"/>
              <w:rPr>
                <w:rFonts w:ascii="黑体" w:hAnsi="黑体" w:eastAsia="黑体" w:cs="黑体"/>
                <w:kern w:val="0"/>
              </w:rPr>
            </w:pPr>
            <w:r>
              <w:rPr>
                <w:rFonts w:hint="eastAsia" w:ascii="黑体" w:hAnsi="黑体" w:eastAsia="黑体" w:cs="黑体"/>
                <w:kern w:val="0"/>
                <w:szCs w:val="22"/>
                <w:lang w:eastAsia="en-US"/>
              </w:rPr>
              <w:t>6</w:t>
            </w:r>
          </w:p>
        </w:tc>
        <w:tc>
          <w:tcPr>
            <w:tcW w:w="1065" w:type="dxa"/>
          </w:tcPr>
          <w:p>
            <w:pPr>
              <w:autoSpaceDE w:val="0"/>
              <w:autoSpaceDN w:val="0"/>
              <w:snapToGrid w:val="0"/>
              <w:spacing w:line="240" w:lineRule="atLeast"/>
              <w:jc w:val="center"/>
              <w:rPr>
                <w:rFonts w:ascii="黑体" w:hAnsi="黑体" w:eastAsia="黑体" w:cs="黑体"/>
                <w:kern w:val="0"/>
                <w:szCs w:val="22"/>
                <w:lang w:eastAsia="en-US"/>
              </w:rPr>
            </w:pPr>
          </w:p>
        </w:tc>
        <w:tc>
          <w:tcPr>
            <w:tcW w:w="1380" w:type="dxa"/>
          </w:tcPr>
          <w:p>
            <w:pPr>
              <w:autoSpaceDE w:val="0"/>
              <w:autoSpaceDN w:val="0"/>
              <w:snapToGrid w:val="0"/>
              <w:spacing w:line="240" w:lineRule="atLeast"/>
              <w:jc w:val="center"/>
              <w:rPr>
                <w:rFonts w:ascii="黑体" w:hAnsi="黑体" w:eastAsia="黑体" w:cs="黑体"/>
                <w:kern w:val="0"/>
                <w:szCs w:val="22"/>
                <w:lang w:eastAsia="en-US"/>
              </w:rPr>
            </w:pPr>
          </w:p>
        </w:tc>
        <w:tc>
          <w:tcPr>
            <w:tcW w:w="735" w:type="dxa"/>
          </w:tcPr>
          <w:p>
            <w:pPr>
              <w:autoSpaceDE w:val="0"/>
              <w:autoSpaceDN w:val="0"/>
              <w:snapToGrid w:val="0"/>
              <w:spacing w:line="240" w:lineRule="atLeast"/>
              <w:jc w:val="center"/>
              <w:rPr>
                <w:rFonts w:ascii="黑体" w:hAnsi="黑体" w:eastAsia="黑体" w:cs="黑体"/>
                <w:kern w:val="0"/>
                <w:szCs w:val="22"/>
                <w:lang w:eastAsia="en-US"/>
              </w:rPr>
            </w:pPr>
          </w:p>
        </w:tc>
        <w:tc>
          <w:tcPr>
            <w:tcW w:w="1035" w:type="dxa"/>
          </w:tcPr>
          <w:p>
            <w:pPr>
              <w:autoSpaceDE w:val="0"/>
              <w:autoSpaceDN w:val="0"/>
              <w:snapToGrid w:val="0"/>
              <w:spacing w:line="240" w:lineRule="atLeast"/>
              <w:jc w:val="center"/>
              <w:rPr>
                <w:rFonts w:ascii="黑体" w:hAnsi="黑体" w:eastAsia="黑体" w:cs="黑体"/>
                <w:kern w:val="0"/>
                <w:szCs w:val="22"/>
                <w:lang w:eastAsia="en-US"/>
              </w:rPr>
            </w:pPr>
          </w:p>
        </w:tc>
        <w:tc>
          <w:tcPr>
            <w:tcW w:w="781" w:type="dxa"/>
          </w:tcPr>
          <w:p>
            <w:pPr>
              <w:autoSpaceDE w:val="0"/>
              <w:autoSpaceDN w:val="0"/>
              <w:snapToGrid w:val="0"/>
              <w:spacing w:line="240" w:lineRule="atLeast"/>
              <w:jc w:val="center"/>
              <w:rPr>
                <w:rFonts w:ascii="黑体" w:hAnsi="黑体" w:eastAsia="黑体" w:cs="黑体"/>
                <w:kern w:val="0"/>
                <w:szCs w:val="22"/>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069" w:type="dxa"/>
            <w:vMerge w:val="continue"/>
            <w:vAlign w:val="center"/>
          </w:tcPr>
          <w:p>
            <w:pPr>
              <w:widowControl/>
              <w:spacing w:line="240" w:lineRule="atLeast"/>
              <w:ind w:firstLine="420"/>
              <w:jc w:val="left"/>
              <w:rPr>
                <w:rFonts w:ascii="黑体" w:hAnsi="黑体" w:eastAsia="黑体" w:cs="黑体"/>
                <w:kern w:val="0"/>
              </w:rPr>
            </w:pPr>
          </w:p>
        </w:tc>
        <w:tc>
          <w:tcPr>
            <w:tcW w:w="3960" w:type="dxa"/>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rPr>
              <w:t>干式工法楼面、地面</w:t>
            </w:r>
          </w:p>
        </w:tc>
        <w:tc>
          <w:tcPr>
            <w:tcW w:w="2325" w:type="dxa"/>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rPr>
              <w:t>比例≥</w:t>
            </w:r>
            <w:r>
              <w:rPr>
                <w:rFonts w:hint="eastAsia" w:ascii="黑体" w:hAnsi="黑体" w:eastAsia="黑体" w:cs="黑体"/>
                <w:kern w:val="0"/>
                <w:szCs w:val="22"/>
                <w:lang w:eastAsia="en-US"/>
              </w:rPr>
              <w:t>70%</w:t>
            </w:r>
          </w:p>
        </w:tc>
        <w:tc>
          <w:tcPr>
            <w:tcW w:w="1560" w:type="dxa"/>
            <w:shd w:val="clear" w:color="auto" w:fill="auto"/>
            <w:vAlign w:val="center"/>
          </w:tcPr>
          <w:p>
            <w:pPr>
              <w:widowControl/>
              <w:spacing w:line="240" w:lineRule="atLeast"/>
              <w:jc w:val="center"/>
              <w:rPr>
                <w:rFonts w:ascii="黑体" w:hAnsi="黑体" w:eastAsia="黑体" w:cs="黑体"/>
              </w:rPr>
            </w:pPr>
            <w:r>
              <w:rPr>
                <w:rFonts w:hint="eastAsia" w:ascii="黑体" w:hAnsi="黑体" w:eastAsia="黑体" w:cs="黑体"/>
                <w:kern w:val="0"/>
                <w:szCs w:val="22"/>
              </w:rPr>
              <w:t>5</w:t>
            </w:r>
          </w:p>
        </w:tc>
        <w:tc>
          <w:tcPr>
            <w:tcW w:w="1080" w:type="dxa"/>
            <w:vMerge w:val="restart"/>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rPr>
              <w:t>-</w:t>
            </w:r>
          </w:p>
        </w:tc>
        <w:tc>
          <w:tcPr>
            <w:tcW w:w="1065" w:type="dxa"/>
          </w:tcPr>
          <w:p>
            <w:pPr>
              <w:widowControl/>
              <w:spacing w:line="240" w:lineRule="atLeast"/>
              <w:jc w:val="center"/>
              <w:rPr>
                <w:rFonts w:ascii="黑体" w:hAnsi="黑体" w:eastAsia="黑体" w:cs="黑体"/>
                <w:kern w:val="0"/>
              </w:rPr>
            </w:pPr>
          </w:p>
        </w:tc>
        <w:tc>
          <w:tcPr>
            <w:tcW w:w="1380" w:type="dxa"/>
          </w:tcPr>
          <w:p>
            <w:pPr>
              <w:widowControl/>
              <w:spacing w:line="240" w:lineRule="atLeast"/>
              <w:jc w:val="center"/>
              <w:rPr>
                <w:rFonts w:ascii="黑体" w:hAnsi="黑体" w:eastAsia="黑体" w:cs="黑体"/>
                <w:kern w:val="0"/>
              </w:rPr>
            </w:pPr>
          </w:p>
        </w:tc>
        <w:tc>
          <w:tcPr>
            <w:tcW w:w="735" w:type="dxa"/>
          </w:tcPr>
          <w:p>
            <w:pPr>
              <w:widowControl/>
              <w:spacing w:line="240" w:lineRule="atLeast"/>
              <w:jc w:val="center"/>
              <w:rPr>
                <w:rFonts w:ascii="黑体" w:hAnsi="黑体" w:eastAsia="黑体" w:cs="黑体"/>
                <w:kern w:val="0"/>
              </w:rPr>
            </w:pPr>
          </w:p>
        </w:tc>
        <w:tc>
          <w:tcPr>
            <w:tcW w:w="1035" w:type="dxa"/>
          </w:tcPr>
          <w:p>
            <w:pPr>
              <w:widowControl/>
              <w:spacing w:line="240" w:lineRule="atLeast"/>
              <w:jc w:val="center"/>
              <w:rPr>
                <w:rFonts w:ascii="黑体" w:hAnsi="黑体" w:eastAsia="黑体" w:cs="黑体"/>
                <w:kern w:val="0"/>
              </w:rPr>
            </w:pPr>
          </w:p>
        </w:tc>
        <w:tc>
          <w:tcPr>
            <w:tcW w:w="781" w:type="dxa"/>
            <w:vMerge w:val="restart"/>
          </w:tcPr>
          <w:p>
            <w:pPr>
              <w:widowControl/>
              <w:spacing w:line="240" w:lineRule="atLeast"/>
              <w:jc w:val="center"/>
              <w:rPr>
                <w:rFonts w:ascii="黑体" w:hAnsi="黑体" w:eastAsia="黑体" w:cs="黑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069" w:type="dxa"/>
            <w:vMerge w:val="continue"/>
            <w:vAlign w:val="center"/>
          </w:tcPr>
          <w:p>
            <w:pPr>
              <w:widowControl/>
              <w:spacing w:line="240" w:lineRule="atLeast"/>
              <w:ind w:firstLine="420"/>
              <w:jc w:val="left"/>
              <w:rPr>
                <w:rFonts w:ascii="黑体" w:hAnsi="黑体" w:eastAsia="黑体" w:cs="黑体"/>
                <w:kern w:val="0"/>
              </w:rPr>
            </w:pPr>
          </w:p>
        </w:tc>
        <w:tc>
          <w:tcPr>
            <w:tcW w:w="3960" w:type="dxa"/>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rPr>
              <w:t>集成厨房</w:t>
            </w:r>
          </w:p>
        </w:tc>
        <w:tc>
          <w:tcPr>
            <w:tcW w:w="2325" w:type="dxa"/>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szCs w:val="22"/>
                <w:lang w:eastAsia="en-US"/>
              </w:rPr>
              <w:t>70%</w:t>
            </w:r>
            <w:r>
              <w:rPr>
                <w:rFonts w:hint="eastAsia" w:ascii="黑体" w:hAnsi="黑体" w:eastAsia="黑体" w:cs="黑体"/>
              </w:rPr>
              <w:t>≤比例≤</w:t>
            </w:r>
            <w:r>
              <w:rPr>
                <w:rFonts w:hint="eastAsia" w:ascii="黑体" w:hAnsi="黑体" w:eastAsia="黑体" w:cs="黑体"/>
                <w:kern w:val="0"/>
                <w:szCs w:val="22"/>
                <w:lang w:eastAsia="en-US"/>
              </w:rPr>
              <w:t>90%</w:t>
            </w:r>
          </w:p>
        </w:tc>
        <w:tc>
          <w:tcPr>
            <w:tcW w:w="1560" w:type="dxa"/>
            <w:shd w:val="clear" w:color="auto" w:fill="auto"/>
            <w:vAlign w:val="center"/>
          </w:tcPr>
          <w:p>
            <w:pPr>
              <w:widowControl/>
              <w:spacing w:line="240" w:lineRule="atLeast"/>
              <w:jc w:val="center"/>
              <w:rPr>
                <w:rFonts w:ascii="黑体" w:hAnsi="黑体" w:eastAsia="黑体" w:cs="黑体"/>
              </w:rPr>
            </w:pPr>
            <w:r>
              <w:rPr>
                <w:rFonts w:hint="eastAsia" w:ascii="黑体" w:hAnsi="黑体" w:eastAsia="黑体" w:cs="黑体"/>
                <w:kern w:val="0"/>
                <w:szCs w:val="22"/>
                <w:lang w:eastAsia="en-US"/>
              </w:rPr>
              <w:t>3~4*</w:t>
            </w:r>
          </w:p>
        </w:tc>
        <w:tc>
          <w:tcPr>
            <w:tcW w:w="1080" w:type="dxa"/>
            <w:vMerge w:val="continue"/>
            <w:shd w:val="clear" w:color="auto" w:fill="auto"/>
            <w:vAlign w:val="center"/>
          </w:tcPr>
          <w:p>
            <w:pPr>
              <w:widowControl/>
              <w:spacing w:line="240" w:lineRule="atLeast"/>
              <w:ind w:firstLine="420"/>
              <w:jc w:val="center"/>
              <w:rPr>
                <w:rFonts w:ascii="黑体" w:hAnsi="黑体" w:eastAsia="黑体" w:cs="黑体"/>
                <w:kern w:val="0"/>
              </w:rPr>
            </w:pPr>
          </w:p>
        </w:tc>
        <w:tc>
          <w:tcPr>
            <w:tcW w:w="1065" w:type="dxa"/>
          </w:tcPr>
          <w:p>
            <w:pPr>
              <w:widowControl/>
              <w:spacing w:line="240" w:lineRule="atLeast"/>
              <w:ind w:firstLine="420"/>
              <w:jc w:val="center"/>
              <w:rPr>
                <w:rFonts w:ascii="黑体" w:hAnsi="黑体" w:eastAsia="黑体" w:cs="黑体"/>
                <w:kern w:val="0"/>
              </w:rPr>
            </w:pPr>
          </w:p>
        </w:tc>
        <w:tc>
          <w:tcPr>
            <w:tcW w:w="1380" w:type="dxa"/>
          </w:tcPr>
          <w:p>
            <w:pPr>
              <w:widowControl/>
              <w:spacing w:line="240" w:lineRule="atLeast"/>
              <w:ind w:firstLine="420"/>
              <w:jc w:val="center"/>
              <w:rPr>
                <w:rFonts w:ascii="黑体" w:hAnsi="黑体" w:eastAsia="黑体" w:cs="黑体"/>
                <w:kern w:val="0"/>
              </w:rPr>
            </w:pPr>
          </w:p>
        </w:tc>
        <w:tc>
          <w:tcPr>
            <w:tcW w:w="735" w:type="dxa"/>
          </w:tcPr>
          <w:p>
            <w:pPr>
              <w:widowControl/>
              <w:spacing w:line="240" w:lineRule="atLeast"/>
              <w:ind w:firstLine="420"/>
              <w:jc w:val="center"/>
              <w:rPr>
                <w:rFonts w:ascii="黑体" w:hAnsi="黑体" w:eastAsia="黑体" w:cs="黑体"/>
                <w:kern w:val="0"/>
              </w:rPr>
            </w:pPr>
          </w:p>
        </w:tc>
        <w:tc>
          <w:tcPr>
            <w:tcW w:w="1035" w:type="dxa"/>
          </w:tcPr>
          <w:p>
            <w:pPr>
              <w:widowControl/>
              <w:spacing w:line="240" w:lineRule="atLeast"/>
              <w:ind w:firstLine="420"/>
              <w:jc w:val="center"/>
              <w:rPr>
                <w:rFonts w:ascii="黑体" w:hAnsi="黑体" w:eastAsia="黑体" w:cs="黑体"/>
                <w:kern w:val="0"/>
              </w:rPr>
            </w:pPr>
          </w:p>
        </w:tc>
        <w:tc>
          <w:tcPr>
            <w:tcW w:w="781" w:type="dxa"/>
            <w:vMerge w:val="continue"/>
          </w:tcPr>
          <w:p>
            <w:pPr>
              <w:widowControl/>
              <w:spacing w:line="240" w:lineRule="atLeast"/>
              <w:ind w:firstLine="420"/>
              <w:jc w:val="center"/>
              <w:rPr>
                <w:rFonts w:ascii="黑体" w:hAnsi="黑体" w:eastAsia="黑体" w:cs="黑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069" w:type="dxa"/>
            <w:vMerge w:val="continue"/>
            <w:vAlign w:val="center"/>
          </w:tcPr>
          <w:p>
            <w:pPr>
              <w:widowControl/>
              <w:spacing w:line="240" w:lineRule="atLeast"/>
              <w:ind w:firstLine="420"/>
              <w:jc w:val="left"/>
              <w:rPr>
                <w:rFonts w:ascii="黑体" w:hAnsi="黑体" w:eastAsia="黑体" w:cs="黑体"/>
                <w:kern w:val="0"/>
              </w:rPr>
            </w:pPr>
          </w:p>
        </w:tc>
        <w:tc>
          <w:tcPr>
            <w:tcW w:w="3960" w:type="dxa"/>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rPr>
              <w:t>集成卫生间</w:t>
            </w:r>
          </w:p>
        </w:tc>
        <w:tc>
          <w:tcPr>
            <w:tcW w:w="2325" w:type="dxa"/>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szCs w:val="22"/>
                <w:lang w:eastAsia="en-US"/>
              </w:rPr>
              <w:t>70%</w:t>
            </w:r>
            <w:r>
              <w:rPr>
                <w:rFonts w:hint="eastAsia" w:ascii="黑体" w:hAnsi="黑体" w:eastAsia="黑体" w:cs="黑体"/>
              </w:rPr>
              <w:t>≤比例≤</w:t>
            </w:r>
            <w:r>
              <w:rPr>
                <w:rFonts w:hint="eastAsia" w:ascii="黑体" w:hAnsi="黑体" w:eastAsia="黑体" w:cs="黑体"/>
                <w:kern w:val="0"/>
                <w:szCs w:val="22"/>
                <w:lang w:eastAsia="en-US"/>
              </w:rPr>
              <w:t>90%</w:t>
            </w:r>
          </w:p>
        </w:tc>
        <w:tc>
          <w:tcPr>
            <w:tcW w:w="1560" w:type="dxa"/>
            <w:shd w:val="clear" w:color="auto" w:fill="auto"/>
            <w:vAlign w:val="center"/>
          </w:tcPr>
          <w:p>
            <w:pPr>
              <w:widowControl/>
              <w:spacing w:line="240" w:lineRule="atLeast"/>
              <w:jc w:val="center"/>
              <w:rPr>
                <w:rFonts w:ascii="黑体" w:hAnsi="黑体" w:eastAsia="黑体" w:cs="黑体"/>
              </w:rPr>
            </w:pPr>
            <w:r>
              <w:rPr>
                <w:rFonts w:hint="eastAsia" w:ascii="黑体" w:hAnsi="黑体" w:eastAsia="黑体" w:cs="黑体"/>
                <w:kern w:val="0"/>
                <w:szCs w:val="22"/>
                <w:lang w:eastAsia="en-US"/>
              </w:rPr>
              <w:t>3~4*</w:t>
            </w:r>
          </w:p>
        </w:tc>
        <w:tc>
          <w:tcPr>
            <w:tcW w:w="1080" w:type="dxa"/>
            <w:vMerge w:val="continue"/>
            <w:shd w:val="clear" w:color="auto" w:fill="auto"/>
            <w:vAlign w:val="center"/>
          </w:tcPr>
          <w:p>
            <w:pPr>
              <w:widowControl/>
              <w:spacing w:line="240" w:lineRule="atLeast"/>
              <w:ind w:firstLine="420"/>
              <w:jc w:val="center"/>
              <w:rPr>
                <w:rFonts w:ascii="黑体" w:hAnsi="黑体" w:eastAsia="黑体" w:cs="黑体"/>
                <w:kern w:val="0"/>
              </w:rPr>
            </w:pPr>
          </w:p>
        </w:tc>
        <w:tc>
          <w:tcPr>
            <w:tcW w:w="1065" w:type="dxa"/>
          </w:tcPr>
          <w:p>
            <w:pPr>
              <w:widowControl/>
              <w:spacing w:line="240" w:lineRule="atLeast"/>
              <w:ind w:firstLine="420"/>
              <w:jc w:val="center"/>
              <w:rPr>
                <w:rFonts w:ascii="黑体" w:hAnsi="黑体" w:eastAsia="黑体" w:cs="黑体"/>
                <w:kern w:val="0"/>
              </w:rPr>
            </w:pPr>
          </w:p>
        </w:tc>
        <w:tc>
          <w:tcPr>
            <w:tcW w:w="1380" w:type="dxa"/>
          </w:tcPr>
          <w:p>
            <w:pPr>
              <w:widowControl/>
              <w:spacing w:line="240" w:lineRule="atLeast"/>
              <w:ind w:firstLine="420"/>
              <w:jc w:val="center"/>
              <w:rPr>
                <w:rFonts w:ascii="黑体" w:hAnsi="黑体" w:eastAsia="黑体" w:cs="黑体"/>
                <w:kern w:val="0"/>
              </w:rPr>
            </w:pPr>
          </w:p>
        </w:tc>
        <w:tc>
          <w:tcPr>
            <w:tcW w:w="735" w:type="dxa"/>
          </w:tcPr>
          <w:p>
            <w:pPr>
              <w:widowControl/>
              <w:spacing w:line="240" w:lineRule="atLeast"/>
              <w:ind w:firstLine="420"/>
              <w:jc w:val="center"/>
              <w:rPr>
                <w:rFonts w:ascii="黑体" w:hAnsi="黑体" w:eastAsia="黑体" w:cs="黑体"/>
                <w:kern w:val="0"/>
              </w:rPr>
            </w:pPr>
          </w:p>
        </w:tc>
        <w:tc>
          <w:tcPr>
            <w:tcW w:w="1035" w:type="dxa"/>
          </w:tcPr>
          <w:p>
            <w:pPr>
              <w:widowControl/>
              <w:spacing w:line="240" w:lineRule="atLeast"/>
              <w:ind w:firstLine="420"/>
              <w:jc w:val="center"/>
              <w:rPr>
                <w:rFonts w:ascii="黑体" w:hAnsi="黑体" w:eastAsia="黑体" w:cs="黑体"/>
                <w:kern w:val="0"/>
              </w:rPr>
            </w:pPr>
          </w:p>
        </w:tc>
        <w:tc>
          <w:tcPr>
            <w:tcW w:w="781" w:type="dxa"/>
            <w:vMerge w:val="continue"/>
          </w:tcPr>
          <w:p>
            <w:pPr>
              <w:widowControl/>
              <w:spacing w:line="240" w:lineRule="atLeast"/>
              <w:ind w:firstLine="420"/>
              <w:jc w:val="center"/>
              <w:rPr>
                <w:rFonts w:ascii="黑体" w:hAnsi="黑体" w:eastAsia="黑体" w:cs="黑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069" w:type="dxa"/>
            <w:vMerge w:val="continue"/>
            <w:vAlign w:val="center"/>
          </w:tcPr>
          <w:p>
            <w:pPr>
              <w:widowControl/>
              <w:spacing w:line="240" w:lineRule="atLeast"/>
              <w:ind w:firstLine="420"/>
              <w:jc w:val="left"/>
              <w:rPr>
                <w:rFonts w:ascii="黑体" w:hAnsi="黑体" w:eastAsia="黑体" w:cs="黑体"/>
                <w:kern w:val="0"/>
              </w:rPr>
            </w:pPr>
          </w:p>
        </w:tc>
        <w:tc>
          <w:tcPr>
            <w:tcW w:w="3960" w:type="dxa"/>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rPr>
              <w:t>管线分离</w:t>
            </w:r>
          </w:p>
        </w:tc>
        <w:tc>
          <w:tcPr>
            <w:tcW w:w="2325" w:type="dxa"/>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szCs w:val="22"/>
                <w:lang w:eastAsia="en-US"/>
              </w:rPr>
              <w:t>50%</w:t>
            </w:r>
            <w:r>
              <w:rPr>
                <w:rFonts w:hint="eastAsia" w:ascii="黑体" w:hAnsi="黑体" w:eastAsia="黑体" w:cs="黑体"/>
              </w:rPr>
              <w:t>≤比例≤</w:t>
            </w:r>
            <w:r>
              <w:rPr>
                <w:rFonts w:hint="eastAsia" w:ascii="黑体" w:hAnsi="黑体" w:eastAsia="黑体" w:cs="黑体"/>
                <w:kern w:val="0"/>
                <w:szCs w:val="22"/>
                <w:lang w:eastAsia="en-US"/>
              </w:rPr>
              <w:t>70%</w:t>
            </w:r>
          </w:p>
        </w:tc>
        <w:tc>
          <w:tcPr>
            <w:tcW w:w="1560" w:type="dxa"/>
            <w:shd w:val="clear" w:color="auto" w:fill="auto"/>
            <w:vAlign w:val="center"/>
          </w:tcPr>
          <w:p>
            <w:pPr>
              <w:widowControl/>
              <w:spacing w:line="240" w:lineRule="atLeast"/>
              <w:jc w:val="center"/>
              <w:rPr>
                <w:rFonts w:ascii="黑体" w:hAnsi="黑体" w:eastAsia="黑体" w:cs="黑体"/>
              </w:rPr>
            </w:pPr>
            <w:r>
              <w:rPr>
                <w:rFonts w:hint="eastAsia" w:ascii="黑体" w:hAnsi="黑体" w:eastAsia="黑体" w:cs="黑体"/>
                <w:kern w:val="0"/>
                <w:szCs w:val="22"/>
              </w:rPr>
              <w:t>4</w:t>
            </w:r>
            <w:r>
              <w:rPr>
                <w:rFonts w:hint="eastAsia" w:ascii="黑体" w:hAnsi="黑体" w:eastAsia="黑体" w:cs="黑体"/>
                <w:kern w:val="0"/>
                <w:szCs w:val="22"/>
                <w:lang w:eastAsia="en-US"/>
              </w:rPr>
              <w:t>~</w:t>
            </w:r>
            <w:r>
              <w:rPr>
                <w:rFonts w:hint="eastAsia" w:ascii="黑体" w:hAnsi="黑体" w:eastAsia="黑体" w:cs="黑体"/>
                <w:kern w:val="0"/>
                <w:szCs w:val="22"/>
              </w:rPr>
              <w:t>5</w:t>
            </w:r>
            <w:r>
              <w:rPr>
                <w:rFonts w:hint="eastAsia" w:ascii="黑体" w:hAnsi="黑体" w:eastAsia="黑体" w:cs="黑体"/>
                <w:kern w:val="0"/>
                <w:szCs w:val="22"/>
                <w:lang w:eastAsia="en-US"/>
              </w:rPr>
              <w:t>*</w:t>
            </w:r>
          </w:p>
        </w:tc>
        <w:tc>
          <w:tcPr>
            <w:tcW w:w="1080" w:type="dxa"/>
            <w:vMerge w:val="continue"/>
            <w:shd w:val="clear" w:color="auto" w:fill="auto"/>
            <w:vAlign w:val="center"/>
          </w:tcPr>
          <w:p>
            <w:pPr>
              <w:widowControl/>
              <w:spacing w:line="240" w:lineRule="atLeast"/>
              <w:ind w:firstLine="420"/>
              <w:jc w:val="center"/>
              <w:rPr>
                <w:rFonts w:ascii="黑体" w:hAnsi="黑体" w:eastAsia="黑体" w:cs="黑体"/>
                <w:kern w:val="0"/>
              </w:rPr>
            </w:pPr>
          </w:p>
        </w:tc>
        <w:tc>
          <w:tcPr>
            <w:tcW w:w="1065" w:type="dxa"/>
          </w:tcPr>
          <w:p>
            <w:pPr>
              <w:widowControl/>
              <w:spacing w:line="240" w:lineRule="atLeast"/>
              <w:ind w:firstLine="420"/>
              <w:jc w:val="center"/>
              <w:rPr>
                <w:rFonts w:ascii="黑体" w:hAnsi="黑体" w:eastAsia="黑体" w:cs="黑体"/>
                <w:kern w:val="0"/>
              </w:rPr>
            </w:pPr>
          </w:p>
        </w:tc>
        <w:tc>
          <w:tcPr>
            <w:tcW w:w="1380" w:type="dxa"/>
          </w:tcPr>
          <w:p>
            <w:pPr>
              <w:widowControl/>
              <w:spacing w:line="240" w:lineRule="atLeast"/>
              <w:ind w:firstLine="420"/>
              <w:jc w:val="center"/>
              <w:rPr>
                <w:rFonts w:ascii="黑体" w:hAnsi="黑体" w:eastAsia="黑体" w:cs="黑体"/>
                <w:kern w:val="0"/>
              </w:rPr>
            </w:pPr>
          </w:p>
        </w:tc>
        <w:tc>
          <w:tcPr>
            <w:tcW w:w="735" w:type="dxa"/>
          </w:tcPr>
          <w:p>
            <w:pPr>
              <w:widowControl/>
              <w:spacing w:line="240" w:lineRule="atLeast"/>
              <w:ind w:firstLine="420"/>
              <w:jc w:val="center"/>
              <w:rPr>
                <w:rFonts w:ascii="黑体" w:hAnsi="黑体" w:eastAsia="黑体" w:cs="黑体"/>
                <w:kern w:val="0"/>
              </w:rPr>
            </w:pPr>
          </w:p>
        </w:tc>
        <w:tc>
          <w:tcPr>
            <w:tcW w:w="1035" w:type="dxa"/>
          </w:tcPr>
          <w:p>
            <w:pPr>
              <w:widowControl/>
              <w:spacing w:line="240" w:lineRule="atLeast"/>
              <w:ind w:firstLine="420"/>
              <w:jc w:val="center"/>
              <w:rPr>
                <w:rFonts w:ascii="黑体" w:hAnsi="黑体" w:eastAsia="黑体" w:cs="黑体"/>
                <w:kern w:val="0"/>
              </w:rPr>
            </w:pPr>
          </w:p>
        </w:tc>
        <w:tc>
          <w:tcPr>
            <w:tcW w:w="781" w:type="dxa"/>
            <w:vMerge w:val="continue"/>
          </w:tcPr>
          <w:p>
            <w:pPr>
              <w:widowControl/>
              <w:spacing w:line="240" w:lineRule="atLeast"/>
              <w:ind w:firstLine="420"/>
              <w:jc w:val="center"/>
              <w:rPr>
                <w:rFonts w:ascii="黑体" w:hAnsi="黑体" w:eastAsia="黑体" w:cs="黑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069" w:type="dxa"/>
            <w:vMerge w:val="restart"/>
            <w:shd w:val="clear" w:color="auto" w:fill="auto"/>
            <w:vAlign w:val="center"/>
          </w:tcPr>
          <w:p>
            <w:pPr>
              <w:widowControl/>
              <w:spacing w:line="240" w:lineRule="atLeast"/>
              <w:jc w:val="center"/>
              <w:rPr>
                <w:rFonts w:ascii="黑体" w:hAnsi="黑体" w:eastAsia="黑体" w:cs="黑体"/>
              </w:rPr>
            </w:pPr>
            <w:r>
              <w:rPr>
                <w:rFonts w:hint="eastAsia" w:ascii="黑体" w:hAnsi="黑体" w:eastAsia="黑体" w:cs="黑体"/>
              </w:rPr>
              <w:t>设计</w:t>
            </w:r>
          </w:p>
          <w:p>
            <w:pPr>
              <w:widowControl/>
              <w:spacing w:line="240" w:lineRule="atLeast"/>
              <w:jc w:val="center"/>
              <w:rPr>
                <w:rFonts w:ascii="黑体" w:hAnsi="黑体" w:eastAsia="黑体" w:cs="黑体"/>
              </w:rPr>
            </w:pPr>
            <w:r>
              <w:rPr>
                <w:rFonts w:hint="eastAsia" w:ascii="黑体" w:hAnsi="黑体" w:eastAsia="黑体" w:cs="黑体"/>
              </w:rPr>
              <w:t>标准化</w:t>
            </w:r>
          </w:p>
          <w:p>
            <w:pPr>
              <w:widowControl/>
              <w:spacing w:line="240" w:lineRule="atLeast"/>
              <w:jc w:val="center"/>
              <w:rPr>
                <w:rFonts w:ascii="黑体" w:hAnsi="黑体" w:eastAsia="黑体" w:cs="黑体"/>
              </w:rPr>
            </w:pPr>
            <w:r>
              <w:rPr>
                <w:rFonts w:hint="eastAsia" w:ascii="黑体" w:hAnsi="黑体" w:eastAsia="黑体" w:cs="黑体"/>
              </w:rPr>
              <w:t>（</w:t>
            </w:r>
            <w:r>
              <w:rPr>
                <w:rFonts w:hint="eastAsia" w:ascii="黑体" w:hAnsi="黑体" w:eastAsia="黑体" w:cs="黑体"/>
                <w:kern w:val="0"/>
                <w:szCs w:val="22"/>
                <w:lang w:eastAsia="en-US"/>
              </w:rPr>
              <w:t>6</w:t>
            </w:r>
            <w:r>
              <w:rPr>
                <w:rFonts w:hint="eastAsia" w:ascii="黑体" w:hAnsi="黑体" w:eastAsia="黑体" w:cs="黑体"/>
              </w:rPr>
              <w:t>分）</w:t>
            </w:r>
          </w:p>
        </w:tc>
        <w:tc>
          <w:tcPr>
            <w:tcW w:w="3960" w:type="dxa"/>
            <w:shd w:val="clear" w:color="auto" w:fill="auto"/>
            <w:vAlign w:val="center"/>
          </w:tcPr>
          <w:p>
            <w:pPr>
              <w:widowControl/>
              <w:spacing w:line="240" w:lineRule="atLeast"/>
              <w:jc w:val="center"/>
              <w:rPr>
                <w:rFonts w:ascii="黑体" w:hAnsi="黑体" w:eastAsia="黑体" w:cs="黑体"/>
              </w:rPr>
            </w:pPr>
            <w:r>
              <w:rPr>
                <w:rFonts w:hint="eastAsia" w:ascii="黑体" w:hAnsi="黑体" w:eastAsia="黑体" w:cs="黑体"/>
              </w:rPr>
              <w:t>标准化预制部件</w:t>
            </w:r>
          </w:p>
        </w:tc>
        <w:tc>
          <w:tcPr>
            <w:tcW w:w="2325" w:type="dxa"/>
            <w:shd w:val="clear" w:color="auto" w:fill="auto"/>
            <w:vAlign w:val="center"/>
          </w:tcPr>
          <w:p>
            <w:pPr>
              <w:widowControl/>
              <w:spacing w:line="240" w:lineRule="atLeast"/>
              <w:jc w:val="center"/>
              <w:rPr>
                <w:rFonts w:ascii="黑体" w:hAnsi="黑体" w:eastAsia="黑体" w:cs="黑体"/>
              </w:rPr>
            </w:pPr>
            <w:r>
              <w:rPr>
                <w:rFonts w:hint="eastAsia" w:ascii="黑体" w:hAnsi="黑体" w:eastAsia="黑体" w:cs="黑体"/>
                <w:kern w:val="0"/>
                <w:szCs w:val="22"/>
                <w:lang w:eastAsia="en-US"/>
              </w:rPr>
              <w:t>50%</w:t>
            </w:r>
            <w:r>
              <w:rPr>
                <w:rFonts w:hint="eastAsia" w:ascii="黑体" w:hAnsi="黑体" w:eastAsia="黑体" w:cs="黑体"/>
              </w:rPr>
              <w:t>≤比例≤</w:t>
            </w:r>
            <w:r>
              <w:rPr>
                <w:rFonts w:hint="eastAsia" w:ascii="黑体" w:hAnsi="黑体" w:eastAsia="黑体" w:cs="黑体"/>
                <w:kern w:val="0"/>
                <w:szCs w:val="22"/>
                <w:lang w:eastAsia="en-US"/>
              </w:rPr>
              <w:t>70%</w:t>
            </w:r>
          </w:p>
        </w:tc>
        <w:tc>
          <w:tcPr>
            <w:tcW w:w="1560" w:type="dxa"/>
            <w:shd w:val="clear" w:color="auto" w:fill="auto"/>
            <w:vAlign w:val="center"/>
          </w:tcPr>
          <w:p>
            <w:pPr>
              <w:widowControl/>
              <w:spacing w:line="240" w:lineRule="atLeast"/>
              <w:jc w:val="center"/>
              <w:rPr>
                <w:rFonts w:ascii="黑体" w:hAnsi="黑体" w:eastAsia="黑体" w:cs="黑体"/>
              </w:rPr>
            </w:pPr>
            <w:r>
              <w:rPr>
                <w:rFonts w:hint="eastAsia" w:ascii="黑体" w:hAnsi="黑体" w:eastAsia="黑体" w:cs="黑体"/>
                <w:kern w:val="0"/>
                <w:szCs w:val="22"/>
                <w:lang w:eastAsia="en-US"/>
              </w:rPr>
              <w:t>1~</w:t>
            </w:r>
            <w:r>
              <w:rPr>
                <w:rFonts w:hint="eastAsia" w:ascii="黑体" w:hAnsi="黑体" w:eastAsia="黑体" w:cs="黑体"/>
                <w:kern w:val="0"/>
                <w:szCs w:val="22"/>
              </w:rPr>
              <w:t>3</w:t>
            </w:r>
            <w:r>
              <w:rPr>
                <w:rFonts w:hint="eastAsia" w:ascii="黑体" w:hAnsi="黑体" w:eastAsia="黑体" w:cs="黑体"/>
                <w:kern w:val="0"/>
                <w:szCs w:val="22"/>
                <w:lang w:eastAsia="en-US"/>
              </w:rPr>
              <w:t>*</w:t>
            </w:r>
          </w:p>
        </w:tc>
        <w:tc>
          <w:tcPr>
            <w:tcW w:w="1080" w:type="dxa"/>
            <w:vMerge w:val="restart"/>
            <w:shd w:val="clear" w:color="auto" w:fill="auto"/>
            <w:vAlign w:val="center"/>
          </w:tcPr>
          <w:p>
            <w:pPr>
              <w:widowControl/>
              <w:spacing w:line="240" w:lineRule="atLeast"/>
              <w:jc w:val="center"/>
              <w:rPr>
                <w:rFonts w:ascii="黑体" w:hAnsi="黑体" w:eastAsia="黑体" w:cs="黑体"/>
              </w:rPr>
            </w:pPr>
            <w:r>
              <w:rPr>
                <w:rFonts w:hint="eastAsia" w:ascii="黑体" w:hAnsi="黑体" w:eastAsia="黑体" w:cs="黑体"/>
                <w:kern w:val="0"/>
                <w:szCs w:val="22"/>
                <w:lang w:eastAsia="en-US"/>
              </w:rPr>
              <w:t>2</w:t>
            </w:r>
          </w:p>
        </w:tc>
        <w:tc>
          <w:tcPr>
            <w:tcW w:w="1065" w:type="dxa"/>
          </w:tcPr>
          <w:p>
            <w:pPr>
              <w:widowControl/>
              <w:spacing w:line="240" w:lineRule="atLeast"/>
              <w:jc w:val="center"/>
              <w:rPr>
                <w:rFonts w:ascii="黑体" w:hAnsi="黑体" w:eastAsia="黑体" w:cs="黑体"/>
                <w:kern w:val="0"/>
                <w:szCs w:val="22"/>
                <w:lang w:eastAsia="en-US"/>
              </w:rPr>
            </w:pPr>
          </w:p>
        </w:tc>
        <w:tc>
          <w:tcPr>
            <w:tcW w:w="1380" w:type="dxa"/>
          </w:tcPr>
          <w:p>
            <w:pPr>
              <w:widowControl/>
              <w:spacing w:line="240" w:lineRule="atLeast"/>
              <w:jc w:val="center"/>
              <w:rPr>
                <w:rFonts w:ascii="黑体" w:hAnsi="黑体" w:eastAsia="黑体" w:cs="黑体"/>
                <w:kern w:val="0"/>
                <w:szCs w:val="22"/>
                <w:lang w:eastAsia="en-US"/>
              </w:rPr>
            </w:pPr>
          </w:p>
        </w:tc>
        <w:tc>
          <w:tcPr>
            <w:tcW w:w="735" w:type="dxa"/>
          </w:tcPr>
          <w:p>
            <w:pPr>
              <w:widowControl/>
              <w:spacing w:line="240" w:lineRule="atLeast"/>
              <w:jc w:val="center"/>
              <w:rPr>
                <w:rFonts w:ascii="黑体" w:hAnsi="黑体" w:eastAsia="黑体" w:cs="黑体"/>
                <w:kern w:val="0"/>
                <w:szCs w:val="22"/>
                <w:lang w:eastAsia="en-US"/>
              </w:rPr>
            </w:pPr>
          </w:p>
        </w:tc>
        <w:tc>
          <w:tcPr>
            <w:tcW w:w="1035" w:type="dxa"/>
          </w:tcPr>
          <w:p>
            <w:pPr>
              <w:widowControl/>
              <w:spacing w:line="240" w:lineRule="atLeast"/>
              <w:jc w:val="center"/>
              <w:rPr>
                <w:rFonts w:ascii="黑体" w:hAnsi="黑体" w:eastAsia="黑体" w:cs="黑体"/>
                <w:kern w:val="0"/>
                <w:szCs w:val="22"/>
                <w:lang w:eastAsia="en-US"/>
              </w:rPr>
            </w:pPr>
          </w:p>
        </w:tc>
        <w:tc>
          <w:tcPr>
            <w:tcW w:w="781" w:type="dxa"/>
            <w:vMerge w:val="restart"/>
          </w:tcPr>
          <w:p>
            <w:pPr>
              <w:widowControl/>
              <w:spacing w:line="240" w:lineRule="atLeast"/>
              <w:jc w:val="center"/>
              <w:rPr>
                <w:rFonts w:ascii="黑体" w:hAnsi="黑体" w:eastAsia="黑体" w:cs="黑体"/>
                <w:kern w:val="0"/>
                <w:szCs w:val="22"/>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069" w:type="dxa"/>
            <w:vMerge w:val="continue"/>
            <w:shd w:val="clear" w:color="auto" w:fill="auto"/>
            <w:vAlign w:val="center"/>
          </w:tcPr>
          <w:p>
            <w:pPr>
              <w:widowControl/>
              <w:spacing w:line="240" w:lineRule="atLeast"/>
              <w:jc w:val="center"/>
              <w:rPr>
                <w:rFonts w:ascii="黑体" w:hAnsi="黑体" w:eastAsia="黑体" w:cs="黑体"/>
                <w:kern w:val="0"/>
              </w:rPr>
            </w:pPr>
          </w:p>
        </w:tc>
        <w:tc>
          <w:tcPr>
            <w:tcW w:w="3960" w:type="dxa"/>
            <w:shd w:val="clear" w:color="auto" w:fill="auto"/>
            <w:vAlign w:val="center"/>
          </w:tcPr>
          <w:p>
            <w:pPr>
              <w:widowControl/>
              <w:spacing w:line="240" w:lineRule="atLeast"/>
              <w:jc w:val="center"/>
              <w:rPr>
                <w:rFonts w:ascii="黑体" w:hAnsi="黑体" w:eastAsia="黑体" w:cs="黑体"/>
              </w:rPr>
            </w:pPr>
            <w:r>
              <w:rPr>
                <w:rFonts w:hint="eastAsia" w:ascii="黑体" w:hAnsi="黑体" w:eastAsia="黑体" w:cs="黑体"/>
              </w:rPr>
              <w:t>平面布置标准化或柱网标准化</w:t>
            </w:r>
          </w:p>
        </w:tc>
        <w:tc>
          <w:tcPr>
            <w:tcW w:w="2325" w:type="dxa"/>
            <w:shd w:val="clear" w:color="auto" w:fill="auto"/>
            <w:vAlign w:val="center"/>
          </w:tcPr>
          <w:p>
            <w:pPr>
              <w:widowControl/>
              <w:spacing w:line="240" w:lineRule="atLeast"/>
              <w:jc w:val="center"/>
              <w:rPr>
                <w:rFonts w:ascii="黑体" w:hAnsi="黑体" w:eastAsia="黑体" w:cs="黑体"/>
              </w:rPr>
            </w:pPr>
            <w:r>
              <w:rPr>
                <w:rFonts w:hint="eastAsia" w:ascii="黑体" w:hAnsi="黑体" w:eastAsia="黑体" w:cs="黑体"/>
                <w:kern w:val="0"/>
                <w:szCs w:val="22"/>
                <w:lang w:eastAsia="en-US"/>
              </w:rPr>
              <w:t>50%</w:t>
            </w:r>
            <w:r>
              <w:rPr>
                <w:rFonts w:hint="eastAsia" w:ascii="黑体" w:hAnsi="黑体" w:eastAsia="黑体" w:cs="黑体"/>
              </w:rPr>
              <w:t>≤比例≤</w:t>
            </w:r>
            <w:r>
              <w:rPr>
                <w:rFonts w:hint="eastAsia" w:ascii="黑体" w:hAnsi="黑体" w:eastAsia="黑体" w:cs="黑体"/>
                <w:kern w:val="0"/>
                <w:szCs w:val="22"/>
                <w:lang w:eastAsia="en-US"/>
              </w:rPr>
              <w:t>70%</w:t>
            </w:r>
          </w:p>
        </w:tc>
        <w:tc>
          <w:tcPr>
            <w:tcW w:w="1560" w:type="dxa"/>
            <w:shd w:val="clear" w:color="auto" w:fill="auto"/>
            <w:vAlign w:val="center"/>
          </w:tcPr>
          <w:p>
            <w:pPr>
              <w:widowControl/>
              <w:spacing w:line="240" w:lineRule="atLeast"/>
              <w:jc w:val="center"/>
              <w:rPr>
                <w:rFonts w:ascii="黑体" w:hAnsi="黑体" w:eastAsia="黑体" w:cs="黑体"/>
              </w:rPr>
            </w:pPr>
            <w:r>
              <w:rPr>
                <w:rFonts w:hint="eastAsia" w:ascii="黑体" w:hAnsi="黑体" w:eastAsia="黑体" w:cs="黑体"/>
                <w:kern w:val="0"/>
                <w:szCs w:val="22"/>
                <w:lang w:eastAsia="en-US"/>
              </w:rPr>
              <w:t>1~</w:t>
            </w:r>
            <w:r>
              <w:rPr>
                <w:rFonts w:hint="eastAsia" w:ascii="黑体" w:hAnsi="黑体" w:eastAsia="黑体" w:cs="黑体"/>
                <w:kern w:val="0"/>
                <w:szCs w:val="22"/>
              </w:rPr>
              <w:t>3</w:t>
            </w:r>
            <w:r>
              <w:rPr>
                <w:rFonts w:hint="eastAsia" w:ascii="黑体" w:hAnsi="黑体" w:eastAsia="黑体" w:cs="黑体"/>
                <w:kern w:val="0"/>
                <w:szCs w:val="22"/>
                <w:lang w:eastAsia="en-US"/>
              </w:rPr>
              <w:t>*</w:t>
            </w:r>
          </w:p>
        </w:tc>
        <w:tc>
          <w:tcPr>
            <w:tcW w:w="1080" w:type="dxa"/>
            <w:vMerge w:val="continue"/>
            <w:shd w:val="clear" w:color="auto" w:fill="auto"/>
            <w:vAlign w:val="center"/>
          </w:tcPr>
          <w:p>
            <w:pPr>
              <w:widowControl/>
              <w:spacing w:line="240" w:lineRule="atLeast"/>
              <w:jc w:val="center"/>
              <w:rPr>
                <w:rFonts w:ascii="黑体" w:hAnsi="黑体" w:eastAsia="黑体" w:cs="黑体"/>
                <w:kern w:val="0"/>
              </w:rPr>
            </w:pPr>
          </w:p>
        </w:tc>
        <w:tc>
          <w:tcPr>
            <w:tcW w:w="1065" w:type="dxa"/>
          </w:tcPr>
          <w:p>
            <w:pPr>
              <w:widowControl/>
              <w:spacing w:line="240" w:lineRule="atLeast"/>
              <w:jc w:val="center"/>
              <w:rPr>
                <w:rFonts w:ascii="黑体" w:hAnsi="黑体" w:eastAsia="黑体" w:cs="黑体"/>
                <w:kern w:val="0"/>
              </w:rPr>
            </w:pPr>
          </w:p>
        </w:tc>
        <w:tc>
          <w:tcPr>
            <w:tcW w:w="1380" w:type="dxa"/>
          </w:tcPr>
          <w:p>
            <w:pPr>
              <w:widowControl/>
              <w:spacing w:line="240" w:lineRule="atLeast"/>
              <w:jc w:val="center"/>
              <w:rPr>
                <w:rFonts w:ascii="黑体" w:hAnsi="黑体" w:eastAsia="黑体" w:cs="黑体"/>
                <w:kern w:val="0"/>
              </w:rPr>
            </w:pPr>
          </w:p>
        </w:tc>
        <w:tc>
          <w:tcPr>
            <w:tcW w:w="735" w:type="dxa"/>
          </w:tcPr>
          <w:p>
            <w:pPr>
              <w:widowControl/>
              <w:spacing w:line="240" w:lineRule="atLeast"/>
              <w:jc w:val="center"/>
              <w:rPr>
                <w:rFonts w:ascii="黑体" w:hAnsi="黑体" w:eastAsia="黑体" w:cs="黑体"/>
                <w:kern w:val="0"/>
              </w:rPr>
            </w:pPr>
          </w:p>
        </w:tc>
        <w:tc>
          <w:tcPr>
            <w:tcW w:w="1035" w:type="dxa"/>
          </w:tcPr>
          <w:p>
            <w:pPr>
              <w:widowControl/>
              <w:spacing w:line="240" w:lineRule="atLeast"/>
              <w:jc w:val="center"/>
              <w:rPr>
                <w:rFonts w:ascii="黑体" w:hAnsi="黑体" w:eastAsia="黑体" w:cs="黑体"/>
                <w:kern w:val="0"/>
              </w:rPr>
            </w:pPr>
          </w:p>
        </w:tc>
        <w:tc>
          <w:tcPr>
            <w:tcW w:w="781" w:type="dxa"/>
            <w:vMerge w:val="continue"/>
          </w:tcPr>
          <w:p>
            <w:pPr>
              <w:widowControl/>
              <w:spacing w:line="240" w:lineRule="atLeast"/>
              <w:jc w:val="center"/>
              <w:rPr>
                <w:rFonts w:ascii="黑体" w:hAnsi="黑体" w:eastAsia="黑体" w:cs="黑体"/>
                <w:kern w:val="0"/>
              </w:rPr>
            </w:pPr>
          </w:p>
        </w:tc>
      </w:tr>
    </w:tbl>
    <w:p>
      <w:pPr>
        <w:pStyle w:val="2"/>
        <w:ind w:firstLine="210"/>
        <w:rPr>
          <w:rFonts w:ascii="黑体" w:hAnsi="黑体" w:eastAsia="黑体" w:cs="黑体"/>
        </w:rPr>
      </w:pPr>
      <w:r>
        <w:rPr>
          <w:rFonts w:hint="eastAsia" w:ascii="黑体" w:hAnsi="黑体" w:eastAsia="黑体" w:cs="黑体"/>
        </w:rPr>
        <w:t xml:space="preserve">评价单位： </w:t>
      </w:r>
      <w:r>
        <w:rPr>
          <w:rFonts w:ascii="黑体" w:hAnsi="黑体" w:eastAsia="黑体" w:cs="黑体"/>
        </w:rPr>
        <w:t xml:space="preserve">                                                                      </w:t>
      </w:r>
      <w:r>
        <w:rPr>
          <w:rFonts w:hint="eastAsia" w:ascii="黑体" w:hAnsi="黑体" w:eastAsia="黑体" w:cs="黑体"/>
        </w:rPr>
        <w:t xml:space="preserve">填表时间： </w:t>
      </w:r>
      <w:r>
        <w:rPr>
          <w:rFonts w:ascii="黑体" w:hAnsi="黑体" w:eastAsia="黑体" w:cs="黑体"/>
        </w:rPr>
        <w:t xml:space="preserve">                     </w:t>
      </w:r>
      <w:r>
        <w:rPr>
          <w:rFonts w:hint="eastAsia" w:ascii="黑体" w:hAnsi="黑体" w:eastAsia="黑体" w:cs="黑体"/>
        </w:rPr>
        <w:t>填表人：</w:t>
      </w:r>
    </w:p>
    <w:p>
      <w:pPr>
        <w:pStyle w:val="2"/>
        <w:ind w:firstLine="210"/>
      </w:pPr>
    </w:p>
    <w:p>
      <w:pPr>
        <w:pStyle w:val="2"/>
        <w:ind w:firstLine="210"/>
      </w:pPr>
    </w:p>
    <w:p>
      <w:pPr>
        <w:pStyle w:val="2"/>
        <w:ind w:firstLine="210"/>
      </w:pPr>
    </w:p>
    <w:p>
      <w:pPr>
        <w:pStyle w:val="2"/>
        <w:ind w:firstLine="210"/>
      </w:pPr>
    </w:p>
    <w:p>
      <w:pPr>
        <w:pStyle w:val="2"/>
        <w:ind w:firstLine="210"/>
      </w:pPr>
    </w:p>
    <w:p>
      <w:pPr>
        <w:pStyle w:val="2"/>
        <w:ind w:firstLine="320"/>
        <w:jc w:val="center"/>
        <w:rPr>
          <w:rFonts w:ascii="方正小标宋_GBK" w:hAnsi="方正小标宋_GBK" w:eastAsia="方正小标宋_GBK" w:cs="方正小标宋_GBK"/>
          <w:sz w:val="32"/>
          <w:szCs w:val="32"/>
        </w:rPr>
      </w:pPr>
    </w:p>
    <w:p>
      <w:pPr>
        <w:pStyle w:val="2"/>
        <w:ind w:firstLine="320"/>
        <w:jc w:val="center"/>
        <w:rPr>
          <w:rFonts w:ascii="方正小标宋_GBK" w:hAnsi="方正小标宋_GBK" w:eastAsia="方正小标宋_GBK" w:cs="方正小标宋_GBK"/>
          <w:sz w:val="32"/>
          <w:szCs w:val="32"/>
        </w:rPr>
      </w:pPr>
    </w:p>
    <w:p>
      <w:pPr>
        <w:pStyle w:val="2"/>
        <w:ind w:firstLine="320"/>
        <w:jc w:val="center"/>
        <w:rPr>
          <w:rFonts w:ascii="方正小标宋_GBK" w:hAnsi="方正小标宋_GBK" w:eastAsia="方正小标宋_GBK" w:cs="方正小标宋_GBK"/>
          <w:sz w:val="32"/>
          <w:szCs w:val="32"/>
        </w:rPr>
        <w:sectPr>
          <w:footerReference r:id="rId16" w:type="default"/>
          <w:pgSz w:w="16838" w:h="11906" w:orient="landscape"/>
          <w:pgMar w:top="1800" w:right="1440" w:bottom="1800" w:left="1440" w:header="851" w:footer="992" w:gutter="0"/>
          <w:cols w:space="425" w:num="1"/>
          <w:docGrid w:type="lines" w:linePitch="312" w:charSpace="0"/>
        </w:sectPr>
      </w:pPr>
    </w:p>
    <w:p>
      <w:pPr>
        <w:pStyle w:val="2"/>
        <w:ind w:firstLine="320"/>
        <w:jc w:val="center"/>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附录B 装配式建筑综合评价得分表（创新项）</w:t>
      </w:r>
    </w:p>
    <w:p>
      <w:pPr>
        <w:pStyle w:val="2"/>
        <w:ind w:firstLine="210"/>
        <w:jc w:val="center"/>
        <w:rPr>
          <w:rFonts w:ascii="黑体" w:hAnsi="黑体" w:eastAsia="黑体" w:cs="黑体"/>
        </w:rPr>
      </w:pPr>
      <w:r>
        <w:rPr>
          <w:rFonts w:hint="eastAsia" w:ascii="黑体" w:hAnsi="黑体" w:eastAsia="黑体" w:cs="黑体"/>
        </w:rPr>
        <w:t xml:space="preserve">项目名称： </w:t>
      </w:r>
      <w:r>
        <w:rPr>
          <w:rFonts w:ascii="黑体" w:hAnsi="黑体" w:eastAsia="黑体" w:cs="黑体"/>
        </w:rPr>
        <w:t xml:space="preserve">                                                                                </w:t>
      </w:r>
      <w:r>
        <w:rPr>
          <w:rFonts w:hint="eastAsia" w:ascii="黑体" w:hAnsi="黑体" w:eastAsia="黑体" w:cs="黑体"/>
        </w:rPr>
        <w:t xml:space="preserve"> 计算阶段：设计预评价□</w:t>
      </w:r>
      <w:r>
        <w:rPr>
          <w:rFonts w:ascii="黑体" w:hAnsi="黑体" w:eastAsia="黑体" w:cs="黑体"/>
        </w:rPr>
        <w:t xml:space="preserve">  </w:t>
      </w:r>
      <w:r>
        <w:rPr>
          <w:rFonts w:hint="eastAsia" w:ascii="黑体" w:hAnsi="黑体" w:eastAsia="黑体" w:cs="黑体"/>
        </w:rPr>
        <w:t>竣工项目评价□</w:t>
      </w:r>
    </w:p>
    <w:tbl>
      <w:tblPr>
        <w:tblStyle w:val="29"/>
        <w:tblW w:w="136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5"/>
        <w:gridCol w:w="1290"/>
        <w:gridCol w:w="1395"/>
        <w:gridCol w:w="4815"/>
        <w:gridCol w:w="1305"/>
        <w:gridCol w:w="1350"/>
        <w:gridCol w:w="1303"/>
        <w:gridCol w:w="10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30" w:type="dxa"/>
            <w:gridSpan w:val="3"/>
            <w:shd w:val="clear" w:color="auto" w:fill="auto"/>
            <w:vAlign w:val="center"/>
          </w:tcPr>
          <w:p>
            <w:pPr>
              <w:widowControl/>
              <w:spacing w:line="240" w:lineRule="atLeast"/>
              <w:jc w:val="center"/>
              <w:rPr>
                <w:rFonts w:ascii="黑体" w:hAnsi="黑体" w:eastAsia="黑体" w:cs="黑体"/>
                <w:bCs/>
                <w:kern w:val="0"/>
                <w:sz w:val="28"/>
                <w:szCs w:val="28"/>
              </w:rPr>
            </w:pPr>
            <w:r>
              <w:rPr>
                <w:rFonts w:hint="eastAsia" w:ascii="黑体" w:hAnsi="黑体" w:eastAsia="黑体" w:cs="黑体"/>
                <w:bCs/>
                <w:w w:val="95"/>
                <w:kern w:val="0"/>
                <w:sz w:val="28"/>
                <w:szCs w:val="28"/>
                <w:lang w:eastAsia="en-US"/>
              </w:rPr>
              <w:t>指标项</w:t>
            </w:r>
          </w:p>
        </w:tc>
        <w:tc>
          <w:tcPr>
            <w:tcW w:w="4815" w:type="dxa"/>
            <w:shd w:val="clear" w:color="auto" w:fill="auto"/>
            <w:vAlign w:val="center"/>
          </w:tcPr>
          <w:p>
            <w:pPr>
              <w:widowControl/>
              <w:spacing w:line="240" w:lineRule="atLeast"/>
              <w:jc w:val="center"/>
              <w:rPr>
                <w:rFonts w:ascii="黑体" w:hAnsi="黑体" w:eastAsia="黑体" w:cs="黑体"/>
                <w:bCs/>
                <w:kern w:val="0"/>
                <w:sz w:val="28"/>
                <w:szCs w:val="28"/>
              </w:rPr>
            </w:pPr>
            <w:r>
              <w:rPr>
                <w:rFonts w:hint="eastAsia" w:ascii="黑体" w:hAnsi="黑体" w:eastAsia="黑体" w:cs="黑体"/>
                <w:bCs/>
                <w:w w:val="95"/>
                <w:kern w:val="0"/>
                <w:sz w:val="28"/>
                <w:szCs w:val="28"/>
                <w:lang w:eastAsia="en-US"/>
              </w:rPr>
              <w:t>指标要求</w:t>
            </w:r>
          </w:p>
        </w:tc>
        <w:tc>
          <w:tcPr>
            <w:tcW w:w="1305" w:type="dxa"/>
            <w:shd w:val="clear" w:color="auto" w:fill="auto"/>
            <w:vAlign w:val="center"/>
          </w:tcPr>
          <w:p>
            <w:pPr>
              <w:widowControl/>
              <w:spacing w:line="240" w:lineRule="atLeast"/>
              <w:jc w:val="center"/>
              <w:rPr>
                <w:rFonts w:ascii="黑体" w:hAnsi="黑体" w:eastAsia="黑体" w:cs="黑体"/>
                <w:bCs/>
                <w:kern w:val="0"/>
                <w:sz w:val="28"/>
                <w:szCs w:val="28"/>
              </w:rPr>
            </w:pPr>
            <w:r>
              <w:rPr>
                <w:rFonts w:hint="eastAsia" w:ascii="黑体" w:hAnsi="黑体" w:eastAsia="黑体" w:cs="黑体"/>
                <w:bCs/>
                <w:w w:val="95"/>
                <w:kern w:val="0"/>
                <w:sz w:val="28"/>
                <w:szCs w:val="28"/>
                <w:lang w:eastAsia="en-US"/>
              </w:rPr>
              <w:t>指标分值</w:t>
            </w:r>
          </w:p>
        </w:tc>
        <w:tc>
          <w:tcPr>
            <w:tcW w:w="1350" w:type="dxa"/>
            <w:shd w:val="clear" w:color="auto" w:fill="auto"/>
            <w:vAlign w:val="center"/>
          </w:tcPr>
          <w:p>
            <w:pPr>
              <w:widowControl/>
              <w:spacing w:line="240" w:lineRule="atLeast"/>
              <w:jc w:val="center"/>
              <w:rPr>
                <w:rFonts w:ascii="黑体" w:hAnsi="黑体" w:eastAsia="黑体" w:cs="黑体"/>
                <w:bCs/>
                <w:kern w:val="0"/>
                <w:sz w:val="28"/>
                <w:szCs w:val="28"/>
              </w:rPr>
            </w:pPr>
            <w:r>
              <w:rPr>
                <w:rFonts w:hint="eastAsia" w:ascii="黑体" w:hAnsi="黑体" w:eastAsia="黑体" w:cs="黑体"/>
                <w:bCs/>
                <w:w w:val="95"/>
                <w:kern w:val="0"/>
                <w:sz w:val="28"/>
                <w:szCs w:val="28"/>
                <w:lang w:eastAsia="en-US"/>
              </w:rPr>
              <w:t>最</w:t>
            </w:r>
            <w:r>
              <w:rPr>
                <w:rFonts w:hint="eastAsia" w:ascii="黑体" w:hAnsi="黑体" w:eastAsia="黑体" w:cs="黑体"/>
                <w:bCs/>
                <w:w w:val="95"/>
                <w:kern w:val="0"/>
                <w:sz w:val="28"/>
                <w:szCs w:val="28"/>
              </w:rPr>
              <w:t>高</w:t>
            </w:r>
            <w:r>
              <w:rPr>
                <w:rFonts w:hint="eastAsia" w:ascii="黑体" w:hAnsi="黑体" w:eastAsia="黑体" w:cs="黑体"/>
                <w:bCs/>
                <w:w w:val="95"/>
                <w:kern w:val="0"/>
                <w:sz w:val="28"/>
                <w:szCs w:val="28"/>
                <w:lang w:eastAsia="en-US"/>
              </w:rPr>
              <w:t>分值</w:t>
            </w:r>
          </w:p>
        </w:tc>
        <w:tc>
          <w:tcPr>
            <w:tcW w:w="1303" w:type="dxa"/>
            <w:vAlign w:val="center"/>
          </w:tcPr>
          <w:p>
            <w:pPr>
              <w:widowControl/>
              <w:spacing w:line="240" w:lineRule="atLeast"/>
              <w:jc w:val="center"/>
              <w:rPr>
                <w:rFonts w:ascii="黑体" w:hAnsi="黑体" w:eastAsia="黑体" w:cs="黑体"/>
                <w:bCs/>
                <w:w w:val="95"/>
                <w:kern w:val="0"/>
                <w:sz w:val="28"/>
                <w:szCs w:val="28"/>
                <w:lang w:eastAsia="en-US"/>
              </w:rPr>
            </w:pPr>
            <w:r>
              <w:rPr>
                <w:rFonts w:hint="eastAsia" w:ascii="黑体" w:hAnsi="黑体" w:eastAsia="黑体" w:cs="黑体"/>
                <w:bCs/>
                <w:w w:val="95"/>
                <w:kern w:val="0"/>
                <w:sz w:val="28"/>
                <w:szCs w:val="28"/>
              </w:rPr>
              <w:t>评价分值</w:t>
            </w:r>
          </w:p>
        </w:tc>
        <w:tc>
          <w:tcPr>
            <w:tcW w:w="1070" w:type="dxa"/>
            <w:vAlign w:val="center"/>
          </w:tcPr>
          <w:p>
            <w:pPr>
              <w:widowControl/>
              <w:spacing w:line="240" w:lineRule="atLeast"/>
              <w:jc w:val="center"/>
              <w:rPr>
                <w:rFonts w:ascii="黑体" w:hAnsi="黑体" w:eastAsia="黑体" w:cs="黑体"/>
                <w:bCs/>
                <w:w w:val="95"/>
                <w:kern w:val="0"/>
                <w:sz w:val="28"/>
                <w:szCs w:val="28"/>
              </w:rPr>
            </w:pPr>
            <w:r>
              <w:rPr>
                <w:rFonts w:hint="eastAsia" w:ascii="黑体" w:hAnsi="黑体" w:eastAsia="黑体" w:cs="黑体"/>
                <w:bCs/>
                <w:w w:val="95"/>
                <w:kern w:val="0"/>
                <w:sz w:val="28"/>
                <w:szCs w:val="28"/>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45" w:type="dxa"/>
            <w:vMerge w:val="restart"/>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rPr>
              <w:t>创新项</w:t>
            </w:r>
          </w:p>
          <w:p>
            <w:pPr>
              <w:widowControl/>
              <w:spacing w:line="240" w:lineRule="atLeast"/>
              <w:jc w:val="center"/>
              <w:rPr>
                <w:rFonts w:ascii="黑体" w:hAnsi="黑体" w:eastAsia="黑体" w:cs="黑体"/>
                <w:kern w:val="0"/>
              </w:rPr>
            </w:pPr>
            <w:r>
              <w:rPr>
                <w:rFonts w:hint="eastAsia" w:ascii="黑体" w:hAnsi="黑体" w:eastAsia="黑体" w:cs="黑体"/>
                <w:kern w:val="0"/>
              </w:rPr>
              <w:t>（</w:t>
            </w:r>
            <w:r>
              <w:rPr>
                <w:rFonts w:hint="eastAsia" w:ascii="黑体" w:hAnsi="黑体" w:eastAsia="黑体" w:cs="黑体"/>
                <w:kern w:val="0"/>
                <w:szCs w:val="22"/>
              </w:rPr>
              <w:t>8</w:t>
            </w:r>
            <w:r>
              <w:rPr>
                <w:rFonts w:hint="eastAsia" w:ascii="黑体" w:hAnsi="黑体" w:eastAsia="黑体" w:cs="黑体"/>
                <w:kern w:val="0"/>
              </w:rPr>
              <w:t>分）</w:t>
            </w:r>
          </w:p>
        </w:tc>
        <w:tc>
          <w:tcPr>
            <w:tcW w:w="2685" w:type="dxa"/>
            <w:gridSpan w:val="2"/>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rPr>
              <w:t>工程承包方式</w:t>
            </w:r>
          </w:p>
        </w:tc>
        <w:tc>
          <w:tcPr>
            <w:tcW w:w="4815" w:type="dxa"/>
            <w:shd w:val="clear" w:color="auto" w:fill="auto"/>
            <w:vAlign w:val="center"/>
          </w:tcPr>
          <w:p>
            <w:pPr>
              <w:autoSpaceDE w:val="0"/>
              <w:autoSpaceDN w:val="0"/>
              <w:snapToGrid w:val="0"/>
              <w:spacing w:line="240" w:lineRule="atLeast"/>
              <w:jc w:val="left"/>
              <w:rPr>
                <w:rFonts w:ascii="黑体" w:hAnsi="黑体" w:eastAsia="黑体" w:cs="黑体"/>
                <w:kern w:val="0"/>
              </w:rPr>
            </w:pPr>
            <w:r>
              <w:rPr>
                <w:rFonts w:hint="eastAsia" w:ascii="黑体" w:hAnsi="黑体" w:eastAsia="黑体" w:cs="黑体"/>
                <w:kern w:val="0"/>
              </w:rPr>
              <w:t>采用工程总承包（EPC）模式：</w:t>
            </w:r>
            <w:r>
              <w:rPr>
                <w:rFonts w:hint="eastAsia" w:ascii="黑体" w:hAnsi="黑体" w:eastAsia="黑体" w:cs="黑体"/>
                <w:kern w:val="0"/>
                <w:szCs w:val="20"/>
              </w:rPr>
              <w:t>提交建设工程总承包的单位与建设单位签订的合同</w:t>
            </w:r>
          </w:p>
        </w:tc>
        <w:tc>
          <w:tcPr>
            <w:tcW w:w="1305" w:type="dxa"/>
            <w:shd w:val="clear" w:color="auto" w:fill="auto"/>
            <w:vAlign w:val="center"/>
          </w:tcPr>
          <w:p>
            <w:pPr>
              <w:autoSpaceDE w:val="0"/>
              <w:autoSpaceDN w:val="0"/>
              <w:snapToGrid w:val="0"/>
              <w:spacing w:line="240" w:lineRule="atLeast"/>
              <w:jc w:val="center"/>
              <w:rPr>
                <w:rFonts w:ascii="黑体" w:hAnsi="黑体" w:eastAsia="黑体" w:cs="黑体"/>
                <w:kern w:val="0"/>
              </w:rPr>
            </w:pPr>
            <w:r>
              <w:rPr>
                <w:rFonts w:hint="eastAsia" w:ascii="黑体" w:hAnsi="黑体" w:eastAsia="黑体" w:cs="黑体"/>
                <w:kern w:val="0"/>
                <w:szCs w:val="22"/>
              </w:rPr>
              <w:t>2</w:t>
            </w:r>
          </w:p>
        </w:tc>
        <w:tc>
          <w:tcPr>
            <w:tcW w:w="1350" w:type="dxa"/>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rPr>
              <w:t>2</w:t>
            </w:r>
          </w:p>
        </w:tc>
        <w:tc>
          <w:tcPr>
            <w:tcW w:w="1303" w:type="dxa"/>
          </w:tcPr>
          <w:p>
            <w:pPr>
              <w:widowControl/>
              <w:spacing w:line="240" w:lineRule="atLeast"/>
              <w:jc w:val="center"/>
              <w:rPr>
                <w:rFonts w:ascii="黑体" w:hAnsi="黑体" w:eastAsia="黑体" w:cs="黑体"/>
                <w:kern w:val="0"/>
              </w:rPr>
            </w:pPr>
          </w:p>
        </w:tc>
        <w:tc>
          <w:tcPr>
            <w:tcW w:w="1070" w:type="dxa"/>
          </w:tcPr>
          <w:p>
            <w:pPr>
              <w:widowControl/>
              <w:spacing w:line="240" w:lineRule="atLeast"/>
              <w:jc w:val="center"/>
              <w:rPr>
                <w:rFonts w:ascii="黑体" w:hAnsi="黑体" w:eastAsia="黑体" w:cs="黑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45" w:type="dxa"/>
            <w:vMerge w:val="continue"/>
            <w:shd w:val="clear" w:color="auto" w:fill="auto"/>
            <w:vAlign w:val="center"/>
          </w:tcPr>
          <w:p>
            <w:pPr>
              <w:widowControl/>
              <w:spacing w:line="240" w:lineRule="atLeast"/>
              <w:jc w:val="center"/>
              <w:rPr>
                <w:rFonts w:ascii="黑体" w:hAnsi="黑体" w:eastAsia="黑体" w:cs="黑体"/>
                <w:kern w:val="0"/>
              </w:rPr>
            </w:pPr>
          </w:p>
        </w:tc>
        <w:tc>
          <w:tcPr>
            <w:tcW w:w="2685" w:type="dxa"/>
            <w:gridSpan w:val="2"/>
            <w:shd w:val="clear" w:color="auto" w:fill="auto"/>
            <w:vAlign w:val="center"/>
          </w:tcPr>
          <w:p>
            <w:pPr>
              <w:autoSpaceDE w:val="0"/>
              <w:autoSpaceDN w:val="0"/>
              <w:snapToGrid w:val="0"/>
              <w:spacing w:line="240" w:lineRule="atLeast"/>
              <w:jc w:val="center"/>
              <w:rPr>
                <w:rFonts w:ascii="黑体" w:hAnsi="黑体" w:eastAsia="黑体" w:cs="黑体"/>
                <w:kern w:val="0"/>
              </w:rPr>
            </w:pPr>
            <w:r>
              <w:rPr>
                <w:rFonts w:hint="eastAsia" w:ascii="黑体" w:hAnsi="黑体" w:eastAsia="黑体" w:cs="黑体"/>
                <w:kern w:val="0"/>
              </w:rPr>
              <w:t>装配式装修</w:t>
            </w:r>
          </w:p>
        </w:tc>
        <w:tc>
          <w:tcPr>
            <w:tcW w:w="4815" w:type="dxa"/>
            <w:shd w:val="clear" w:color="auto" w:fill="auto"/>
            <w:vAlign w:val="center"/>
          </w:tcPr>
          <w:p>
            <w:pPr>
              <w:autoSpaceDE w:val="0"/>
              <w:autoSpaceDN w:val="0"/>
              <w:snapToGrid w:val="0"/>
              <w:spacing w:line="240" w:lineRule="atLeast"/>
              <w:jc w:val="left"/>
              <w:rPr>
                <w:rFonts w:ascii="黑体" w:hAnsi="黑体" w:eastAsia="黑体" w:cs="黑体"/>
                <w:kern w:val="0"/>
                <w:szCs w:val="22"/>
              </w:rPr>
            </w:pPr>
            <w:r>
              <w:rPr>
                <w:rFonts w:hint="eastAsia" w:ascii="黑体" w:hAnsi="黑体" w:eastAsia="黑体" w:cs="黑体"/>
                <w:kern w:val="0"/>
                <w:szCs w:val="22"/>
              </w:rPr>
              <w:t>装配式建筑各功能区间（不含架空层、室外连廊、阳台、水电管井）的墙面、楼面、地面、顶面采用干式工法免湿作业装修。</w:t>
            </w:r>
          </w:p>
        </w:tc>
        <w:tc>
          <w:tcPr>
            <w:tcW w:w="1305" w:type="dxa"/>
            <w:shd w:val="clear" w:color="auto" w:fill="auto"/>
            <w:vAlign w:val="center"/>
          </w:tcPr>
          <w:p>
            <w:pPr>
              <w:autoSpaceDE w:val="0"/>
              <w:autoSpaceDN w:val="0"/>
              <w:snapToGrid w:val="0"/>
              <w:spacing w:line="240" w:lineRule="atLeast"/>
              <w:jc w:val="center"/>
              <w:rPr>
                <w:rFonts w:ascii="黑体" w:hAnsi="黑体" w:eastAsia="黑体" w:cs="黑体"/>
                <w:kern w:val="0"/>
                <w:szCs w:val="22"/>
              </w:rPr>
            </w:pPr>
            <w:r>
              <w:rPr>
                <w:rFonts w:hint="eastAsia" w:ascii="黑体" w:hAnsi="黑体" w:eastAsia="黑体" w:cs="黑体"/>
                <w:kern w:val="0"/>
                <w:szCs w:val="22"/>
              </w:rPr>
              <w:t>1</w:t>
            </w:r>
          </w:p>
        </w:tc>
        <w:tc>
          <w:tcPr>
            <w:tcW w:w="1350" w:type="dxa"/>
            <w:shd w:val="clear" w:color="auto" w:fill="auto"/>
            <w:vAlign w:val="center"/>
          </w:tcPr>
          <w:p>
            <w:pPr>
              <w:widowControl/>
              <w:spacing w:line="240" w:lineRule="atLeast"/>
              <w:jc w:val="center"/>
              <w:rPr>
                <w:rFonts w:ascii="黑体" w:hAnsi="黑体" w:eastAsia="黑体" w:cs="黑体"/>
                <w:kern w:val="0"/>
                <w:szCs w:val="22"/>
              </w:rPr>
            </w:pPr>
            <w:r>
              <w:rPr>
                <w:rFonts w:hint="eastAsia" w:ascii="黑体" w:hAnsi="黑体" w:eastAsia="黑体" w:cs="黑体"/>
                <w:kern w:val="0"/>
                <w:szCs w:val="22"/>
              </w:rPr>
              <w:t>1</w:t>
            </w:r>
          </w:p>
        </w:tc>
        <w:tc>
          <w:tcPr>
            <w:tcW w:w="1303" w:type="dxa"/>
          </w:tcPr>
          <w:p>
            <w:pPr>
              <w:widowControl/>
              <w:spacing w:line="240" w:lineRule="atLeast"/>
              <w:jc w:val="center"/>
              <w:rPr>
                <w:rFonts w:ascii="黑体" w:hAnsi="黑体" w:eastAsia="黑体" w:cs="黑体"/>
                <w:kern w:val="0"/>
                <w:szCs w:val="22"/>
                <w:lang w:eastAsia="en-US"/>
              </w:rPr>
            </w:pPr>
          </w:p>
        </w:tc>
        <w:tc>
          <w:tcPr>
            <w:tcW w:w="1070" w:type="dxa"/>
          </w:tcPr>
          <w:p>
            <w:pPr>
              <w:widowControl/>
              <w:spacing w:line="240" w:lineRule="atLeast"/>
              <w:jc w:val="center"/>
              <w:rPr>
                <w:rFonts w:ascii="黑体" w:hAnsi="黑体" w:eastAsia="黑体" w:cs="黑体"/>
                <w:kern w:val="0"/>
                <w:szCs w:val="22"/>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1145" w:type="dxa"/>
            <w:vMerge w:val="continue"/>
            <w:shd w:val="clear" w:color="auto" w:fill="auto"/>
            <w:vAlign w:val="center"/>
          </w:tcPr>
          <w:p>
            <w:pPr>
              <w:widowControl/>
              <w:spacing w:line="240" w:lineRule="atLeast"/>
              <w:jc w:val="center"/>
              <w:rPr>
                <w:rFonts w:ascii="黑体" w:hAnsi="黑体" w:eastAsia="黑体" w:cs="黑体"/>
                <w:kern w:val="0"/>
              </w:rPr>
            </w:pPr>
          </w:p>
        </w:tc>
        <w:tc>
          <w:tcPr>
            <w:tcW w:w="1290" w:type="dxa"/>
            <w:vMerge w:val="restart"/>
            <w:shd w:val="clear" w:color="auto" w:fill="auto"/>
            <w:vAlign w:val="center"/>
          </w:tcPr>
          <w:p>
            <w:pPr>
              <w:widowControl/>
              <w:spacing w:line="240" w:lineRule="atLeast"/>
              <w:jc w:val="center"/>
              <w:rPr>
                <w:rFonts w:ascii="黑体" w:hAnsi="黑体" w:eastAsia="黑体" w:cs="黑体"/>
                <w:kern w:val="0"/>
              </w:rPr>
            </w:pPr>
            <w:r>
              <w:rPr>
                <w:rFonts w:hint="eastAsia" w:ascii="黑体" w:hAnsi="黑体" w:eastAsia="黑体" w:cs="黑体"/>
                <w:kern w:val="0"/>
              </w:rPr>
              <w:t>信息化管理（含BIM技术）</w:t>
            </w:r>
          </w:p>
        </w:tc>
        <w:tc>
          <w:tcPr>
            <w:tcW w:w="1395" w:type="dxa"/>
            <w:vMerge w:val="restart"/>
            <w:shd w:val="clear" w:color="auto" w:fill="auto"/>
            <w:vAlign w:val="center"/>
          </w:tcPr>
          <w:p>
            <w:pPr>
              <w:autoSpaceDE w:val="0"/>
              <w:autoSpaceDN w:val="0"/>
              <w:snapToGrid w:val="0"/>
              <w:spacing w:line="240" w:lineRule="atLeast"/>
              <w:jc w:val="center"/>
              <w:rPr>
                <w:rFonts w:ascii="黑体" w:hAnsi="黑体" w:eastAsia="黑体" w:cs="黑体"/>
                <w:kern w:val="0"/>
              </w:rPr>
            </w:pPr>
            <w:r>
              <w:rPr>
                <w:rFonts w:hint="eastAsia" w:ascii="黑体" w:hAnsi="黑体" w:eastAsia="黑体" w:cs="黑体"/>
              </w:rPr>
              <w:t>设计阶段</w:t>
            </w:r>
          </w:p>
        </w:tc>
        <w:tc>
          <w:tcPr>
            <w:tcW w:w="4815" w:type="dxa"/>
            <w:shd w:val="clear" w:color="auto" w:fill="auto"/>
            <w:vAlign w:val="center"/>
          </w:tcPr>
          <w:p>
            <w:pPr>
              <w:autoSpaceDE w:val="0"/>
              <w:autoSpaceDN w:val="0"/>
              <w:snapToGrid w:val="0"/>
              <w:spacing w:line="240" w:lineRule="atLeast"/>
              <w:jc w:val="center"/>
              <w:rPr>
                <w:rFonts w:ascii="黑体" w:hAnsi="黑体" w:eastAsia="黑体" w:cs="黑体"/>
                <w:kern w:val="0"/>
                <w:szCs w:val="22"/>
              </w:rPr>
            </w:pPr>
            <w:r>
              <w:rPr>
                <w:rFonts w:hint="eastAsia" w:ascii="黑体" w:hAnsi="黑体" w:eastAsia="黑体" w:cs="黑体"/>
                <w:kern w:val="0"/>
                <w:szCs w:val="20"/>
              </w:rPr>
              <w:t>节点设计 □是 □否</w:t>
            </w:r>
          </w:p>
        </w:tc>
        <w:tc>
          <w:tcPr>
            <w:tcW w:w="1305" w:type="dxa"/>
            <w:shd w:val="clear" w:color="auto" w:fill="auto"/>
            <w:vAlign w:val="center"/>
          </w:tcPr>
          <w:p>
            <w:pPr>
              <w:autoSpaceDE w:val="0"/>
              <w:autoSpaceDN w:val="0"/>
              <w:snapToGrid w:val="0"/>
              <w:spacing w:line="240" w:lineRule="atLeast"/>
              <w:jc w:val="center"/>
              <w:rPr>
                <w:rFonts w:ascii="黑体" w:hAnsi="黑体" w:eastAsia="黑体" w:cs="黑体"/>
                <w:kern w:val="0"/>
                <w:szCs w:val="22"/>
              </w:rPr>
            </w:pPr>
            <w:r>
              <w:rPr>
                <w:rFonts w:hint="eastAsia" w:ascii="黑体" w:hAnsi="黑体" w:eastAsia="黑体" w:cs="黑体"/>
                <w:kern w:val="0"/>
                <w:szCs w:val="22"/>
              </w:rPr>
              <w:t>0.5</w:t>
            </w:r>
          </w:p>
        </w:tc>
        <w:tc>
          <w:tcPr>
            <w:tcW w:w="1350" w:type="dxa"/>
            <w:vMerge w:val="restart"/>
            <w:shd w:val="clear" w:color="auto" w:fill="auto"/>
            <w:vAlign w:val="center"/>
          </w:tcPr>
          <w:p>
            <w:pPr>
              <w:widowControl/>
              <w:spacing w:line="240" w:lineRule="atLeast"/>
              <w:jc w:val="center"/>
              <w:rPr>
                <w:rFonts w:ascii="黑体" w:hAnsi="黑体" w:eastAsia="黑体" w:cs="黑体"/>
                <w:kern w:val="0"/>
                <w:szCs w:val="22"/>
              </w:rPr>
            </w:pPr>
            <w:r>
              <w:rPr>
                <w:rFonts w:ascii="黑体" w:hAnsi="黑体" w:eastAsia="黑体" w:cs="黑体"/>
                <w:kern w:val="0"/>
                <w:szCs w:val="22"/>
              </w:rPr>
              <w:t>1</w:t>
            </w:r>
          </w:p>
        </w:tc>
        <w:tc>
          <w:tcPr>
            <w:tcW w:w="1303" w:type="dxa"/>
            <w:vMerge w:val="restart"/>
          </w:tcPr>
          <w:p>
            <w:pPr>
              <w:widowControl/>
              <w:spacing w:line="240" w:lineRule="atLeast"/>
              <w:jc w:val="center"/>
              <w:rPr>
                <w:rFonts w:ascii="黑体" w:hAnsi="黑体" w:eastAsia="黑体" w:cs="黑体"/>
                <w:kern w:val="0"/>
                <w:szCs w:val="22"/>
                <w:lang w:eastAsia="en-US"/>
              </w:rPr>
            </w:pPr>
          </w:p>
        </w:tc>
        <w:tc>
          <w:tcPr>
            <w:tcW w:w="1070" w:type="dxa"/>
            <w:vMerge w:val="restart"/>
          </w:tcPr>
          <w:p>
            <w:pPr>
              <w:widowControl/>
              <w:spacing w:line="240" w:lineRule="atLeast"/>
              <w:jc w:val="center"/>
              <w:rPr>
                <w:rFonts w:ascii="黑体" w:hAnsi="黑体" w:eastAsia="黑体" w:cs="黑体"/>
                <w:kern w:val="0"/>
                <w:szCs w:val="22"/>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1145" w:type="dxa"/>
            <w:vMerge w:val="continue"/>
            <w:shd w:val="clear" w:color="auto" w:fill="auto"/>
            <w:vAlign w:val="center"/>
          </w:tcPr>
          <w:p>
            <w:pPr>
              <w:widowControl/>
              <w:spacing w:line="240" w:lineRule="atLeast"/>
              <w:jc w:val="center"/>
              <w:rPr>
                <w:rFonts w:ascii="黑体" w:hAnsi="黑体" w:eastAsia="黑体" w:cs="黑体"/>
                <w:kern w:val="0"/>
              </w:rPr>
            </w:pPr>
          </w:p>
        </w:tc>
        <w:tc>
          <w:tcPr>
            <w:tcW w:w="129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395"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4815" w:type="dxa"/>
            <w:shd w:val="clear" w:color="auto" w:fill="auto"/>
            <w:vAlign w:val="center"/>
          </w:tcPr>
          <w:p>
            <w:pPr>
              <w:autoSpaceDE w:val="0"/>
              <w:autoSpaceDN w:val="0"/>
              <w:snapToGrid w:val="0"/>
              <w:spacing w:line="240" w:lineRule="atLeast"/>
              <w:jc w:val="center"/>
              <w:rPr>
                <w:rFonts w:ascii="黑体" w:hAnsi="黑体" w:eastAsia="黑体" w:cs="黑体"/>
                <w:kern w:val="0"/>
              </w:rPr>
            </w:pPr>
            <w:r>
              <w:rPr>
                <w:rFonts w:hint="eastAsia" w:ascii="黑体" w:hAnsi="黑体" w:eastAsia="黑体" w:cs="黑体"/>
                <w:kern w:val="0"/>
                <w:szCs w:val="20"/>
              </w:rPr>
              <w:t>碰撞检测 □是 □否</w:t>
            </w:r>
          </w:p>
        </w:tc>
        <w:tc>
          <w:tcPr>
            <w:tcW w:w="1305" w:type="dxa"/>
            <w:shd w:val="clear" w:color="auto" w:fill="auto"/>
            <w:vAlign w:val="center"/>
          </w:tcPr>
          <w:p>
            <w:pPr>
              <w:autoSpaceDE w:val="0"/>
              <w:autoSpaceDN w:val="0"/>
              <w:snapToGrid w:val="0"/>
              <w:spacing w:line="240" w:lineRule="atLeast"/>
              <w:jc w:val="center"/>
              <w:rPr>
                <w:rFonts w:ascii="黑体" w:hAnsi="黑体" w:eastAsia="黑体" w:cs="黑体"/>
                <w:kern w:val="0"/>
                <w:szCs w:val="22"/>
              </w:rPr>
            </w:pPr>
            <w:r>
              <w:rPr>
                <w:rFonts w:hint="eastAsia" w:ascii="黑体" w:hAnsi="黑体" w:eastAsia="黑体" w:cs="黑体"/>
                <w:kern w:val="0"/>
                <w:szCs w:val="22"/>
              </w:rPr>
              <w:t>0.5</w:t>
            </w:r>
          </w:p>
        </w:tc>
        <w:tc>
          <w:tcPr>
            <w:tcW w:w="1350" w:type="dxa"/>
            <w:vMerge w:val="continue"/>
            <w:shd w:val="clear" w:color="auto" w:fill="auto"/>
            <w:vAlign w:val="center"/>
          </w:tcPr>
          <w:p>
            <w:pPr>
              <w:widowControl/>
              <w:spacing w:line="240" w:lineRule="atLeast"/>
              <w:jc w:val="center"/>
              <w:rPr>
                <w:rFonts w:ascii="黑体" w:hAnsi="黑体" w:eastAsia="黑体" w:cs="黑体"/>
                <w:kern w:val="0"/>
                <w:szCs w:val="22"/>
                <w:lang w:eastAsia="en-US"/>
              </w:rPr>
            </w:pPr>
          </w:p>
        </w:tc>
        <w:tc>
          <w:tcPr>
            <w:tcW w:w="1303" w:type="dxa"/>
            <w:vMerge w:val="continue"/>
          </w:tcPr>
          <w:p>
            <w:pPr>
              <w:widowControl/>
              <w:spacing w:line="240" w:lineRule="atLeast"/>
              <w:jc w:val="center"/>
              <w:rPr>
                <w:rFonts w:ascii="黑体" w:hAnsi="黑体" w:eastAsia="黑体" w:cs="黑体"/>
                <w:kern w:val="0"/>
                <w:szCs w:val="22"/>
                <w:lang w:eastAsia="en-US"/>
              </w:rPr>
            </w:pPr>
          </w:p>
        </w:tc>
        <w:tc>
          <w:tcPr>
            <w:tcW w:w="1070" w:type="dxa"/>
            <w:vMerge w:val="continue"/>
          </w:tcPr>
          <w:p>
            <w:pPr>
              <w:widowControl/>
              <w:spacing w:line="240" w:lineRule="atLeast"/>
              <w:jc w:val="center"/>
              <w:rPr>
                <w:rFonts w:ascii="黑体" w:hAnsi="黑体" w:eastAsia="黑体" w:cs="黑体"/>
                <w:kern w:val="0"/>
                <w:szCs w:val="22"/>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1145" w:type="dxa"/>
            <w:vMerge w:val="continue"/>
            <w:shd w:val="clear" w:color="auto" w:fill="auto"/>
            <w:vAlign w:val="center"/>
          </w:tcPr>
          <w:p>
            <w:pPr>
              <w:widowControl/>
              <w:spacing w:line="240" w:lineRule="atLeast"/>
              <w:jc w:val="center"/>
              <w:rPr>
                <w:rFonts w:ascii="黑体" w:hAnsi="黑体" w:eastAsia="黑体" w:cs="黑体"/>
                <w:kern w:val="0"/>
              </w:rPr>
            </w:pPr>
          </w:p>
        </w:tc>
        <w:tc>
          <w:tcPr>
            <w:tcW w:w="129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395"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4815" w:type="dxa"/>
            <w:shd w:val="clear" w:color="auto" w:fill="auto"/>
            <w:vAlign w:val="center"/>
          </w:tcPr>
          <w:p>
            <w:pPr>
              <w:autoSpaceDE w:val="0"/>
              <w:autoSpaceDN w:val="0"/>
              <w:snapToGrid w:val="0"/>
              <w:spacing w:line="240" w:lineRule="atLeast"/>
              <w:jc w:val="center"/>
              <w:rPr>
                <w:rFonts w:ascii="黑体" w:hAnsi="黑体" w:eastAsia="黑体" w:cs="黑体"/>
              </w:rPr>
            </w:pPr>
            <w:r>
              <w:rPr>
                <w:rFonts w:hint="eastAsia" w:ascii="黑体" w:hAnsi="黑体" w:eastAsia="黑体" w:cs="黑体"/>
                <w:kern w:val="0"/>
                <w:szCs w:val="20"/>
              </w:rPr>
              <w:t>工程量清单 □是 □否</w:t>
            </w:r>
          </w:p>
        </w:tc>
        <w:tc>
          <w:tcPr>
            <w:tcW w:w="1305" w:type="dxa"/>
            <w:shd w:val="clear" w:color="auto" w:fill="auto"/>
            <w:vAlign w:val="center"/>
          </w:tcPr>
          <w:p>
            <w:pPr>
              <w:autoSpaceDE w:val="0"/>
              <w:autoSpaceDN w:val="0"/>
              <w:snapToGrid w:val="0"/>
              <w:spacing w:line="240" w:lineRule="atLeast"/>
              <w:jc w:val="center"/>
              <w:rPr>
                <w:rFonts w:ascii="黑体" w:hAnsi="黑体" w:eastAsia="黑体" w:cs="黑体"/>
                <w:kern w:val="0"/>
                <w:szCs w:val="22"/>
              </w:rPr>
            </w:pPr>
            <w:r>
              <w:rPr>
                <w:rFonts w:hint="eastAsia" w:ascii="黑体" w:hAnsi="黑体" w:eastAsia="黑体" w:cs="黑体"/>
                <w:kern w:val="0"/>
                <w:szCs w:val="22"/>
              </w:rPr>
              <w:t>0.5</w:t>
            </w:r>
          </w:p>
        </w:tc>
        <w:tc>
          <w:tcPr>
            <w:tcW w:w="1350" w:type="dxa"/>
            <w:vMerge w:val="continue"/>
            <w:shd w:val="clear" w:color="auto" w:fill="auto"/>
            <w:vAlign w:val="center"/>
          </w:tcPr>
          <w:p>
            <w:pPr>
              <w:widowControl/>
              <w:spacing w:line="240" w:lineRule="atLeast"/>
              <w:jc w:val="center"/>
              <w:rPr>
                <w:rFonts w:ascii="黑体" w:hAnsi="黑体" w:eastAsia="黑体" w:cs="黑体"/>
                <w:kern w:val="0"/>
                <w:szCs w:val="22"/>
                <w:lang w:eastAsia="en-US"/>
              </w:rPr>
            </w:pPr>
          </w:p>
        </w:tc>
        <w:tc>
          <w:tcPr>
            <w:tcW w:w="1303" w:type="dxa"/>
            <w:vMerge w:val="continue"/>
          </w:tcPr>
          <w:p>
            <w:pPr>
              <w:widowControl/>
              <w:spacing w:line="240" w:lineRule="atLeast"/>
              <w:jc w:val="center"/>
              <w:rPr>
                <w:rFonts w:ascii="黑体" w:hAnsi="黑体" w:eastAsia="黑体" w:cs="黑体"/>
                <w:kern w:val="0"/>
                <w:szCs w:val="22"/>
                <w:lang w:eastAsia="en-US"/>
              </w:rPr>
            </w:pPr>
          </w:p>
        </w:tc>
        <w:tc>
          <w:tcPr>
            <w:tcW w:w="1070" w:type="dxa"/>
            <w:vMerge w:val="continue"/>
          </w:tcPr>
          <w:p>
            <w:pPr>
              <w:widowControl/>
              <w:spacing w:line="240" w:lineRule="atLeast"/>
              <w:jc w:val="center"/>
              <w:rPr>
                <w:rFonts w:ascii="黑体" w:hAnsi="黑体" w:eastAsia="黑体" w:cs="黑体"/>
                <w:kern w:val="0"/>
                <w:szCs w:val="22"/>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1145" w:type="dxa"/>
            <w:vMerge w:val="continue"/>
            <w:shd w:val="clear" w:color="auto" w:fill="auto"/>
            <w:vAlign w:val="center"/>
          </w:tcPr>
          <w:p>
            <w:pPr>
              <w:widowControl/>
              <w:spacing w:line="240" w:lineRule="atLeast"/>
              <w:jc w:val="center"/>
              <w:rPr>
                <w:rFonts w:ascii="黑体" w:hAnsi="黑体" w:eastAsia="黑体" w:cs="黑体"/>
                <w:kern w:val="0"/>
              </w:rPr>
            </w:pPr>
          </w:p>
        </w:tc>
        <w:tc>
          <w:tcPr>
            <w:tcW w:w="129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395"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4815" w:type="dxa"/>
            <w:shd w:val="clear" w:color="auto" w:fill="auto"/>
            <w:vAlign w:val="center"/>
          </w:tcPr>
          <w:p>
            <w:pPr>
              <w:autoSpaceDE w:val="0"/>
              <w:autoSpaceDN w:val="0"/>
              <w:snapToGrid w:val="0"/>
              <w:spacing w:line="240" w:lineRule="atLeast"/>
              <w:jc w:val="center"/>
              <w:rPr>
                <w:rFonts w:ascii="黑体" w:hAnsi="黑体" w:eastAsia="黑体" w:cs="黑体"/>
              </w:rPr>
            </w:pPr>
            <w:r>
              <w:rPr>
                <w:rFonts w:hint="eastAsia" w:ascii="黑体" w:hAnsi="黑体" w:eastAsia="黑体" w:cs="黑体"/>
                <w:kern w:val="0"/>
                <w:szCs w:val="20"/>
              </w:rPr>
              <w:t>可视化展示 □是 □否</w:t>
            </w:r>
          </w:p>
        </w:tc>
        <w:tc>
          <w:tcPr>
            <w:tcW w:w="1305" w:type="dxa"/>
            <w:shd w:val="clear" w:color="auto" w:fill="auto"/>
            <w:vAlign w:val="center"/>
          </w:tcPr>
          <w:p>
            <w:pPr>
              <w:autoSpaceDE w:val="0"/>
              <w:autoSpaceDN w:val="0"/>
              <w:snapToGrid w:val="0"/>
              <w:spacing w:line="240" w:lineRule="atLeast"/>
              <w:jc w:val="center"/>
              <w:rPr>
                <w:rFonts w:ascii="黑体" w:hAnsi="黑体" w:eastAsia="黑体" w:cs="黑体"/>
                <w:kern w:val="0"/>
                <w:szCs w:val="22"/>
              </w:rPr>
            </w:pPr>
            <w:r>
              <w:rPr>
                <w:rFonts w:hint="eastAsia" w:ascii="黑体" w:hAnsi="黑体" w:eastAsia="黑体" w:cs="黑体"/>
                <w:kern w:val="0"/>
                <w:szCs w:val="22"/>
              </w:rPr>
              <w:t>0.5</w:t>
            </w:r>
          </w:p>
        </w:tc>
        <w:tc>
          <w:tcPr>
            <w:tcW w:w="1350" w:type="dxa"/>
            <w:vMerge w:val="continue"/>
            <w:shd w:val="clear" w:color="auto" w:fill="auto"/>
            <w:vAlign w:val="center"/>
          </w:tcPr>
          <w:p>
            <w:pPr>
              <w:widowControl/>
              <w:spacing w:line="240" w:lineRule="atLeast"/>
              <w:jc w:val="center"/>
              <w:rPr>
                <w:rFonts w:ascii="黑体" w:hAnsi="黑体" w:eastAsia="黑体" w:cs="黑体"/>
                <w:kern w:val="0"/>
                <w:szCs w:val="22"/>
              </w:rPr>
            </w:pPr>
          </w:p>
        </w:tc>
        <w:tc>
          <w:tcPr>
            <w:tcW w:w="1303" w:type="dxa"/>
            <w:vMerge w:val="continue"/>
          </w:tcPr>
          <w:p>
            <w:pPr>
              <w:widowControl/>
              <w:spacing w:line="240" w:lineRule="atLeast"/>
              <w:jc w:val="center"/>
              <w:rPr>
                <w:rFonts w:ascii="黑体" w:hAnsi="黑体" w:eastAsia="黑体" w:cs="黑体"/>
                <w:kern w:val="0"/>
                <w:szCs w:val="22"/>
              </w:rPr>
            </w:pPr>
          </w:p>
        </w:tc>
        <w:tc>
          <w:tcPr>
            <w:tcW w:w="1070" w:type="dxa"/>
            <w:vMerge w:val="continue"/>
          </w:tcPr>
          <w:p>
            <w:pPr>
              <w:widowControl/>
              <w:spacing w:line="240" w:lineRule="atLeast"/>
              <w:jc w:val="center"/>
              <w:rPr>
                <w:rFonts w:ascii="黑体" w:hAnsi="黑体" w:eastAsia="黑体" w:cs="黑体"/>
                <w:kern w:val="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1145" w:type="dxa"/>
            <w:vMerge w:val="continue"/>
            <w:shd w:val="clear" w:color="auto" w:fill="auto"/>
            <w:vAlign w:val="center"/>
          </w:tcPr>
          <w:p>
            <w:pPr>
              <w:widowControl/>
              <w:spacing w:line="240" w:lineRule="atLeast"/>
              <w:jc w:val="center"/>
              <w:rPr>
                <w:rFonts w:ascii="黑体" w:hAnsi="黑体" w:eastAsia="黑体" w:cs="黑体"/>
                <w:kern w:val="0"/>
              </w:rPr>
            </w:pPr>
          </w:p>
        </w:tc>
        <w:tc>
          <w:tcPr>
            <w:tcW w:w="129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395"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4815" w:type="dxa"/>
            <w:shd w:val="clear" w:color="auto" w:fill="auto"/>
            <w:vAlign w:val="center"/>
          </w:tcPr>
          <w:p>
            <w:pPr>
              <w:autoSpaceDE w:val="0"/>
              <w:autoSpaceDN w:val="0"/>
              <w:snapToGrid w:val="0"/>
              <w:spacing w:line="240" w:lineRule="atLeast"/>
              <w:jc w:val="center"/>
              <w:rPr>
                <w:rFonts w:ascii="黑体" w:hAnsi="黑体" w:eastAsia="黑体" w:cs="黑体"/>
              </w:rPr>
            </w:pPr>
            <w:r>
              <w:rPr>
                <w:rFonts w:hint="eastAsia" w:ascii="黑体" w:hAnsi="黑体" w:eastAsia="黑体" w:cs="黑体"/>
                <w:kern w:val="0"/>
                <w:szCs w:val="20"/>
              </w:rPr>
              <w:t>管线综合 □是 □否</w:t>
            </w:r>
          </w:p>
        </w:tc>
        <w:tc>
          <w:tcPr>
            <w:tcW w:w="1305" w:type="dxa"/>
            <w:shd w:val="clear" w:color="auto" w:fill="auto"/>
            <w:vAlign w:val="center"/>
          </w:tcPr>
          <w:p>
            <w:pPr>
              <w:autoSpaceDE w:val="0"/>
              <w:autoSpaceDN w:val="0"/>
              <w:snapToGrid w:val="0"/>
              <w:spacing w:line="240" w:lineRule="atLeast"/>
              <w:jc w:val="center"/>
              <w:rPr>
                <w:rFonts w:ascii="黑体" w:hAnsi="黑体" w:eastAsia="黑体" w:cs="黑体"/>
                <w:kern w:val="0"/>
                <w:szCs w:val="22"/>
              </w:rPr>
            </w:pPr>
            <w:r>
              <w:rPr>
                <w:rFonts w:hint="eastAsia" w:ascii="黑体" w:hAnsi="黑体" w:eastAsia="黑体" w:cs="黑体"/>
                <w:kern w:val="0"/>
                <w:szCs w:val="22"/>
              </w:rPr>
              <w:t>0.5</w:t>
            </w:r>
          </w:p>
        </w:tc>
        <w:tc>
          <w:tcPr>
            <w:tcW w:w="1350" w:type="dxa"/>
            <w:vMerge w:val="continue"/>
            <w:shd w:val="clear" w:color="auto" w:fill="auto"/>
            <w:vAlign w:val="center"/>
          </w:tcPr>
          <w:p>
            <w:pPr>
              <w:widowControl/>
              <w:spacing w:line="240" w:lineRule="atLeast"/>
              <w:jc w:val="center"/>
              <w:rPr>
                <w:rFonts w:ascii="黑体" w:hAnsi="黑体" w:eastAsia="黑体" w:cs="黑体"/>
                <w:kern w:val="0"/>
                <w:szCs w:val="22"/>
              </w:rPr>
            </w:pPr>
          </w:p>
        </w:tc>
        <w:tc>
          <w:tcPr>
            <w:tcW w:w="1303" w:type="dxa"/>
            <w:vMerge w:val="continue"/>
          </w:tcPr>
          <w:p>
            <w:pPr>
              <w:widowControl/>
              <w:spacing w:line="240" w:lineRule="atLeast"/>
              <w:jc w:val="center"/>
              <w:rPr>
                <w:rFonts w:ascii="黑体" w:hAnsi="黑体" w:eastAsia="黑体" w:cs="黑体"/>
                <w:kern w:val="0"/>
                <w:szCs w:val="22"/>
              </w:rPr>
            </w:pPr>
          </w:p>
        </w:tc>
        <w:tc>
          <w:tcPr>
            <w:tcW w:w="1070" w:type="dxa"/>
            <w:vMerge w:val="continue"/>
          </w:tcPr>
          <w:p>
            <w:pPr>
              <w:widowControl/>
              <w:spacing w:line="240" w:lineRule="atLeast"/>
              <w:jc w:val="center"/>
              <w:rPr>
                <w:rFonts w:ascii="黑体" w:hAnsi="黑体" w:eastAsia="黑体" w:cs="黑体"/>
                <w:kern w:val="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1145" w:type="dxa"/>
            <w:vMerge w:val="continue"/>
            <w:shd w:val="clear" w:color="auto" w:fill="auto"/>
            <w:vAlign w:val="center"/>
          </w:tcPr>
          <w:p>
            <w:pPr>
              <w:widowControl/>
              <w:spacing w:line="240" w:lineRule="atLeast"/>
              <w:jc w:val="center"/>
              <w:rPr>
                <w:rFonts w:ascii="黑体" w:hAnsi="黑体" w:eastAsia="黑体" w:cs="黑体"/>
                <w:kern w:val="0"/>
              </w:rPr>
            </w:pPr>
          </w:p>
        </w:tc>
        <w:tc>
          <w:tcPr>
            <w:tcW w:w="129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395"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4815" w:type="dxa"/>
            <w:shd w:val="clear" w:color="auto" w:fill="auto"/>
            <w:vAlign w:val="center"/>
          </w:tcPr>
          <w:p>
            <w:pPr>
              <w:autoSpaceDE w:val="0"/>
              <w:autoSpaceDN w:val="0"/>
              <w:snapToGrid w:val="0"/>
              <w:spacing w:line="240" w:lineRule="atLeast"/>
              <w:jc w:val="center"/>
              <w:rPr>
                <w:rFonts w:ascii="黑体" w:hAnsi="黑体" w:eastAsia="黑体" w:cs="黑体"/>
              </w:rPr>
            </w:pPr>
            <w:r>
              <w:rPr>
                <w:rFonts w:hint="eastAsia" w:ascii="黑体" w:hAnsi="黑体" w:eastAsia="黑体" w:cs="黑体"/>
                <w:kern w:val="0"/>
                <w:szCs w:val="20"/>
              </w:rPr>
              <w:t>三维模型交付 □是 □否</w:t>
            </w:r>
          </w:p>
        </w:tc>
        <w:tc>
          <w:tcPr>
            <w:tcW w:w="1305" w:type="dxa"/>
            <w:shd w:val="clear" w:color="auto" w:fill="auto"/>
            <w:vAlign w:val="center"/>
          </w:tcPr>
          <w:p>
            <w:pPr>
              <w:autoSpaceDE w:val="0"/>
              <w:autoSpaceDN w:val="0"/>
              <w:snapToGrid w:val="0"/>
              <w:spacing w:line="240" w:lineRule="atLeast"/>
              <w:jc w:val="center"/>
              <w:rPr>
                <w:rFonts w:ascii="黑体" w:hAnsi="黑体" w:eastAsia="黑体" w:cs="黑体"/>
                <w:kern w:val="0"/>
                <w:szCs w:val="22"/>
              </w:rPr>
            </w:pPr>
            <w:r>
              <w:rPr>
                <w:rFonts w:hint="eastAsia" w:ascii="黑体" w:hAnsi="黑体" w:eastAsia="黑体" w:cs="黑体"/>
                <w:kern w:val="0"/>
                <w:szCs w:val="22"/>
              </w:rPr>
              <w:t>0.5</w:t>
            </w:r>
          </w:p>
        </w:tc>
        <w:tc>
          <w:tcPr>
            <w:tcW w:w="1350" w:type="dxa"/>
            <w:vMerge w:val="continue"/>
            <w:shd w:val="clear" w:color="auto" w:fill="auto"/>
            <w:vAlign w:val="center"/>
          </w:tcPr>
          <w:p>
            <w:pPr>
              <w:widowControl/>
              <w:spacing w:line="240" w:lineRule="atLeast"/>
              <w:jc w:val="center"/>
              <w:rPr>
                <w:rFonts w:ascii="黑体" w:hAnsi="黑体" w:eastAsia="黑体" w:cs="黑体"/>
                <w:kern w:val="0"/>
                <w:szCs w:val="22"/>
              </w:rPr>
            </w:pPr>
          </w:p>
        </w:tc>
        <w:tc>
          <w:tcPr>
            <w:tcW w:w="1303" w:type="dxa"/>
            <w:vMerge w:val="continue"/>
          </w:tcPr>
          <w:p>
            <w:pPr>
              <w:widowControl/>
              <w:spacing w:line="240" w:lineRule="atLeast"/>
              <w:jc w:val="center"/>
              <w:rPr>
                <w:rFonts w:ascii="黑体" w:hAnsi="黑体" w:eastAsia="黑体" w:cs="黑体"/>
                <w:kern w:val="0"/>
                <w:szCs w:val="22"/>
              </w:rPr>
            </w:pPr>
          </w:p>
        </w:tc>
        <w:tc>
          <w:tcPr>
            <w:tcW w:w="1070" w:type="dxa"/>
            <w:vMerge w:val="continue"/>
          </w:tcPr>
          <w:p>
            <w:pPr>
              <w:widowControl/>
              <w:spacing w:line="240" w:lineRule="atLeast"/>
              <w:jc w:val="center"/>
              <w:rPr>
                <w:rFonts w:ascii="黑体" w:hAnsi="黑体" w:eastAsia="黑体" w:cs="黑体"/>
                <w:kern w:val="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1145" w:type="dxa"/>
            <w:vMerge w:val="continue"/>
            <w:shd w:val="clear" w:color="auto" w:fill="auto"/>
            <w:vAlign w:val="center"/>
          </w:tcPr>
          <w:p>
            <w:pPr>
              <w:widowControl/>
              <w:spacing w:line="240" w:lineRule="atLeast"/>
              <w:jc w:val="center"/>
              <w:rPr>
                <w:rFonts w:ascii="黑体" w:hAnsi="黑体" w:eastAsia="黑体" w:cs="黑体"/>
                <w:kern w:val="0"/>
              </w:rPr>
            </w:pPr>
          </w:p>
        </w:tc>
        <w:tc>
          <w:tcPr>
            <w:tcW w:w="129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395"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4815" w:type="dxa"/>
            <w:shd w:val="clear" w:color="auto" w:fill="auto"/>
            <w:vAlign w:val="center"/>
          </w:tcPr>
          <w:p>
            <w:pPr>
              <w:autoSpaceDE w:val="0"/>
              <w:autoSpaceDN w:val="0"/>
              <w:snapToGrid w:val="0"/>
              <w:spacing w:line="240" w:lineRule="atLeast"/>
              <w:jc w:val="center"/>
              <w:rPr>
                <w:rFonts w:ascii="黑体" w:hAnsi="黑体" w:eastAsia="黑体" w:cs="黑体"/>
              </w:rPr>
            </w:pPr>
            <w:r>
              <w:rPr>
                <w:rFonts w:hint="eastAsia" w:ascii="黑体" w:hAnsi="黑体" w:eastAsia="黑体" w:cs="黑体"/>
                <w:kern w:val="0"/>
                <w:szCs w:val="20"/>
              </w:rPr>
              <w:t>正向设计出图 □是 □否</w:t>
            </w:r>
          </w:p>
        </w:tc>
        <w:tc>
          <w:tcPr>
            <w:tcW w:w="1305" w:type="dxa"/>
            <w:shd w:val="clear" w:color="auto" w:fill="auto"/>
            <w:vAlign w:val="center"/>
          </w:tcPr>
          <w:p>
            <w:pPr>
              <w:autoSpaceDE w:val="0"/>
              <w:autoSpaceDN w:val="0"/>
              <w:snapToGrid w:val="0"/>
              <w:spacing w:line="240" w:lineRule="atLeast"/>
              <w:jc w:val="center"/>
              <w:rPr>
                <w:rFonts w:ascii="黑体" w:hAnsi="黑体" w:eastAsia="黑体" w:cs="黑体"/>
                <w:kern w:val="0"/>
                <w:szCs w:val="22"/>
              </w:rPr>
            </w:pPr>
            <w:r>
              <w:rPr>
                <w:rFonts w:hint="eastAsia" w:ascii="黑体" w:hAnsi="黑体" w:eastAsia="黑体" w:cs="黑体"/>
                <w:kern w:val="0"/>
                <w:szCs w:val="22"/>
              </w:rPr>
              <w:t>0.5</w:t>
            </w:r>
          </w:p>
        </w:tc>
        <w:tc>
          <w:tcPr>
            <w:tcW w:w="1350" w:type="dxa"/>
            <w:vMerge w:val="continue"/>
            <w:shd w:val="clear" w:color="auto" w:fill="auto"/>
            <w:vAlign w:val="center"/>
          </w:tcPr>
          <w:p>
            <w:pPr>
              <w:widowControl/>
              <w:spacing w:line="240" w:lineRule="atLeast"/>
              <w:jc w:val="center"/>
              <w:rPr>
                <w:rFonts w:ascii="黑体" w:hAnsi="黑体" w:eastAsia="黑体" w:cs="黑体"/>
                <w:kern w:val="0"/>
                <w:szCs w:val="22"/>
              </w:rPr>
            </w:pPr>
          </w:p>
        </w:tc>
        <w:tc>
          <w:tcPr>
            <w:tcW w:w="1303" w:type="dxa"/>
            <w:vMerge w:val="continue"/>
          </w:tcPr>
          <w:p>
            <w:pPr>
              <w:widowControl/>
              <w:spacing w:line="240" w:lineRule="atLeast"/>
              <w:jc w:val="center"/>
              <w:rPr>
                <w:rFonts w:ascii="黑体" w:hAnsi="黑体" w:eastAsia="黑体" w:cs="黑体"/>
                <w:kern w:val="0"/>
                <w:szCs w:val="22"/>
              </w:rPr>
            </w:pPr>
          </w:p>
        </w:tc>
        <w:tc>
          <w:tcPr>
            <w:tcW w:w="1070" w:type="dxa"/>
            <w:vMerge w:val="continue"/>
          </w:tcPr>
          <w:p>
            <w:pPr>
              <w:widowControl/>
              <w:spacing w:line="240" w:lineRule="atLeast"/>
              <w:jc w:val="center"/>
              <w:rPr>
                <w:rFonts w:ascii="黑体" w:hAnsi="黑体" w:eastAsia="黑体" w:cs="黑体"/>
                <w:kern w:val="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145" w:type="dxa"/>
            <w:vMerge w:val="continue"/>
            <w:shd w:val="clear" w:color="auto" w:fill="auto"/>
            <w:vAlign w:val="center"/>
          </w:tcPr>
          <w:p>
            <w:pPr>
              <w:widowControl/>
              <w:spacing w:line="240" w:lineRule="atLeast"/>
              <w:jc w:val="center"/>
              <w:rPr>
                <w:rFonts w:ascii="黑体" w:hAnsi="黑体" w:eastAsia="黑体" w:cs="黑体"/>
                <w:kern w:val="0"/>
              </w:rPr>
            </w:pPr>
          </w:p>
        </w:tc>
        <w:tc>
          <w:tcPr>
            <w:tcW w:w="129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395" w:type="dxa"/>
            <w:vMerge w:val="restart"/>
            <w:shd w:val="clear" w:color="auto" w:fill="auto"/>
            <w:vAlign w:val="center"/>
          </w:tcPr>
          <w:p>
            <w:pPr>
              <w:autoSpaceDE w:val="0"/>
              <w:autoSpaceDN w:val="0"/>
              <w:snapToGrid w:val="0"/>
              <w:spacing w:line="240" w:lineRule="atLeast"/>
              <w:jc w:val="center"/>
              <w:rPr>
                <w:rFonts w:ascii="黑体" w:hAnsi="黑体" w:eastAsia="黑体" w:cs="黑体"/>
                <w:kern w:val="0"/>
              </w:rPr>
            </w:pPr>
            <w:r>
              <w:rPr>
                <w:rFonts w:hint="eastAsia" w:ascii="黑体" w:hAnsi="黑体" w:eastAsia="黑体" w:cs="黑体"/>
                <w:kern w:val="0"/>
              </w:rPr>
              <w:t>生产阶段</w:t>
            </w:r>
          </w:p>
        </w:tc>
        <w:tc>
          <w:tcPr>
            <w:tcW w:w="4815" w:type="dxa"/>
            <w:shd w:val="clear" w:color="auto" w:fill="auto"/>
            <w:vAlign w:val="center"/>
          </w:tcPr>
          <w:p>
            <w:pPr>
              <w:autoSpaceDE w:val="0"/>
              <w:autoSpaceDN w:val="0"/>
              <w:snapToGrid w:val="0"/>
              <w:spacing w:line="240" w:lineRule="atLeast"/>
              <w:jc w:val="center"/>
              <w:rPr>
                <w:rFonts w:ascii="黑体" w:hAnsi="黑体" w:eastAsia="黑体" w:cs="黑体"/>
              </w:rPr>
            </w:pPr>
            <w:r>
              <w:rPr>
                <w:rFonts w:hint="eastAsia" w:ascii="黑体" w:hAnsi="黑体" w:eastAsia="黑体" w:cs="黑体"/>
              </w:rPr>
              <w:t xml:space="preserve">利用BIM构件加工图进行数字化加工 </w:t>
            </w:r>
            <w:r>
              <w:rPr>
                <w:rFonts w:hint="eastAsia" w:ascii="黑体" w:hAnsi="黑体" w:eastAsia="黑体" w:cs="黑体"/>
                <w:kern w:val="0"/>
                <w:szCs w:val="20"/>
              </w:rPr>
              <w:t>□是 □否</w:t>
            </w:r>
          </w:p>
        </w:tc>
        <w:tc>
          <w:tcPr>
            <w:tcW w:w="1305" w:type="dxa"/>
            <w:shd w:val="clear" w:color="auto" w:fill="auto"/>
            <w:vAlign w:val="center"/>
          </w:tcPr>
          <w:p>
            <w:pPr>
              <w:autoSpaceDE w:val="0"/>
              <w:autoSpaceDN w:val="0"/>
              <w:snapToGrid w:val="0"/>
              <w:spacing w:line="240" w:lineRule="atLeast"/>
              <w:jc w:val="center"/>
              <w:rPr>
                <w:rFonts w:ascii="黑体" w:hAnsi="黑体" w:eastAsia="黑体" w:cs="黑体"/>
                <w:kern w:val="0"/>
                <w:szCs w:val="22"/>
              </w:rPr>
            </w:pPr>
            <w:r>
              <w:rPr>
                <w:rFonts w:hint="eastAsia" w:ascii="黑体" w:hAnsi="黑体" w:eastAsia="黑体" w:cs="黑体"/>
                <w:kern w:val="0"/>
                <w:szCs w:val="22"/>
              </w:rPr>
              <w:t>0.5</w:t>
            </w:r>
          </w:p>
        </w:tc>
        <w:tc>
          <w:tcPr>
            <w:tcW w:w="1350" w:type="dxa"/>
            <w:vMerge w:val="restart"/>
            <w:shd w:val="clear" w:color="auto" w:fill="auto"/>
            <w:vAlign w:val="center"/>
          </w:tcPr>
          <w:p>
            <w:pPr>
              <w:widowControl/>
              <w:spacing w:line="240" w:lineRule="atLeast"/>
              <w:jc w:val="center"/>
              <w:rPr>
                <w:rFonts w:ascii="黑体" w:hAnsi="黑体" w:eastAsia="黑体" w:cs="黑体"/>
                <w:kern w:val="0"/>
                <w:szCs w:val="22"/>
              </w:rPr>
            </w:pPr>
            <w:r>
              <w:rPr>
                <w:rFonts w:hint="eastAsia" w:ascii="黑体" w:hAnsi="黑体" w:eastAsia="黑体" w:cs="黑体"/>
                <w:kern w:val="0"/>
                <w:szCs w:val="22"/>
              </w:rPr>
              <w:t>1</w:t>
            </w:r>
          </w:p>
        </w:tc>
        <w:tc>
          <w:tcPr>
            <w:tcW w:w="1303" w:type="dxa"/>
            <w:vMerge w:val="restart"/>
          </w:tcPr>
          <w:p>
            <w:pPr>
              <w:widowControl/>
              <w:spacing w:line="240" w:lineRule="atLeast"/>
              <w:jc w:val="center"/>
              <w:rPr>
                <w:rFonts w:ascii="黑体" w:hAnsi="黑体" w:eastAsia="黑体" w:cs="黑体"/>
                <w:kern w:val="0"/>
                <w:szCs w:val="22"/>
              </w:rPr>
            </w:pPr>
          </w:p>
        </w:tc>
        <w:tc>
          <w:tcPr>
            <w:tcW w:w="1070" w:type="dxa"/>
            <w:vMerge w:val="restart"/>
          </w:tcPr>
          <w:p>
            <w:pPr>
              <w:widowControl/>
              <w:spacing w:line="240" w:lineRule="atLeast"/>
              <w:jc w:val="center"/>
              <w:rPr>
                <w:rFonts w:ascii="黑体" w:hAnsi="黑体" w:eastAsia="黑体" w:cs="黑体"/>
                <w:kern w:val="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exact"/>
          <w:jc w:val="center"/>
        </w:trPr>
        <w:tc>
          <w:tcPr>
            <w:tcW w:w="1145" w:type="dxa"/>
            <w:vMerge w:val="continue"/>
            <w:shd w:val="clear" w:color="auto" w:fill="auto"/>
            <w:vAlign w:val="center"/>
          </w:tcPr>
          <w:p>
            <w:pPr>
              <w:widowControl/>
              <w:spacing w:line="240" w:lineRule="atLeast"/>
              <w:jc w:val="center"/>
              <w:rPr>
                <w:rFonts w:ascii="黑体" w:hAnsi="黑体" w:eastAsia="黑体" w:cs="黑体"/>
                <w:kern w:val="0"/>
              </w:rPr>
            </w:pPr>
          </w:p>
        </w:tc>
        <w:tc>
          <w:tcPr>
            <w:tcW w:w="129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395"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4815" w:type="dxa"/>
            <w:shd w:val="clear" w:color="auto" w:fill="auto"/>
            <w:vAlign w:val="center"/>
          </w:tcPr>
          <w:p>
            <w:pPr>
              <w:autoSpaceDE w:val="0"/>
              <w:autoSpaceDN w:val="0"/>
              <w:snapToGrid w:val="0"/>
              <w:spacing w:line="240" w:lineRule="atLeast"/>
              <w:jc w:val="center"/>
              <w:rPr>
                <w:rFonts w:ascii="黑体" w:hAnsi="黑体" w:eastAsia="黑体" w:cs="黑体"/>
              </w:rPr>
            </w:pPr>
            <w:r>
              <w:rPr>
                <w:rFonts w:hint="eastAsia" w:ascii="黑体" w:hAnsi="黑体" w:eastAsia="黑体" w:cs="黑体"/>
              </w:rPr>
              <w:t>采用射频识别(RFID) 或二维码识别预制构件主要信息</w:t>
            </w:r>
          </w:p>
          <w:p>
            <w:pPr>
              <w:pStyle w:val="2"/>
              <w:ind w:firstLine="210"/>
              <w:jc w:val="center"/>
            </w:pPr>
            <w:r>
              <w:rPr>
                <w:rFonts w:hint="eastAsia" w:ascii="黑体" w:hAnsi="黑体" w:eastAsia="黑体" w:cs="黑体"/>
                <w:kern w:val="0"/>
                <w:szCs w:val="20"/>
              </w:rPr>
              <w:t>□是 □否</w:t>
            </w:r>
          </w:p>
        </w:tc>
        <w:tc>
          <w:tcPr>
            <w:tcW w:w="1305" w:type="dxa"/>
            <w:shd w:val="clear" w:color="auto" w:fill="auto"/>
            <w:vAlign w:val="center"/>
          </w:tcPr>
          <w:p>
            <w:pPr>
              <w:autoSpaceDE w:val="0"/>
              <w:autoSpaceDN w:val="0"/>
              <w:snapToGrid w:val="0"/>
              <w:spacing w:line="240" w:lineRule="atLeast"/>
              <w:jc w:val="center"/>
              <w:rPr>
                <w:rFonts w:ascii="黑体" w:hAnsi="黑体" w:eastAsia="黑体" w:cs="黑体"/>
                <w:kern w:val="0"/>
                <w:szCs w:val="22"/>
              </w:rPr>
            </w:pPr>
            <w:r>
              <w:rPr>
                <w:rFonts w:hint="eastAsia" w:ascii="黑体" w:hAnsi="黑体" w:eastAsia="黑体" w:cs="黑体"/>
                <w:kern w:val="0"/>
                <w:szCs w:val="22"/>
              </w:rPr>
              <w:t>0.5</w:t>
            </w:r>
          </w:p>
        </w:tc>
        <w:tc>
          <w:tcPr>
            <w:tcW w:w="1350" w:type="dxa"/>
            <w:vMerge w:val="continue"/>
            <w:shd w:val="clear" w:color="auto" w:fill="auto"/>
            <w:vAlign w:val="center"/>
          </w:tcPr>
          <w:p>
            <w:pPr>
              <w:widowControl/>
              <w:spacing w:line="240" w:lineRule="atLeast"/>
              <w:jc w:val="center"/>
              <w:rPr>
                <w:rFonts w:ascii="黑体" w:hAnsi="黑体" w:eastAsia="黑体" w:cs="黑体"/>
                <w:kern w:val="0"/>
                <w:szCs w:val="22"/>
              </w:rPr>
            </w:pPr>
          </w:p>
        </w:tc>
        <w:tc>
          <w:tcPr>
            <w:tcW w:w="1303" w:type="dxa"/>
            <w:vMerge w:val="continue"/>
          </w:tcPr>
          <w:p>
            <w:pPr>
              <w:widowControl/>
              <w:spacing w:line="240" w:lineRule="atLeast"/>
              <w:jc w:val="center"/>
              <w:rPr>
                <w:rFonts w:ascii="黑体" w:hAnsi="黑体" w:eastAsia="黑体" w:cs="黑体"/>
                <w:kern w:val="0"/>
                <w:szCs w:val="22"/>
              </w:rPr>
            </w:pPr>
          </w:p>
        </w:tc>
        <w:tc>
          <w:tcPr>
            <w:tcW w:w="1070" w:type="dxa"/>
            <w:vMerge w:val="continue"/>
          </w:tcPr>
          <w:p>
            <w:pPr>
              <w:widowControl/>
              <w:spacing w:line="240" w:lineRule="atLeast"/>
              <w:jc w:val="center"/>
              <w:rPr>
                <w:rFonts w:ascii="黑体" w:hAnsi="黑体" w:eastAsia="黑体" w:cs="黑体"/>
                <w:kern w:val="0"/>
                <w:szCs w:val="22"/>
              </w:rPr>
            </w:pPr>
          </w:p>
        </w:tc>
      </w:tr>
    </w:tbl>
    <w:p>
      <w:pPr>
        <w:widowControl/>
        <w:spacing w:line="240" w:lineRule="atLeast"/>
        <w:jc w:val="center"/>
        <w:rPr>
          <w:rFonts w:ascii="黑体" w:hAnsi="黑体" w:eastAsia="黑体" w:cs="黑体"/>
          <w:kern w:val="0"/>
        </w:rPr>
        <w:sectPr>
          <w:footerReference r:id="rId17" w:type="default"/>
          <w:pgSz w:w="16838" w:h="11906" w:orient="landscape"/>
          <w:pgMar w:top="1800" w:right="1440" w:bottom="1800" w:left="1440" w:header="851" w:footer="992" w:gutter="0"/>
          <w:cols w:space="425" w:num="1"/>
          <w:docGrid w:type="lines" w:linePitch="312" w:charSpace="0"/>
        </w:sectPr>
      </w:pPr>
    </w:p>
    <w:tbl>
      <w:tblPr>
        <w:tblStyle w:val="29"/>
        <w:tblW w:w="136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5"/>
        <w:gridCol w:w="1290"/>
        <w:gridCol w:w="1395"/>
        <w:gridCol w:w="4815"/>
        <w:gridCol w:w="1305"/>
        <w:gridCol w:w="1350"/>
        <w:gridCol w:w="1303"/>
        <w:gridCol w:w="10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145" w:type="dxa"/>
            <w:vMerge w:val="restart"/>
            <w:shd w:val="clear" w:color="auto" w:fill="auto"/>
            <w:vAlign w:val="center"/>
          </w:tcPr>
          <w:p>
            <w:pPr>
              <w:pStyle w:val="2"/>
              <w:ind w:firstLine="210"/>
            </w:pPr>
          </w:p>
        </w:tc>
        <w:tc>
          <w:tcPr>
            <w:tcW w:w="1290" w:type="dxa"/>
            <w:vMerge w:val="restart"/>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395" w:type="dxa"/>
            <w:vMerge w:val="restart"/>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4815" w:type="dxa"/>
            <w:shd w:val="clear" w:color="auto" w:fill="auto"/>
            <w:vAlign w:val="center"/>
          </w:tcPr>
          <w:p>
            <w:pPr>
              <w:autoSpaceDE w:val="0"/>
              <w:autoSpaceDN w:val="0"/>
              <w:snapToGrid w:val="0"/>
              <w:spacing w:line="240" w:lineRule="atLeast"/>
              <w:jc w:val="center"/>
              <w:rPr>
                <w:rFonts w:ascii="黑体" w:hAnsi="黑体" w:eastAsia="黑体" w:cs="黑体"/>
              </w:rPr>
            </w:pPr>
            <w:r>
              <w:rPr>
                <w:rFonts w:hint="eastAsia" w:ascii="黑体" w:hAnsi="黑体" w:eastAsia="黑体" w:cs="黑体"/>
              </w:rPr>
              <w:t xml:space="preserve">建立预制构件信息库和质量可追溯系统 </w:t>
            </w:r>
          </w:p>
          <w:p>
            <w:pPr>
              <w:autoSpaceDE w:val="0"/>
              <w:autoSpaceDN w:val="0"/>
              <w:snapToGrid w:val="0"/>
              <w:spacing w:line="240" w:lineRule="atLeast"/>
              <w:jc w:val="center"/>
              <w:rPr>
                <w:rFonts w:ascii="黑体" w:hAnsi="黑体" w:eastAsia="黑体" w:cs="黑体"/>
              </w:rPr>
            </w:pPr>
            <w:r>
              <w:rPr>
                <w:rFonts w:hint="eastAsia" w:ascii="黑体" w:hAnsi="黑体" w:eastAsia="黑体" w:cs="黑体"/>
                <w:kern w:val="0"/>
                <w:szCs w:val="20"/>
              </w:rPr>
              <w:t>□是 □否</w:t>
            </w:r>
          </w:p>
        </w:tc>
        <w:tc>
          <w:tcPr>
            <w:tcW w:w="1305" w:type="dxa"/>
            <w:shd w:val="clear" w:color="auto" w:fill="auto"/>
            <w:vAlign w:val="center"/>
          </w:tcPr>
          <w:p>
            <w:pPr>
              <w:autoSpaceDE w:val="0"/>
              <w:autoSpaceDN w:val="0"/>
              <w:snapToGrid w:val="0"/>
              <w:spacing w:line="240" w:lineRule="atLeast"/>
              <w:jc w:val="center"/>
              <w:rPr>
                <w:rFonts w:ascii="黑体" w:hAnsi="黑体" w:eastAsia="黑体" w:cs="黑体"/>
                <w:kern w:val="0"/>
                <w:szCs w:val="22"/>
              </w:rPr>
            </w:pPr>
            <w:r>
              <w:rPr>
                <w:rFonts w:hint="eastAsia" w:ascii="黑体" w:hAnsi="黑体" w:eastAsia="黑体" w:cs="黑体"/>
                <w:kern w:val="0"/>
                <w:szCs w:val="22"/>
              </w:rPr>
              <w:t>0.5</w:t>
            </w:r>
          </w:p>
        </w:tc>
        <w:tc>
          <w:tcPr>
            <w:tcW w:w="1350" w:type="dxa"/>
            <w:vMerge w:val="restart"/>
            <w:shd w:val="clear" w:color="auto" w:fill="auto"/>
            <w:vAlign w:val="center"/>
          </w:tcPr>
          <w:p>
            <w:pPr>
              <w:widowControl/>
              <w:spacing w:line="240" w:lineRule="atLeast"/>
              <w:jc w:val="center"/>
              <w:rPr>
                <w:rFonts w:ascii="黑体" w:hAnsi="黑体" w:eastAsia="黑体" w:cs="黑体"/>
                <w:kern w:val="0"/>
                <w:szCs w:val="22"/>
              </w:rPr>
            </w:pPr>
          </w:p>
        </w:tc>
        <w:tc>
          <w:tcPr>
            <w:tcW w:w="1303" w:type="dxa"/>
            <w:vMerge w:val="restart"/>
          </w:tcPr>
          <w:p>
            <w:pPr>
              <w:widowControl/>
              <w:spacing w:line="240" w:lineRule="atLeast"/>
              <w:jc w:val="center"/>
              <w:rPr>
                <w:rFonts w:ascii="黑体" w:hAnsi="黑体" w:eastAsia="黑体" w:cs="黑体"/>
                <w:kern w:val="0"/>
                <w:szCs w:val="22"/>
              </w:rPr>
            </w:pPr>
          </w:p>
        </w:tc>
        <w:tc>
          <w:tcPr>
            <w:tcW w:w="1070" w:type="dxa"/>
            <w:vMerge w:val="restart"/>
          </w:tcPr>
          <w:p>
            <w:pPr>
              <w:widowControl/>
              <w:spacing w:line="240" w:lineRule="atLeast"/>
              <w:jc w:val="center"/>
              <w:rPr>
                <w:rFonts w:ascii="黑体" w:hAnsi="黑体" w:eastAsia="黑体" w:cs="黑体"/>
                <w:kern w:val="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exact"/>
          <w:jc w:val="center"/>
        </w:trPr>
        <w:tc>
          <w:tcPr>
            <w:tcW w:w="1145" w:type="dxa"/>
            <w:vMerge w:val="continue"/>
            <w:shd w:val="clear" w:color="auto" w:fill="auto"/>
            <w:vAlign w:val="center"/>
          </w:tcPr>
          <w:p>
            <w:pPr>
              <w:widowControl/>
              <w:spacing w:line="240" w:lineRule="atLeast"/>
              <w:jc w:val="center"/>
              <w:rPr>
                <w:rFonts w:ascii="黑体" w:hAnsi="黑体" w:eastAsia="黑体" w:cs="黑体"/>
                <w:kern w:val="0"/>
              </w:rPr>
            </w:pPr>
          </w:p>
        </w:tc>
        <w:tc>
          <w:tcPr>
            <w:tcW w:w="129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395"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4815" w:type="dxa"/>
            <w:shd w:val="clear" w:color="auto" w:fill="auto"/>
            <w:vAlign w:val="center"/>
          </w:tcPr>
          <w:p>
            <w:pPr>
              <w:autoSpaceDE w:val="0"/>
              <w:autoSpaceDN w:val="0"/>
              <w:snapToGrid w:val="0"/>
              <w:spacing w:line="240" w:lineRule="atLeast"/>
              <w:jc w:val="center"/>
              <w:rPr>
                <w:rFonts w:ascii="黑体" w:hAnsi="黑体" w:eastAsia="黑体" w:cs="黑体"/>
              </w:rPr>
            </w:pPr>
            <w:r>
              <w:rPr>
                <w:rFonts w:hint="eastAsia" w:ascii="黑体" w:hAnsi="黑体" w:eastAsia="黑体" w:cs="黑体"/>
              </w:rPr>
              <w:t>建立预制构件运输信息化实时定位监控系统</w:t>
            </w:r>
          </w:p>
          <w:p>
            <w:pPr>
              <w:pStyle w:val="2"/>
              <w:ind w:firstLine="210"/>
              <w:jc w:val="center"/>
            </w:pPr>
            <w:r>
              <w:rPr>
                <w:rFonts w:hint="eastAsia" w:ascii="黑体" w:hAnsi="黑体" w:eastAsia="黑体" w:cs="黑体"/>
                <w:kern w:val="0"/>
                <w:szCs w:val="20"/>
              </w:rPr>
              <w:t>□是 □否</w:t>
            </w:r>
          </w:p>
        </w:tc>
        <w:tc>
          <w:tcPr>
            <w:tcW w:w="1305" w:type="dxa"/>
            <w:shd w:val="clear" w:color="auto" w:fill="auto"/>
            <w:vAlign w:val="center"/>
          </w:tcPr>
          <w:p>
            <w:pPr>
              <w:autoSpaceDE w:val="0"/>
              <w:autoSpaceDN w:val="0"/>
              <w:snapToGrid w:val="0"/>
              <w:spacing w:line="240" w:lineRule="atLeast"/>
              <w:jc w:val="center"/>
              <w:rPr>
                <w:rFonts w:ascii="黑体" w:hAnsi="黑体" w:eastAsia="黑体" w:cs="黑体"/>
                <w:kern w:val="0"/>
                <w:szCs w:val="22"/>
              </w:rPr>
            </w:pPr>
            <w:r>
              <w:rPr>
                <w:rFonts w:hint="eastAsia" w:ascii="黑体" w:hAnsi="黑体" w:eastAsia="黑体" w:cs="黑体"/>
                <w:kern w:val="0"/>
                <w:szCs w:val="22"/>
              </w:rPr>
              <w:t>0.5</w:t>
            </w:r>
          </w:p>
        </w:tc>
        <w:tc>
          <w:tcPr>
            <w:tcW w:w="1350" w:type="dxa"/>
            <w:vMerge w:val="continue"/>
            <w:shd w:val="clear" w:color="auto" w:fill="auto"/>
            <w:vAlign w:val="center"/>
          </w:tcPr>
          <w:p>
            <w:pPr>
              <w:widowControl/>
              <w:spacing w:line="240" w:lineRule="atLeast"/>
              <w:jc w:val="center"/>
              <w:rPr>
                <w:rFonts w:ascii="黑体" w:hAnsi="黑体" w:eastAsia="黑体" w:cs="黑体"/>
                <w:kern w:val="0"/>
                <w:szCs w:val="22"/>
              </w:rPr>
            </w:pPr>
          </w:p>
        </w:tc>
        <w:tc>
          <w:tcPr>
            <w:tcW w:w="1303" w:type="dxa"/>
            <w:vMerge w:val="continue"/>
          </w:tcPr>
          <w:p>
            <w:pPr>
              <w:widowControl/>
              <w:spacing w:line="240" w:lineRule="atLeast"/>
              <w:jc w:val="center"/>
              <w:rPr>
                <w:rFonts w:ascii="黑体" w:hAnsi="黑体" w:eastAsia="黑体" w:cs="黑体"/>
                <w:kern w:val="0"/>
                <w:szCs w:val="22"/>
              </w:rPr>
            </w:pPr>
          </w:p>
        </w:tc>
        <w:tc>
          <w:tcPr>
            <w:tcW w:w="1070" w:type="dxa"/>
            <w:vMerge w:val="continue"/>
          </w:tcPr>
          <w:p>
            <w:pPr>
              <w:widowControl/>
              <w:spacing w:line="240" w:lineRule="atLeast"/>
              <w:jc w:val="center"/>
              <w:rPr>
                <w:rFonts w:ascii="黑体" w:hAnsi="黑体" w:eastAsia="黑体" w:cs="黑体"/>
                <w:kern w:val="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1145" w:type="dxa"/>
            <w:vMerge w:val="continue"/>
            <w:shd w:val="clear" w:color="auto" w:fill="auto"/>
            <w:vAlign w:val="center"/>
          </w:tcPr>
          <w:p>
            <w:pPr>
              <w:widowControl/>
              <w:spacing w:line="240" w:lineRule="atLeast"/>
              <w:jc w:val="center"/>
              <w:rPr>
                <w:rFonts w:ascii="黑体" w:hAnsi="黑体" w:eastAsia="黑体" w:cs="黑体"/>
                <w:kern w:val="0"/>
              </w:rPr>
            </w:pPr>
          </w:p>
        </w:tc>
        <w:tc>
          <w:tcPr>
            <w:tcW w:w="129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395" w:type="dxa"/>
            <w:vMerge w:val="restart"/>
            <w:shd w:val="clear" w:color="auto" w:fill="auto"/>
            <w:vAlign w:val="center"/>
          </w:tcPr>
          <w:p>
            <w:pPr>
              <w:autoSpaceDE w:val="0"/>
              <w:autoSpaceDN w:val="0"/>
              <w:snapToGrid w:val="0"/>
              <w:spacing w:line="240" w:lineRule="atLeast"/>
              <w:jc w:val="center"/>
              <w:rPr>
                <w:rFonts w:ascii="黑体" w:hAnsi="黑体" w:eastAsia="黑体" w:cs="黑体"/>
                <w:kern w:val="0"/>
              </w:rPr>
            </w:pPr>
            <w:r>
              <w:rPr>
                <w:rFonts w:hint="eastAsia" w:ascii="黑体" w:hAnsi="黑体" w:eastAsia="黑体" w:cs="黑体"/>
                <w:kern w:val="0"/>
              </w:rPr>
              <w:t>施工阶段</w:t>
            </w:r>
          </w:p>
        </w:tc>
        <w:tc>
          <w:tcPr>
            <w:tcW w:w="4815" w:type="dxa"/>
            <w:shd w:val="clear" w:color="auto" w:fill="auto"/>
            <w:vAlign w:val="center"/>
          </w:tcPr>
          <w:p>
            <w:pPr>
              <w:autoSpaceDE w:val="0"/>
              <w:autoSpaceDN w:val="0"/>
              <w:snapToGrid w:val="0"/>
              <w:spacing w:line="240" w:lineRule="atLeast"/>
              <w:jc w:val="center"/>
              <w:rPr>
                <w:rFonts w:ascii="黑体" w:hAnsi="黑体" w:eastAsia="黑体" w:cs="黑体"/>
                <w:kern w:val="0"/>
                <w:szCs w:val="20"/>
              </w:rPr>
            </w:pPr>
            <w:r>
              <w:rPr>
                <w:rFonts w:hint="eastAsia" w:ascii="黑体" w:hAnsi="黑体" w:eastAsia="黑体" w:cs="黑体"/>
                <w:kern w:val="0"/>
                <w:szCs w:val="20"/>
              </w:rPr>
              <w:t>施工平面布置模拟 □是 □否</w:t>
            </w:r>
          </w:p>
        </w:tc>
        <w:tc>
          <w:tcPr>
            <w:tcW w:w="1305" w:type="dxa"/>
            <w:shd w:val="clear" w:color="auto" w:fill="auto"/>
            <w:vAlign w:val="center"/>
          </w:tcPr>
          <w:p>
            <w:pPr>
              <w:autoSpaceDE w:val="0"/>
              <w:autoSpaceDN w:val="0"/>
              <w:snapToGrid w:val="0"/>
              <w:spacing w:line="240" w:lineRule="atLeast"/>
              <w:jc w:val="center"/>
              <w:rPr>
                <w:rFonts w:ascii="黑体" w:hAnsi="黑体" w:eastAsia="黑体" w:cs="黑体"/>
                <w:kern w:val="0"/>
                <w:szCs w:val="22"/>
              </w:rPr>
            </w:pPr>
            <w:r>
              <w:rPr>
                <w:rFonts w:hint="eastAsia" w:ascii="黑体" w:hAnsi="黑体" w:eastAsia="黑体" w:cs="黑体"/>
                <w:kern w:val="0"/>
                <w:szCs w:val="22"/>
              </w:rPr>
              <w:t>0.5</w:t>
            </w:r>
          </w:p>
        </w:tc>
        <w:tc>
          <w:tcPr>
            <w:tcW w:w="1350" w:type="dxa"/>
            <w:vMerge w:val="restart"/>
            <w:shd w:val="clear" w:color="auto" w:fill="auto"/>
            <w:vAlign w:val="center"/>
          </w:tcPr>
          <w:p>
            <w:pPr>
              <w:widowControl/>
              <w:spacing w:line="240" w:lineRule="atLeast"/>
              <w:jc w:val="center"/>
              <w:rPr>
                <w:rFonts w:ascii="黑体" w:hAnsi="黑体" w:eastAsia="黑体" w:cs="黑体"/>
                <w:kern w:val="0"/>
                <w:szCs w:val="22"/>
              </w:rPr>
            </w:pPr>
            <w:r>
              <w:rPr>
                <w:rFonts w:ascii="黑体" w:hAnsi="黑体" w:eastAsia="黑体" w:cs="黑体"/>
                <w:kern w:val="0"/>
                <w:szCs w:val="22"/>
              </w:rPr>
              <w:t>1</w:t>
            </w:r>
          </w:p>
        </w:tc>
        <w:tc>
          <w:tcPr>
            <w:tcW w:w="1303" w:type="dxa"/>
            <w:vMerge w:val="restart"/>
          </w:tcPr>
          <w:p>
            <w:pPr>
              <w:widowControl/>
              <w:spacing w:line="240" w:lineRule="atLeast"/>
              <w:jc w:val="center"/>
              <w:rPr>
                <w:rFonts w:ascii="黑体" w:hAnsi="黑体" w:eastAsia="黑体" w:cs="黑体"/>
                <w:kern w:val="0"/>
                <w:szCs w:val="22"/>
              </w:rPr>
            </w:pPr>
          </w:p>
        </w:tc>
        <w:tc>
          <w:tcPr>
            <w:tcW w:w="1070" w:type="dxa"/>
            <w:vMerge w:val="restart"/>
          </w:tcPr>
          <w:p>
            <w:pPr>
              <w:widowControl/>
              <w:spacing w:line="240" w:lineRule="atLeast"/>
              <w:jc w:val="center"/>
              <w:rPr>
                <w:rFonts w:ascii="黑体" w:hAnsi="黑体" w:eastAsia="黑体" w:cs="黑体"/>
                <w:kern w:val="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1145" w:type="dxa"/>
            <w:vMerge w:val="continue"/>
            <w:shd w:val="clear" w:color="auto" w:fill="auto"/>
            <w:vAlign w:val="center"/>
          </w:tcPr>
          <w:p>
            <w:pPr>
              <w:widowControl/>
              <w:spacing w:line="240" w:lineRule="atLeast"/>
              <w:jc w:val="center"/>
              <w:rPr>
                <w:rFonts w:ascii="黑体" w:hAnsi="黑体" w:eastAsia="黑体" w:cs="黑体"/>
                <w:kern w:val="0"/>
              </w:rPr>
            </w:pPr>
          </w:p>
        </w:tc>
        <w:tc>
          <w:tcPr>
            <w:tcW w:w="129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395"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4815" w:type="dxa"/>
            <w:shd w:val="clear" w:color="auto" w:fill="auto"/>
            <w:vAlign w:val="center"/>
          </w:tcPr>
          <w:p>
            <w:pPr>
              <w:autoSpaceDE w:val="0"/>
              <w:autoSpaceDN w:val="0"/>
              <w:snapToGrid w:val="0"/>
              <w:spacing w:line="240" w:lineRule="atLeast"/>
              <w:jc w:val="center"/>
              <w:rPr>
                <w:rFonts w:ascii="黑体" w:hAnsi="黑体" w:eastAsia="黑体" w:cs="黑体"/>
              </w:rPr>
            </w:pPr>
            <w:r>
              <w:rPr>
                <w:rFonts w:hint="eastAsia" w:ascii="黑体" w:hAnsi="黑体" w:eastAsia="黑体" w:cs="黑体"/>
                <w:kern w:val="0"/>
                <w:szCs w:val="20"/>
              </w:rPr>
              <w:t>重点施工方案模拟 □是 □否</w:t>
            </w:r>
          </w:p>
        </w:tc>
        <w:tc>
          <w:tcPr>
            <w:tcW w:w="1305" w:type="dxa"/>
            <w:shd w:val="clear" w:color="auto" w:fill="auto"/>
            <w:vAlign w:val="center"/>
          </w:tcPr>
          <w:p>
            <w:pPr>
              <w:autoSpaceDE w:val="0"/>
              <w:autoSpaceDN w:val="0"/>
              <w:snapToGrid w:val="0"/>
              <w:spacing w:line="240" w:lineRule="atLeast"/>
              <w:jc w:val="center"/>
              <w:rPr>
                <w:rFonts w:ascii="黑体" w:hAnsi="黑体" w:eastAsia="黑体" w:cs="黑体"/>
                <w:kern w:val="0"/>
                <w:szCs w:val="22"/>
              </w:rPr>
            </w:pPr>
            <w:r>
              <w:rPr>
                <w:rFonts w:hint="eastAsia" w:ascii="黑体" w:hAnsi="黑体" w:eastAsia="黑体" w:cs="黑体"/>
                <w:kern w:val="0"/>
                <w:szCs w:val="22"/>
              </w:rPr>
              <w:t>0.5</w:t>
            </w:r>
          </w:p>
        </w:tc>
        <w:tc>
          <w:tcPr>
            <w:tcW w:w="1350" w:type="dxa"/>
            <w:vMerge w:val="continue"/>
            <w:shd w:val="clear" w:color="auto" w:fill="auto"/>
            <w:vAlign w:val="center"/>
          </w:tcPr>
          <w:p>
            <w:pPr>
              <w:widowControl/>
              <w:spacing w:line="240" w:lineRule="atLeast"/>
              <w:jc w:val="center"/>
              <w:rPr>
                <w:rFonts w:ascii="黑体" w:hAnsi="黑体" w:eastAsia="黑体" w:cs="黑体"/>
                <w:kern w:val="0"/>
                <w:szCs w:val="22"/>
              </w:rPr>
            </w:pPr>
          </w:p>
        </w:tc>
        <w:tc>
          <w:tcPr>
            <w:tcW w:w="1303" w:type="dxa"/>
            <w:vMerge w:val="continue"/>
          </w:tcPr>
          <w:p>
            <w:pPr>
              <w:widowControl/>
              <w:spacing w:line="240" w:lineRule="atLeast"/>
              <w:jc w:val="center"/>
              <w:rPr>
                <w:rFonts w:ascii="黑体" w:hAnsi="黑体" w:eastAsia="黑体" w:cs="黑体"/>
                <w:kern w:val="0"/>
                <w:szCs w:val="22"/>
              </w:rPr>
            </w:pPr>
          </w:p>
        </w:tc>
        <w:tc>
          <w:tcPr>
            <w:tcW w:w="1070" w:type="dxa"/>
            <w:vMerge w:val="continue"/>
          </w:tcPr>
          <w:p>
            <w:pPr>
              <w:widowControl/>
              <w:spacing w:line="240" w:lineRule="atLeast"/>
              <w:jc w:val="center"/>
              <w:rPr>
                <w:rFonts w:ascii="黑体" w:hAnsi="黑体" w:eastAsia="黑体" w:cs="黑体"/>
                <w:kern w:val="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1145" w:type="dxa"/>
            <w:vMerge w:val="continue"/>
            <w:shd w:val="clear" w:color="auto" w:fill="auto"/>
            <w:vAlign w:val="center"/>
          </w:tcPr>
          <w:p>
            <w:pPr>
              <w:widowControl/>
              <w:spacing w:line="240" w:lineRule="atLeast"/>
              <w:jc w:val="center"/>
              <w:rPr>
                <w:rFonts w:ascii="黑体" w:hAnsi="黑体" w:eastAsia="黑体" w:cs="黑体"/>
                <w:kern w:val="0"/>
              </w:rPr>
            </w:pPr>
          </w:p>
        </w:tc>
        <w:tc>
          <w:tcPr>
            <w:tcW w:w="129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395"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4815" w:type="dxa"/>
            <w:shd w:val="clear" w:color="auto" w:fill="auto"/>
            <w:vAlign w:val="center"/>
          </w:tcPr>
          <w:p>
            <w:pPr>
              <w:autoSpaceDE w:val="0"/>
              <w:autoSpaceDN w:val="0"/>
              <w:snapToGrid w:val="0"/>
              <w:spacing w:line="240" w:lineRule="atLeast"/>
              <w:jc w:val="center"/>
              <w:rPr>
                <w:rFonts w:ascii="黑体" w:hAnsi="黑体" w:eastAsia="黑体" w:cs="黑体"/>
              </w:rPr>
            </w:pPr>
            <w:r>
              <w:rPr>
                <w:rFonts w:hint="eastAsia" w:ascii="黑体" w:hAnsi="黑体" w:eastAsia="黑体" w:cs="黑体"/>
                <w:kern w:val="0"/>
                <w:szCs w:val="20"/>
              </w:rPr>
              <w:t>三维模板脚手架设计 □是 □否</w:t>
            </w:r>
          </w:p>
        </w:tc>
        <w:tc>
          <w:tcPr>
            <w:tcW w:w="1305" w:type="dxa"/>
            <w:shd w:val="clear" w:color="auto" w:fill="auto"/>
            <w:vAlign w:val="center"/>
          </w:tcPr>
          <w:p>
            <w:pPr>
              <w:autoSpaceDE w:val="0"/>
              <w:autoSpaceDN w:val="0"/>
              <w:snapToGrid w:val="0"/>
              <w:spacing w:line="240" w:lineRule="atLeast"/>
              <w:jc w:val="center"/>
              <w:rPr>
                <w:rFonts w:ascii="黑体" w:hAnsi="黑体" w:eastAsia="黑体" w:cs="黑体"/>
                <w:kern w:val="0"/>
                <w:szCs w:val="22"/>
              </w:rPr>
            </w:pPr>
            <w:r>
              <w:rPr>
                <w:rFonts w:hint="eastAsia" w:ascii="黑体" w:hAnsi="黑体" w:eastAsia="黑体" w:cs="黑体"/>
                <w:kern w:val="0"/>
                <w:szCs w:val="22"/>
              </w:rPr>
              <w:t>0.5</w:t>
            </w:r>
          </w:p>
        </w:tc>
        <w:tc>
          <w:tcPr>
            <w:tcW w:w="1350" w:type="dxa"/>
            <w:vMerge w:val="continue"/>
            <w:shd w:val="clear" w:color="auto" w:fill="auto"/>
            <w:vAlign w:val="center"/>
          </w:tcPr>
          <w:p>
            <w:pPr>
              <w:widowControl/>
              <w:spacing w:line="240" w:lineRule="atLeast"/>
              <w:jc w:val="center"/>
              <w:rPr>
                <w:rFonts w:ascii="黑体" w:hAnsi="黑体" w:eastAsia="黑体" w:cs="黑体"/>
                <w:kern w:val="0"/>
                <w:szCs w:val="22"/>
              </w:rPr>
            </w:pPr>
          </w:p>
        </w:tc>
        <w:tc>
          <w:tcPr>
            <w:tcW w:w="1303" w:type="dxa"/>
            <w:vMerge w:val="continue"/>
          </w:tcPr>
          <w:p>
            <w:pPr>
              <w:widowControl/>
              <w:spacing w:line="240" w:lineRule="atLeast"/>
              <w:jc w:val="center"/>
              <w:rPr>
                <w:rFonts w:ascii="黑体" w:hAnsi="黑体" w:eastAsia="黑体" w:cs="黑体"/>
                <w:kern w:val="0"/>
                <w:szCs w:val="22"/>
              </w:rPr>
            </w:pPr>
          </w:p>
        </w:tc>
        <w:tc>
          <w:tcPr>
            <w:tcW w:w="1070" w:type="dxa"/>
            <w:vMerge w:val="continue"/>
          </w:tcPr>
          <w:p>
            <w:pPr>
              <w:widowControl/>
              <w:spacing w:line="240" w:lineRule="atLeast"/>
              <w:jc w:val="center"/>
              <w:rPr>
                <w:rFonts w:ascii="黑体" w:hAnsi="黑体" w:eastAsia="黑体" w:cs="黑体"/>
                <w:kern w:val="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1145" w:type="dxa"/>
            <w:vMerge w:val="continue"/>
            <w:shd w:val="clear" w:color="auto" w:fill="auto"/>
            <w:vAlign w:val="center"/>
          </w:tcPr>
          <w:p>
            <w:pPr>
              <w:widowControl/>
              <w:spacing w:line="240" w:lineRule="atLeast"/>
              <w:jc w:val="center"/>
              <w:rPr>
                <w:rFonts w:ascii="黑体" w:hAnsi="黑体" w:eastAsia="黑体" w:cs="黑体"/>
                <w:kern w:val="0"/>
              </w:rPr>
            </w:pPr>
          </w:p>
        </w:tc>
        <w:tc>
          <w:tcPr>
            <w:tcW w:w="129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395"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4815" w:type="dxa"/>
            <w:shd w:val="clear" w:color="auto" w:fill="auto"/>
            <w:vAlign w:val="center"/>
          </w:tcPr>
          <w:p>
            <w:pPr>
              <w:autoSpaceDE w:val="0"/>
              <w:autoSpaceDN w:val="0"/>
              <w:snapToGrid w:val="0"/>
              <w:spacing w:line="240" w:lineRule="atLeast"/>
              <w:jc w:val="center"/>
              <w:rPr>
                <w:rFonts w:ascii="黑体" w:hAnsi="黑体" w:eastAsia="黑体" w:cs="黑体"/>
              </w:rPr>
            </w:pPr>
            <w:r>
              <w:rPr>
                <w:rFonts w:hint="eastAsia" w:ascii="黑体" w:hAnsi="黑体" w:eastAsia="黑体" w:cs="黑体"/>
                <w:kern w:val="0"/>
                <w:szCs w:val="20"/>
              </w:rPr>
              <w:t>施工进度模拟 □是 □否</w:t>
            </w:r>
          </w:p>
        </w:tc>
        <w:tc>
          <w:tcPr>
            <w:tcW w:w="1305" w:type="dxa"/>
            <w:shd w:val="clear" w:color="auto" w:fill="auto"/>
            <w:vAlign w:val="center"/>
          </w:tcPr>
          <w:p>
            <w:pPr>
              <w:autoSpaceDE w:val="0"/>
              <w:autoSpaceDN w:val="0"/>
              <w:snapToGrid w:val="0"/>
              <w:spacing w:line="240" w:lineRule="atLeast"/>
              <w:jc w:val="center"/>
              <w:rPr>
                <w:rFonts w:ascii="黑体" w:hAnsi="黑体" w:eastAsia="黑体" w:cs="黑体"/>
                <w:kern w:val="0"/>
                <w:szCs w:val="22"/>
              </w:rPr>
            </w:pPr>
            <w:r>
              <w:rPr>
                <w:rFonts w:hint="eastAsia" w:ascii="黑体" w:hAnsi="黑体" w:eastAsia="黑体" w:cs="黑体"/>
                <w:kern w:val="0"/>
                <w:szCs w:val="22"/>
              </w:rPr>
              <w:t>0.5</w:t>
            </w:r>
          </w:p>
        </w:tc>
        <w:tc>
          <w:tcPr>
            <w:tcW w:w="1350" w:type="dxa"/>
            <w:vMerge w:val="continue"/>
            <w:shd w:val="clear" w:color="auto" w:fill="auto"/>
            <w:vAlign w:val="center"/>
          </w:tcPr>
          <w:p>
            <w:pPr>
              <w:widowControl/>
              <w:spacing w:line="240" w:lineRule="atLeast"/>
              <w:jc w:val="center"/>
              <w:rPr>
                <w:rFonts w:ascii="黑体" w:hAnsi="黑体" w:eastAsia="黑体" w:cs="黑体"/>
                <w:kern w:val="0"/>
                <w:szCs w:val="22"/>
              </w:rPr>
            </w:pPr>
          </w:p>
        </w:tc>
        <w:tc>
          <w:tcPr>
            <w:tcW w:w="1303" w:type="dxa"/>
            <w:vMerge w:val="continue"/>
          </w:tcPr>
          <w:p>
            <w:pPr>
              <w:widowControl/>
              <w:spacing w:line="240" w:lineRule="atLeast"/>
              <w:jc w:val="center"/>
              <w:rPr>
                <w:rFonts w:ascii="黑体" w:hAnsi="黑体" w:eastAsia="黑体" w:cs="黑体"/>
                <w:kern w:val="0"/>
                <w:szCs w:val="22"/>
              </w:rPr>
            </w:pPr>
          </w:p>
        </w:tc>
        <w:tc>
          <w:tcPr>
            <w:tcW w:w="1070" w:type="dxa"/>
            <w:vMerge w:val="continue"/>
          </w:tcPr>
          <w:p>
            <w:pPr>
              <w:widowControl/>
              <w:spacing w:line="240" w:lineRule="atLeast"/>
              <w:jc w:val="center"/>
              <w:rPr>
                <w:rFonts w:ascii="黑体" w:hAnsi="黑体" w:eastAsia="黑体" w:cs="黑体"/>
                <w:kern w:val="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1145" w:type="dxa"/>
            <w:vMerge w:val="continue"/>
            <w:shd w:val="clear" w:color="auto" w:fill="auto"/>
            <w:vAlign w:val="center"/>
          </w:tcPr>
          <w:p>
            <w:pPr>
              <w:widowControl/>
              <w:spacing w:line="240" w:lineRule="atLeast"/>
              <w:jc w:val="center"/>
              <w:rPr>
                <w:rFonts w:ascii="黑体" w:hAnsi="黑体" w:eastAsia="黑体" w:cs="黑体"/>
                <w:kern w:val="0"/>
              </w:rPr>
            </w:pPr>
          </w:p>
        </w:tc>
        <w:tc>
          <w:tcPr>
            <w:tcW w:w="129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395"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4815" w:type="dxa"/>
            <w:shd w:val="clear" w:color="auto" w:fill="auto"/>
            <w:vAlign w:val="center"/>
          </w:tcPr>
          <w:p>
            <w:pPr>
              <w:autoSpaceDE w:val="0"/>
              <w:autoSpaceDN w:val="0"/>
              <w:snapToGrid w:val="0"/>
              <w:spacing w:line="240" w:lineRule="atLeast"/>
              <w:jc w:val="center"/>
              <w:rPr>
                <w:rFonts w:ascii="黑体" w:hAnsi="黑体" w:eastAsia="黑体" w:cs="黑体"/>
              </w:rPr>
            </w:pPr>
            <w:r>
              <w:rPr>
                <w:rFonts w:hint="eastAsia" w:ascii="黑体" w:hAnsi="黑体" w:eastAsia="黑体" w:cs="黑体"/>
                <w:kern w:val="0"/>
                <w:szCs w:val="20"/>
              </w:rPr>
              <w:t>施工5D应用 □是 □否</w:t>
            </w:r>
          </w:p>
        </w:tc>
        <w:tc>
          <w:tcPr>
            <w:tcW w:w="1305" w:type="dxa"/>
            <w:shd w:val="clear" w:color="auto" w:fill="auto"/>
            <w:vAlign w:val="center"/>
          </w:tcPr>
          <w:p>
            <w:pPr>
              <w:autoSpaceDE w:val="0"/>
              <w:autoSpaceDN w:val="0"/>
              <w:snapToGrid w:val="0"/>
              <w:spacing w:line="240" w:lineRule="atLeast"/>
              <w:jc w:val="center"/>
              <w:rPr>
                <w:rFonts w:ascii="黑体" w:hAnsi="黑体" w:eastAsia="黑体" w:cs="黑体"/>
                <w:kern w:val="0"/>
                <w:szCs w:val="22"/>
              </w:rPr>
            </w:pPr>
            <w:r>
              <w:rPr>
                <w:rFonts w:hint="eastAsia" w:ascii="黑体" w:hAnsi="黑体" w:eastAsia="黑体" w:cs="黑体"/>
                <w:kern w:val="0"/>
                <w:szCs w:val="22"/>
              </w:rPr>
              <w:t>0.5</w:t>
            </w:r>
          </w:p>
        </w:tc>
        <w:tc>
          <w:tcPr>
            <w:tcW w:w="1350" w:type="dxa"/>
            <w:vMerge w:val="continue"/>
            <w:shd w:val="clear" w:color="auto" w:fill="auto"/>
            <w:vAlign w:val="center"/>
          </w:tcPr>
          <w:p>
            <w:pPr>
              <w:widowControl/>
              <w:spacing w:line="240" w:lineRule="atLeast"/>
              <w:jc w:val="center"/>
              <w:rPr>
                <w:rFonts w:ascii="黑体" w:hAnsi="黑体" w:eastAsia="黑体" w:cs="黑体"/>
                <w:kern w:val="0"/>
                <w:szCs w:val="22"/>
              </w:rPr>
            </w:pPr>
          </w:p>
        </w:tc>
        <w:tc>
          <w:tcPr>
            <w:tcW w:w="1303" w:type="dxa"/>
            <w:vMerge w:val="continue"/>
          </w:tcPr>
          <w:p>
            <w:pPr>
              <w:widowControl/>
              <w:spacing w:line="240" w:lineRule="atLeast"/>
              <w:jc w:val="center"/>
              <w:rPr>
                <w:rFonts w:ascii="黑体" w:hAnsi="黑体" w:eastAsia="黑体" w:cs="黑体"/>
                <w:kern w:val="0"/>
                <w:szCs w:val="22"/>
              </w:rPr>
            </w:pPr>
          </w:p>
        </w:tc>
        <w:tc>
          <w:tcPr>
            <w:tcW w:w="1070" w:type="dxa"/>
            <w:vMerge w:val="continue"/>
          </w:tcPr>
          <w:p>
            <w:pPr>
              <w:widowControl/>
              <w:spacing w:line="240" w:lineRule="atLeast"/>
              <w:jc w:val="center"/>
              <w:rPr>
                <w:rFonts w:ascii="黑体" w:hAnsi="黑体" w:eastAsia="黑体" w:cs="黑体"/>
                <w:kern w:val="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1145" w:type="dxa"/>
            <w:vMerge w:val="continue"/>
            <w:shd w:val="clear" w:color="auto" w:fill="auto"/>
            <w:vAlign w:val="center"/>
          </w:tcPr>
          <w:p>
            <w:pPr>
              <w:widowControl/>
              <w:spacing w:line="240" w:lineRule="atLeast"/>
              <w:jc w:val="center"/>
              <w:rPr>
                <w:rFonts w:ascii="黑体" w:hAnsi="黑体" w:eastAsia="黑体" w:cs="黑体"/>
                <w:kern w:val="0"/>
              </w:rPr>
            </w:pPr>
          </w:p>
        </w:tc>
        <w:tc>
          <w:tcPr>
            <w:tcW w:w="129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395"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4815" w:type="dxa"/>
            <w:shd w:val="clear" w:color="auto" w:fill="auto"/>
            <w:vAlign w:val="center"/>
          </w:tcPr>
          <w:p>
            <w:pPr>
              <w:autoSpaceDE w:val="0"/>
              <w:autoSpaceDN w:val="0"/>
              <w:snapToGrid w:val="0"/>
              <w:spacing w:line="240" w:lineRule="atLeast"/>
              <w:jc w:val="center"/>
              <w:rPr>
                <w:rFonts w:ascii="黑体" w:hAnsi="黑体" w:eastAsia="黑体" w:cs="黑体"/>
              </w:rPr>
            </w:pPr>
            <w:r>
              <w:rPr>
                <w:rFonts w:hint="eastAsia" w:ascii="黑体" w:hAnsi="黑体" w:eastAsia="黑体" w:cs="黑体"/>
                <w:kern w:val="0"/>
                <w:szCs w:val="20"/>
              </w:rPr>
              <w:t>构件管理 □是 □否</w:t>
            </w:r>
          </w:p>
        </w:tc>
        <w:tc>
          <w:tcPr>
            <w:tcW w:w="1305" w:type="dxa"/>
            <w:shd w:val="clear" w:color="auto" w:fill="auto"/>
            <w:vAlign w:val="center"/>
          </w:tcPr>
          <w:p>
            <w:pPr>
              <w:autoSpaceDE w:val="0"/>
              <w:autoSpaceDN w:val="0"/>
              <w:snapToGrid w:val="0"/>
              <w:spacing w:line="240" w:lineRule="atLeast"/>
              <w:jc w:val="center"/>
              <w:rPr>
                <w:rFonts w:ascii="黑体" w:hAnsi="黑体" w:eastAsia="黑体" w:cs="黑体"/>
                <w:kern w:val="0"/>
                <w:szCs w:val="22"/>
              </w:rPr>
            </w:pPr>
            <w:r>
              <w:rPr>
                <w:rFonts w:hint="eastAsia" w:ascii="黑体" w:hAnsi="黑体" w:eastAsia="黑体" w:cs="黑体"/>
                <w:kern w:val="0"/>
                <w:szCs w:val="22"/>
              </w:rPr>
              <w:t>0.5</w:t>
            </w:r>
          </w:p>
        </w:tc>
        <w:tc>
          <w:tcPr>
            <w:tcW w:w="1350" w:type="dxa"/>
            <w:vMerge w:val="continue"/>
            <w:shd w:val="clear" w:color="auto" w:fill="auto"/>
            <w:vAlign w:val="center"/>
          </w:tcPr>
          <w:p>
            <w:pPr>
              <w:widowControl/>
              <w:spacing w:line="240" w:lineRule="atLeast"/>
              <w:jc w:val="center"/>
              <w:rPr>
                <w:rFonts w:ascii="黑体" w:hAnsi="黑体" w:eastAsia="黑体" w:cs="黑体"/>
                <w:kern w:val="0"/>
                <w:szCs w:val="22"/>
              </w:rPr>
            </w:pPr>
          </w:p>
        </w:tc>
        <w:tc>
          <w:tcPr>
            <w:tcW w:w="1303" w:type="dxa"/>
            <w:vMerge w:val="continue"/>
          </w:tcPr>
          <w:p>
            <w:pPr>
              <w:widowControl/>
              <w:spacing w:line="240" w:lineRule="atLeast"/>
              <w:jc w:val="center"/>
              <w:rPr>
                <w:rFonts w:ascii="黑体" w:hAnsi="黑体" w:eastAsia="黑体" w:cs="黑体"/>
                <w:kern w:val="0"/>
                <w:szCs w:val="22"/>
              </w:rPr>
            </w:pPr>
          </w:p>
        </w:tc>
        <w:tc>
          <w:tcPr>
            <w:tcW w:w="1070" w:type="dxa"/>
            <w:vMerge w:val="continue"/>
          </w:tcPr>
          <w:p>
            <w:pPr>
              <w:widowControl/>
              <w:spacing w:line="240" w:lineRule="atLeast"/>
              <w:jc w:val="center"/>
              <w:rPr>
                <w:rFonts w:ascii="黑体" w:hAnsi="黑体" w:eastAsia="黑体" w:cs="黑体"/>
                <w:kern w:val="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1145" w:type="dxa"/>
            <w:vMerge w:val="continue"/>
            <w:shd w:val="clear" w:color="auto" w:fill="auto"/>
            <w:vAlign w:val="center"/>
          </w:tcPr>
          <w:p>
            <w:pPr>
              <w:widowControl/>
              <w:spacing w:line="240" w:lineRule="atLeast"/>
              <w:jc w:val="center"/>
              <w:rPr>
                <w:rFonts w:ascii="黑体" w:hAnsi="黑体" w:eastAsia="黑体" w:cs="黑体"/>
                <w:kern w:val="0"/>
              </w:rPr>
            </w:pPr>
          </w:p>
        </w:tc>
        <w:tc>
          <w:tcPr>
            <w:tcW w:w="129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395"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4815" w:type="dxa"/>
            <w:shd w:val="clear" w:color="auto" w:fill="auto"/>
            <w:vAlign w:val="center"/>
          </w:tcPr>
          <w:p>
            <w:pPr>
              <w:autoSpaceDE w:val="0"/>
              <w:autoSpaceDN w:val="0"/>
              <w:snapToGrid w:val="0"/>
              <w:spacing w:line="240" w:lineRule="atLeast"/>
              <w:jc w:val="center"/>
              <w:rPr>
                <w:rFonts w:ascii="黑体" w:hAnsi="黑体" w:eastAsia="黑体" w:cs="黑体"/>
              </w:rPr>
            </w:pPr>
            <w:r>
              <w:rPr>
                <w:rFonts w:hint="eastAsia" w:ascii="黑体" w:hAnsi="黑体" w:eastAsia="黑体" w:cs="黑体"/>
                <w:kern w:val="0"/>
                <w:szCs w:val="20"/>
              </w:rPr>
              <w:t>设备与材料管理 □是 □否</w:t>
            </w:r>
          </w:p>
        </w:tc>
        <w:tc>
          <w:tcPr>
            <w:tcW w:w="1305" w:type="dxa"/>
            <w:shd w:val="clear" w:color="auto" w:fill="auto"/>
            <w:vAlign w:val="center"/>
          </w:tcPr>
          <w:p>
            <w:pPr>
              <w:autoSpaceDE w:val="0"/>
              <w:autoSpaceDN w:val="0"/>
              <w:snapToGrid w:val="0"/>
              <w:spacing w:line="240" w:lineRule="atLeast"/>
              <w:jc w:val="center"/>
              <w:rPr>
                <w:rFonts w:ascii="黑体" w:hAnsi="黑体" w:eastAsia="黑体" w:cs="黑体"/>
                <w:kern w:val="0"/>
                <w:szCs w:val="22"/>
              </w:rPr>
            </w:pPr>
            <w:r>
              <w:rPr>
                <w:rFonts w:hint="eastAsia" w:ascii="黑体" w:hAnsi="黑体" w:eastAsia="黑体" w:cs="黑体"/>
                <w:kern w:val="0"/>
                <w:szCs w:val="22"/>
              </w:rPr>
              <w:t>0.5</w:t>
            </w:r>
          </w:p>
        </w:tc>
        <w:tc>
          <w:tcPr>
            <w:tcW w:w="1350" w:type="dxa"/>
            <w:vMerge w:val="continue"/>
            <w:shd w:val="clear" w:color="auto" w:fill="auto"/>
            <w:vAlign w:val="center"/>
          </w:tcPr>
          <w:p>
            <w:pPr>
              <w:widowControl/>
              <w:spacing w:line="240" w:lineRule="atLeast"/>
              <w:jc w:val="center"/>
              <w:rPr>
                <w:rFonts w:ascii="黑体" w:hAnsi="黑体" w:eastAsia="黑体" w:cs="黑体"/>
                <w:kern w:val="0"/>
                <w:szCs w:val="22"/>
              </w:rPr>
            </w:pPr>
          </w:p>
        </w:tc>
        <w:tc>
          <w:tcPr>
            <w:tcW w:w="1303" w:type="dxa"/>
            <w:vMerge w:val="continue"/>
          </w:tcPr>
          <w:p>
            <w:pPr>
              <w:widowControl/>
              <w:spacing w:line="240" w:lineRule="atLeast"/>
              <w:jc w:val="center"/>
              <w:rPr>
                <w:rFonts w:ascii="黑体" w:hAnsi="黑体" w:eastAsia="黑体" w:cs="黑体"/>
                <w:kern w:val="0"/>
                <w:szCs w:val="22"/>
              </w:rPr>
            </w:pPr>
          </w:p>
        </w:tc>
        <w:tc>
          <w:tcPr>
            <w:tcW w:w="1070" w:type="dxa"/>
            <w:vMerge w:val="continue"/>
          </w:tcPr>
          <w:p>
            <w:pPr>
              <w:widowControl/>
              <w:spacing w:line="240" w:lineRule="atLeast"/>
              <w:jc w:val="center"/>
              <w:rPr>
                <w:rFonts w:ascii="黑体" w:hAnsi="黑体" w:eastAsia="黑体" w:cs="黑体"/>
                <w:kern w:val="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1145" w:type="dxa"/>
            <w:vMerge w:val="continue"/>
            <w:shd w:val="clear" w:color="auto" w:fill="auto"/>
            <w:vAlign w:val="center"/>
          </w:tcPr>
          <w:p>
            <w:pPr>
              <w:widowControl/>
              <w:spacing w:line="240" w:lineRule="atLeast"/>
              <w:jc w:val="center"/>
              <w:rPr>
                <w:rFonts w:ascii="黑体" w:hAnsi="黑体" w:eastAsia="黑体" w:cs="黑体"/>
                <w:kern w:val="0"/>
              </w:rPr>
            </w:pPr>
          </w:p>
        </w:tc>
        <w:tc>
          <w:tcPr>
            <w:tcW w:w="129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395"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4815" w:type="dxa"/>
            <w:shd w:val="clear" w:color="auto" w:fill="auto"/>
            <w:vAlign w:val="center"/>
          </w:tcPr>
          <w:p>
            <w:pPr>
              <w:autoSpaceDE w:val="0"/>
              <w:autoSpaceDN w:val="0"/>
              <w:snapToGrid w:val="0"/>
              <w:spacing w:line="240" w:lineRule="atLeast"/>
              <w:jc w:val="center"/>
              <w:rPr>
                <w:rFonts w:ascii="黑体" w:hAnsi="黑体" w:eastAsia="黑体" w:cs="黑体"/>
              </w:rPr>
            </w:pPr>
            <w:r>
              <w:rPr>
                <w:rFonts w:hint="eastAsia" w:ascii="黑体" w:hAnsi="黑体" w:eastAsia="黑体" w:cs="黑体"/>
                <w:kern w:val="0"/>
                <w:szCs w:val="20"/>
              </w:rPr>
              <w:t>竣工工程量统计 □是 □否</w:t>
            </w:r>
          </w:p>
        </w:tc>
        <w:tc>
          <w:tcPr>
            <w:tcW w:w="1305" w:type="dxa"/>
            <w:shd w:val="clear" w:color="auto" w:fill="auto"/>
            <w:vAlign w:val="center"/>
          </w:tcPr>
          <w:p>
            <w:pPr>
              <w:autoSpaceDE w:val="0"/>
              <w:autoSpaceDN w:val="0"/>
              <w:snapToGrid w:val="0"/>
              <w:spacing w:line="240" w:lineRule="atLeast"/>
              <w:jc w:val="center"/>
              <w:rPr>
                <w:rFonts w:ascii="黑体" w:hAnsi="黑体" w:eastAsia="黑体" w:cs="黑体"/>
                <w:kern w:val="0"/>
                <w:szCs w:val="22"/>
              </w:rPr>
            </w:pPr>
            <w:r>
              <w:rPr>
                <w:rFonts w:hint="eastAsia" w:ascii="黑体" w:hAnsi="黑体" w:eastAsia="黑体" w:cs="黑体"/>
                <w:kern w:val="0"/>
                <w:szCs w:val="22"/>
              </w:rPr>
              <w:t>0.5</w:t>
            </w:r>
          </w:p>
        </w:tc>
        <w:tc>
          <w:tcPr>
            <w:tcW w:w="1350" w:type="dxa"/>
            <w:vMerge w:val="continue"/>
            <w:shd w:val="clear" w:color="auto" w:fill="auto"/>
            <w:vAlign w:val="center"/>
          </w:tcPr>
          <w:p>
            <w:pPr>
              <w:widowControl/>
              <w:spacing w:line="240" w:lineRule="atLeast"/>
              <w:jc w:val="center"/>
              <w:rPr>
                <w:rFonts w:ascii="黑体" w:hAnsi="黑体" w:eastAsia="黑体" w:cs="黑体"/>
                <w:kern w:val="0"/>
                <w:szCs w:val="22"/>
              </w:rPr>
            </w:pPr>
          </w:p>
        </w:tc>
        <w:tc>
          <w:tcPr>
            <w:tcW w:w="1303" w:type="dxa"/>
            <w:vMerge w:val="continue"/>
          </w:tcPr>
          <w:p>
            <w:pPr>
              <w:widowControl/>
              <w:spacing w:line="240" w:lineRule="atLeast"/>
              <w:jc w:val="center"/>
              <w:rPr>
                <w:rFonts w:ascii="黑体" w:hAnsi="黑体" w:eastAsia="黑体" w:cs="黑体"/>
                <w:kern w:val="0"/>
                <w:szCs w:val="22"/>
              </w:rPr>
            </w:pPr>
          </w:p>
        </w:tc>
        <w:tc>
          <w:tcPr>
            <w:tcW w:w="1070" w:type="dxa"/>
            <w:vMerge w:val="continue"/>
          </w:tcPr>
          <w:p>
            <w:pPr>
              <w:widowControl/>
              <w:spacing w:line="240" w:lineRule="atLeast"/>
              <w:jc w:val="center"/>
              <w:rPr>
                <w:rFonts w:ascii="黑体" w:hAnsi="黑体" w:eastAsia="黑体" w:cs="黑体"/>
                <w:kern w:val="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1145" w:type="dxa"/>
            <w:vMerge w:val="continue"/>
            <w:shd w:val="clear" w:color="auto" w:fill="auto"/>
            <w:vAlign w:val="center"/>
          </w:tcPr>
          <w:p>
            <w:pPr>
              <w:widowControl/>
              <w:spacing w:line="240" w:lineRule="atLeast"/>
              <w:jc w:val="center"/>
              <w:rPr>
                <w:rFonts w:ascii="黑体" w:hAnsi="黑体" w:eastAsia="黑体" w:cs="黑体"/>
                <w:kern w:val="0"/>
              </w:rPr>
            </w:pPr>
          </w:p>
        </w:tc>
        <w:tc>
          <w:tcPr>
            <w:tcW w:w="129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395"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4815" w:type="dxa"/>
            <w:shd w:val="clear" w:color="auto" w:fill="auto"/>
            <w:vAlign w:val="center"/>
          </w:tcPr>
          <w:p>
            <w:pPr>
              <w:autoSpaceDE w:val="0"/>
              <w:autoSpaceDN w:val="0"/>
              <w:snapToGrid w:val="0"/>
              <w:spacing w:line="240" w:lineRule="atLeast"/>
              <w:jc w:val="center"/>
              <w:rPr>
                <w:rFonts w:ascii="黑体" w:hAnsi="黑体" w:eastAsia="黑体" w:cs="黑体"/>
              </w:rPr>
            </w:pPr>
            <w:r>
              <w:rPr>
                <w:rFonts w:hint="eastAsia" w:ascii="黑体" w:hAnsi="黑体" w:eastAsia="黑体" w:cs="黑体"/>
                <w:kern w:val="0"/>
                <w:szCs w:val="20"/>
              </w:rPr>
              <w:t>竣工模型交付 □是 □否</w:t>
            </w:r>
          </w:p>
        </w:tc>
        <w:tc>
          <w:tcPr>
            <w:tcW w:w="1305" w:type="dxa"/>
            <w:shd w:val="clear" w:color="auto" w:fill="auto"/>
            <w:vAlign w:val="center"/>
          </w:tcPr>
          <w:p>
            <w:pPr>
              <w:autoSpaceDE w:val="0"/>
              <w:autoSpaceDN w:val="0"/>
              <w:snapToGrid w:val="0"/>
              <w:spacing w:line="240" w:lineRule="atLeast"/>
              <w:jc w:val="center"/>
              <w:rPr>
                <w:rFonts w:ascii="黑体" w:hAnsi="黑体" w:eastAsia="黑体" w:cs="黑体"/>
                <w:kern w:val="0"/>
                <w:szCs w:val="22"/>
              </w:rPr>
            </w:pPr>
            <w:r>
              <w:rPr>
                <w:rFonts w:hint="eastAsia" w:ascii="黑体" w:hAnsi="黑体" w:eastAsia="黑体" w:cs="黑体"/>
                <w:kern w:val="0"/>
                <w:szCs w:val="22"/>
              </w:rPr>
              <w:t>0.5</w:t>
            </w:r>
          </w:p>
        </w:tc>
        <w:tc>
          <w:tcPr>
            <w:tcW w:w="1350" w:type="dxa"/>
            <w:vMerge w:val="continue"/>
            <w:shd w:val="clear" w:color="auto" w:fill="auto"/>
            <w:vAlign w:val="center"/>
          </w:tcPr>
          <w:p>
            <w:pPr>
              <w:widowControl/>
              <w:spacing w:line="240" w:lineRule="atLeast"/>
              <w:jc w:val="center"/>
              <w:rPr>
                <w:rFonts w:ascii="黑体" w:hAnsi="黑体" w:eastAsia="黑体" w:cs="黑体"/>
                <w:kern w:val="0"/>
                <w:szCs w:val="22"/>
              </w:rPr>
            </w:pPr>
          </w:p>
        </w:tc>
        <w:tc>
          <w:tcPr>
            <w:tcW w:w="1303" w:type="dxa"/>
            <w:vMerge w:val="continue"/>
          </w:tcPr>
          <w:p>
            <w:pPr>
              <w:widowControl/>
              <w:spacing w:line="240" w:lineRule="atLeast"/>
              <w:jc w:val="center"/>
              <w:rPr>
                <w:rFonts w:ascii="黑体" w:hAnsi="黑体" w:eastAsia="黑体" w:cs="黑体"/>
                <w:kern w:val="0"/>
                <w:szCs w:val="22"/>
              </w:rPr>
            </w:pPr>
          </w:p>
        </w:tc>
        <w:tc>
          <w:tcPr>
            <w:tcW w:w="1070" w:type="dxa"/>
            <w:vMerge w:val="continue"/>
          </w:tcPr>
          <w:p>
            <w:pPr>
              <w:widowControl/>
              <w:spacing w:line="240" w:lineRule="atLeast"/>
              <w:jc w:val="center"/>
              <w:rPr>
                <w:rFonts w:ascii="黑体" w:hAnsi="黑体" w:eastAsia="黑体" w:cs="黑体"/>
                <w:kern w:val="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45" w:type="dxa"/>
            <w:vMerge w:val="continue"/>
            <w:shd w:val="clear" w:color="auto" w:fill="auto"/>
            <w:vAlign w:val="center"/>
          </w:tcPr>
          <w:p>
            <w:pPr>
              <w:widowControl/>
              <w:spacing w:line="240" w:lineRule="atLeast"/>
              <w:jc w:val="center"/>
              <w:rPr>
                <w:rFonts w:ascii="黑体" w:hAnsi="黑体" w:eastAsia="黑体" w:cs="黑体"/>
                <w:kern w:val="0"/>
              </w:rPr>
            </w:pPr>
          </w:p>
        </w:tc>
        <w:tc>
          <w:tcPr>
            <w:tcW w:w="129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395" w:type="dxa"/>
            <w:vMerge w:val="restart"/>
            <w:shd w:val="clear" w:color="auto" w:fill="auto"/>
            <w:vAlign w:val="center"/>
          </w:tcPr>
          <w:p>
            <w:pPr>
              <w:autoSpaceDE w:val="0"/>
              <w:autoSpaceDN w:val="0"/>
              <w:snapToGrid w:val="0"/>
              <w:spacing w:line="240" w:lineRule="atLeast"/>
              <w:jc w:val="center"/>
              <w:rPr>
                <w:rFonts w:ascii="黑体" w:hAnsi="黑体" w:eastAsia="黑体" w:cs="黑体"/>
                <w:kern w:val="0"/>
              </w:rPr>
            </w:pPr>
            <w:bookmarkStart w:id="34" w:name="_Hlk143099348"/>
            <w:r>
              <w:rPr>
                <w:rFonts w:hint="eastAsia" w:ascii="黑体" w:hAnsi="黑体" w:eastAsia="黑体" w:cs="黑体"/>
                <w:kern w:val="0"/>
              </w:rPr>
              <w:t>信息化管理协同</w:t>
            </w:r>
            <w:bookmarkEnd w:id="34"/>
          </w:p>
        </w:tc>
        <w:tc>
          <w:tcPr>
            <w:tcW w:w="4815" w:type="dxa"/>
            <w:shd w:val="clear" w:color="auto" w:fill="auto"/>
            <w:vAlign w:val="center"/>
          </w:tcPr>
          <w:p>
            <w:pPr>
              <w:autoSpaceDE w:val="0"/>
              <w:autoSpaceDN w:val="0"/>
              <w:snapToGrid w:val="0"/>
              <w:spacing w:line="240" w:lineRule="atLeast"/>
              <w:jc w:val="center"/>
              <w:rPr>
                <w:rFonts w:ascii="黑体" w:hAnsi="黑体" w:eastAsia="黑体" w:cs="黑体"/>
                <w:kern w:val="0"/>
                <w:szCs w:val="20"/>
              </w:rPr>
            </w:pPr>
            <w:bookmarkStart w:id="35" w:name="_Hlk143099544"/>
            <w:r>
              <w:rPr>
                <w:rFonts w:hint="eastAsia" w:ascii="黑体" w:hAnsi="黑体" w:eastAsia="黑体" w:cs="黑体"/>
                <w:kern w:val="0"/>
                <w:szCs w:val="20"/>
              </w:rPr>
              <w:t>设计阶段和生产阶段信息化管理协同</w:t>
            </w:r>
          </w:p>
          <w:bookmarkEnd w:id="35"/>
          <w:p>
            <w:pPr>
              <w:pStyle w:val="2"/>
              <w:ind w:firstLine="210"/>
              <w:jc w:val="center"/>
            </w:pPr>
            <w:r>
              <w:rPr>
                <w:rFonts w:hint="eastAsia" w:ascii="黑体" w:hAnsi="黑体" w:eastAsia="黑体" w:cs="黑体"/>
                <w:kern w:val="0"/>
                <w:szCs w:val="20"/>
              </w:rPr>
              <w:t>□是 □否</w:t>
            </w:r>
          </w:p>
        </w:tc>
        <w:tc>
          <w:tcPr>
            <w:tcW w:w="1305" w:type="dxa"/>
            <w:shd w:val="clear" w:color="auto" w:fill="auto"/>
            <w:vAlign w:val="center"/>
          </w:tcPr>
          <w:p>
            <w:pPr>
              <w:autoSpaceDE w:val="0"/>
              <w:autoSpaceDN w:val="0"/>
              <w:snapToGrid w:val="0"/>
              <w:spacing w:line="240" w:lineRule="atLeast"/>
              <w:jc w:val="center"/>
              <w:rPr>
                <w:rFonts w:ascii="黑体" w:hAnsi="黑体" w:eastAsia="黑体" w:cs="黑体"/>
                <w:kern w:val="0"/>
                <w:szCs w:val="22"/>
              </w:rPr>
            </w:pPr>
            <w:r>
              <w:rPr>
                <w:rFonts w:ascii="黑体" w:hAnsi="黑体" w:eastAsia="黑体" w:cs="黑体"/>
                <w:kern w:val="0"/>
                <w:szCs w:val="22"/>
              </w:rPr>
              <w:t>1</w:t>
            </w:r>
          </w:p>
        </w:tc>
        <w:tc>
          <w:tcPr>
            <w:tcW w:w="1350" w:type="dxa"/>
            <w:vMerge w:val="restart"/>
            <w:shd w:val="clear" w:color="auto" w:fill="auto"/>
            <w:vAlign w:val="center"/>
          </w:tcPr>
          <w:p>
            <w:pPr>
              <w:widowControl/>
              <w:spacing w:line="240" w:lineRule="atLeast"/>
              <w:jc w:val="center"/>
              <w:rPr>
                <w:rFonts w:ascii="黑体" w:hAnsi="黑体" w:eastAsia="黑体" w:cs="黑体"/>
                <w:kern w:val="0"/>
                <w:szCs w:val="22"/>
              </w:rPr>
            </w:pPr>
            <w:r>
              <w:rPr>
                <w:rFonts w:hint="eastAsia" w:ascii="黑体" w:hAnsi="黑体" w:eastAsia="黑体" w:cs="黑体"/>
                <w:kern w:val="0"/>
                <w:szCs w:val="22"/>
              </w:rPr>
              <w:t>2</w:t>
            </w:r>
          </w:p>
        </w:tc>
        <w:tc>
          <w:tcPr>
            <w:tcW w:w="1303" w:type="dxa"/>
          </w:tcPr>
          <w:p>
            <w:pPr>
              <w:widowControl/>
              <w:spacing w:line="240" w:lineRule="atLeast"/>
              <w:jc w:val="center"/>
              <w:rPr>
                <w:rFonts w:ascii="黑体" w:hAnsi="黑体" w:eastAsia="黑体" w:cs="黑体"/>
                <w:kern w:val="0"/>
                <w:szCs w:val="22"/>
              </w:rPr>
            </w:pPr>
          </w:p>
        </w:tc>
        <w:tc>
          <w:tcPr>
            <w:tcW w:w="1070" w:type="dxa"/>
          </w:tcPr>
          <w:p>
            <w:pPr>
              <w:widowControl/>
              <w:spacing w:line="240" w:lineRule="atLeast"/>
              <w:jc w:val="center"/>
              <w:rPr>
                <w:rFonts w:ascii="黑体" w:hAnsi="黑体" w:eastAsia="黑体" w:cs="黑体"/>
                <w:kern w:val="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45" w:type="dxa"/>
            <w:vMerge w:val="continue"/>
            <w:shd w:val="clear" w:color="auto" w:fill="auto"/>
            <w:vAlign w:val="center"/>
          </w:tcPr>
          <w:p>
            <w:pPr>
              <w:widowControl/>
              <w:spacing w:line="240" w:lineRule="atLeast"/>
              <w:jc w:val="center"/>
              <w:rPr>
                <w:rFonts w:ascii="黑体" w:hAnsi="黑体" w:eastAsia="黑体" w:cs="黑体"/>
                <w:kern w:val="0"/>
              </w:rPr>
            </w:pPr>
          </w:p>
        </w:tc>
        <w:tc>
          <w:tcPr>
            <w:tcW w:w="1290"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395"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4815" w:type="dxa"/>
            <w:shd w:val="clear" w:color="auto" w:fill="auto"/>
            <w:vAlign w:val="center"/>
          </w:tcPr>
          <w:p>
            <w:pPr>
              <w:autoSpaceDE w:val="0"/>
              <w:autoSpaceDN w:val="0"/>
              <w:snapToGrid w:val="0"/>
              <w:spacing w:line="240" w:lineRule="atLeast"/>
              <w:jc w:val="center"/>
              <w:rPr>
                <w:rFonts w:ascii="黑体" w:hAnsi="黑体" w:eastAsia="黑体" w:cs="黑体"/>
                <w:kern w:val="0"/>
              </w:rPr>
            </w:pPr>
            <w:r>
              <w:rPr>
                <w:rFonts w:hint="eastAsia" w:ascii="黑体" w:hAnsi="黑体" w:eastAsia="黑体" w:cs="黑体"/>
                <w:kern w:val="0"/>
              </w:rPr>
              <w:t>生产阶段施工阶段信息化管理协同</w:t>
            </w:r>
          </w:p>
          <w:p>
            <w:pPr>
              <w:autoSpaceDE w:val="0"/>
              <w:autoSpaceDN w:val="0"/>
              <w:snapToGrid w:val="0"/>
              <w:spacing w:line="240" w:lineRule="atLeast"/>
              <w:jc w:val="center"/>
              <w:rPr>
                <w:rFonts w:ascii="黑体" w:hAnsi="黑体" w:eastAsia="黑体" w:cs="黑体"/>
                <w:kern w:val="0"/>
                <w:szCs w:val="20"/>
              </w:rPr>
            </w:pPr>
            <w:r>
              <w:rPr>
                <w:rFonts w:hint="eastAsia" w:ascii="黑体" w:hAnsi="黑体" w:eastAsia="黑体" w:cs="黑体"/>
                <w:kern w:val="0"/>
                <w:szCs w:val="20"/>
              </w:rPr>
              <w:t>□是 □否</w:t>
            </w:r>
          </w:p>
        </w:tc>
        <w:tc>
          <w:tcPr>
            <w:tcW w:w="1305" w:type="dxa"/>
            <w:shd w:val="clear" w:color="auto" w:fill="auto"/>
          </w:tcPr>
          <w:p>
            <w:pPr>
              <w:autoSpaceDE w:val="0"/>
              <w:autoSpaceDN w:val="0"/>
              <w:snapToGrid w:val="0"/>
              <w:spacing w:line="240" w:lineRule="atLeast"/>
              <w:jc w:val="center"/>
              <w:rPr>
                <w:rFonts w:ascii="黑体" w:hAnsi="黑体" w:eastAsia="黑体" w:cs="黑体"/>
                <w:kern w:val="0"/>
                <w:szCs w:val="22"/>
              </w:rPr>
            </w:pPr>
            <w:r>
              <w:rPr>
                <w:rFonts w:ascii="黑体" w:hAnsi="黑体" w:eastAsia="黑体" w:cs="黑体"/>
                <w:kern w:val="0"/>
                <w:szCs w:val="22"/>
              </w:rPr>
              <w:t>1</w:t>
            </w:r>
          </w:p>
        </w:tc>
        <w:tc>
          <w:tcPr>
            <w:tcW w:w="1350" w:type="dxa"/>
            <w:vMerge w:val="continue"/>
            <w:shd w:val="clear" w:color="auto" w:fill="auto"/>
            <w:vAlign w:val="center"/>
          </w:tcPr>
          <w:p>
            <w:pPr>
              <w:widowControl/>
              <w:spacing w:line="240" w:lineRule="atLeast"/>
              <w:jc w:val="center"/>
              <w:rPr>
                <w:rFonts w:ascii="黑体" w:hAnsi="黑体" w:eastAsia="黑体" w:cs="黑体"/>
                <w:kern w:val="0"/>
                <w:szCs w:val="22"/>
              </w:rPr>
            </w:pPr>
          </w:p>
        </w:tc>
        <w:tc>
          <w:tcPr>
            <w:tcW w:w="1303" w:type="dxa"/>
          </w:tcPr>
          <w:p>
            <w:pPr>
              <w:widowControl/>
              <w:spacing w:line="240" w:lineRule="atLeast"/>
              <w:jc w:val="center"/>
              <w:rPr>
                <w:rFonts w:ascii="黑体" w:hAnsi="黑体" w:eastAsia="黑体" w:cs="黑体"/>
                <w:kern w:val="0"/>
                <w:szCs w:val="22"/>
              </w:rPr>
            </w:pPr>
          </w:p>
        </w:tc>
        <w:tc>
          <w:tcPr>
            <w:tcW w:w="1070" w:type="dxa"/>
          </w:tcPr>
          <w:p>
            <w:pPr>
              <w:widowControl/>
              <w:spacing w:line="240" w:lineRule="atLeast"/>
              <w:jc w:val="center"/>
              <w:rPr>
                <w:rFonts w:ascii="黑体" w:hAnsi="黑体" w:eastAsia="黑体" w:cs="黑体"/>
                <w:kern w:val="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1145" w:type="dxa"/>
            <w:vMerge w:val="continue"/>
            <w:shd w:val="clear" w:color="auto" w:fill="auto"/>
            <w:vAlign w:val="center"/>
          </w:tcPr>
          <w:p>
            <w:pPr>
              <w:widowControl/>
              <w:spacing w:line="240" w:lineRule="atLeast"/>
              <w:jc w:val="center"/>
              <w:rPr>
                <w:rFonts w:ascii="黑体" w:hAnsi="黑体" w:eastAsia="黑体" w:cs="黑体"/>
                <w:kern w:val="0"/>
              </w:rPr>
            </w:pPr>
          </w:p>
        </w:tc>
        <w:tc>
          <w:tcPr>
            <w:tcW w:w="1290" w:type="dxa"/>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1395" w:type="dxa"/>
            <w:vMerge w:val="continue"/>
            <w:shd w:val="clear" w:color="auto" w:fill="auto"/>
            <w:vAlign w:val="center"/>
          </w:tcPr>
          <w:p>
            <w:pPr>
              <w:autoSpaceDE w:val="0"/>
              <w:autoSpaceDN w:val="0"/>
              <w:snapToGrid w:val="0"/>
              <w:spacing w:line="240" w:lineRule="atLeast"/>
              <w:jc w:val="center"/>
              <w:rPr>
                <w:rFonts w:ascii="黑体" w:hAnsi="黑体" w:eastAsia="黑体" w:cs="黑体"/>
                <w:kern w:val="0"/>
              </w:rPr>
            </w:pPr>
          </w:p>
        </w:tc>
        <w:tc>
          <w:tcPr>
            <w:tcW w:w="4815" w:type="dxa"/>
            <w:shd w:val="clear" w:color="auto" w:fill="auto"/>
            <w:vAlign w:val="center"/>
          </w:tcPr>
          <w:p>
            <w:pPr>
              <w:autoSpaceDE w:val="0"/>
              <w:autoSpaceDN w:val="0"/>
              <w:snapToGrid w:val="0"/>
              <w:spacing w:line="240" w:lineRule="atLeast"/>
              <w:jc w:val="center"/>
              <w:rPr>
                <w:rFonts w:ascii="黑体" w:hAnsi="黑体" w:eastAsia="黑体" w:cs="黑体"/>
                <w:kern w:val="0"/>
              </w:rPr>
            </w:pPr>
            <w:r>
              <w:rPr>
                <w:rFonts w:hint="eastAsia" w:ascii="黑体" w:hAnsi="黑体" w:eastAsia="黑体" w:cs="黑体"/>
                <w:kern w:val="0"/>
              </w:rPr>
              <w:t>设计阶段施工阶段信息化管理协同</w:t>
            </w:r>
          </w:p>
          <w:p>
            <w:pPr>
              <w:pStyle w:val="2"/>
              <w:ind w:firstLine="210"/>
              <w:jc w:val="center"/>
            </w:pPr>
            <w:r>
              <w:rPr>
                <w:rFonts w:hint="eastAsia" w:ascii="黑体" w:hAnsi="黑体" w:eastAsia="黑体" w:cs="黑体"/>
                <w:kern w:val="0"/>
                <w:szCs w:val="20"/>
              </w:rPr>
              <w:t>□是 □否</w:t>
            </w:r>
          </w:p>
        </w:tc>
        <w:tc>
          <w:tcPr>
            <w:tcW w:w="1305" w:type="dxa"/>
            <w:shd w:val="clear" w:color="auto" w:fill="auto"/>
          </w:tcPr>
          <w:p>
            <w:pPr>
              <w:autoSpaceDE w:val="0"/>
              <w:autoSpaceDN w:val="0"/>
              <w:snapToGrid w:val="0"/>
              <w:spacing w:line="240" w:lineRule="atLeast"/>
              <w:jc w:val="center"/>
              <w:rPr>
                <w:rFonts w:ascii="黑体" w:hAnsi="黑体" w:eastAsia="黑体" w:cs="黑体"/>
                <w:kern w:val="0"/>
                <w:szCs w:val="22"/>
              </w:rPr>
            </w:pPr>
            <w:r>
              <w:rPr>
                <w:rFonts w:ascii="黑体" w:hAnsi="黑体" w:eastAsia="黑体" w:cs="黑体"/>
                <w:kern w:val="0"/>
                <w:szCs w:val="22"/>
              </w:rPr>
              <w:t>1</w:t>
            </w:r>
          </w:p>
        </w:tc>
        <w:tc>
          <w:tcPr>
            <w:tcW w:w="1350" w:type="dxa"/>
            <w:vMerge w:val="continue"/>
            <w:shd w:val="clear" w:color="auto" w:fill="auto"/>
            <w:vAlign w:val="center"/>
          </w:tcPr>
          <w:p>
            <w:pPr>
              <w:widowControl/>
              <w:spacing w:line="240" w:lineRule="atLeast"/>
              <w:jc w:val="center"/>
              <w:rPr>
                <w:rFonts w:ascii="黑体" w:hAnsi="黑体" w:eastAsia="黑体" w:cs="黑体"/>
                <w:kern w:val="0"/>
                <w:szCs w:val="22"/>
              </w:rPr>
            </w:pPr>
          </w:p>
        </w:tc>
        <w:tc>
          <w:tcPr>
            <w:tcW w:w="1303" w:type="dxa"/>
          </w:tcPr>
          <w:p>
            <w:pPr>
              <w:widowControl/>
              <w:spacing w:line="240" w:lineRule="atLeast"/>
              <w:jc w:val="center"/>
              <w:rPr>
                <w:rFonts w:ascii="黑体" w:hAnsi="黑体" w:eastAsia="黑体" w:cs="黑体"/>
                <w:kern w:val="0"/>
                <w:szCs w:val="22"/>
              </w:rPr>
            </w:pPr>
          </w:p>
        </w:tc>
        <w:tc>
          <w:tcPr>
            <w:tcW w:w="1070" w:type="dxa"/>
          </w:tcPr>
          <w:p>
            <w:pPr>
              <w:widowControl/>
              <w:spacing w:line="240" w:lineRule="atLeast"/>
              <w:jc w:val="center"/>
              <w:rPr>
                <w:rFonts w:ascii="黑体" w:hAnsi="黑体" w:eastAsia="黑体" w:cs="黑体"/>
                <w:kern w:val="0"/>
                <w:szCs w:val="22"/>
              </w:rPr>
            </w:pPr>
          </w:p>
        </w:tc>
      </w:tr>
    </w:tbl>
    <w:p>
      <w:pPr>
        <w:pStyle w:val="2"/>
        <w:ind w:firstLine="210"/>
        <w:rPr>
          <w:rFonts w:ascii="黑体" w:hAnsi="黑体" w:eastAsia="黑体"/>
          <w:sz w:val="36"/>
          <w:szCs w:val="32"/>
        </w:rPr>
      </w:pPr>
      <w:r>
        <w:rPr>
          <w:rFonts w:hint="eastAsia" w:ascii="黑体" w:hAnsi="黑体" w:eastAsia="黑体" w:cs="黑体"/>
        </w:rPr>
        <w:t xml:space="preserve">评价单位： </w:t>
      </w:r>
      <w:r>
        <w:rPr>
          <w:rFonts w:ascii="黑体" w:hAnsi="黑体" w:eastAsia="黑体" w:cs="黑体"/>
        </w:rPr>
        <w:t xml:space="preserve">                                                                      </w:t>
      </w:r>
      <w:r>
        <w:rPr>
          <w:rFonts w:hint="eastAsia" w:ascii="黑体" w:hAnsi="黑体" w:eastAsia="黑体" w:cs="黑体"/>
        </w:rPr>
        <w:t xml:space="preserve">填表时间： </w:t>
      </w:r>
      <w:r>
        <w:rPr>
          <w:rFonts w:ascii="黑体" w:hAnsi="黑体" w:eastAsia="黑体" w:cs="黑体"/>
        </w:rPr>
        <w:t xml:space="preserve">                    </w:t>
      </w:r>
      <w:r>
        <w:rPr>
          <w:rFonts w:hint="eastAsia" w:ascii="黑体" w:hAnsi="黑体" w:eastAsia="黑体" w:cs="黑体"/>
        </w:rPr>
        <w:t>填表人：</w:t>
      </w:r>
    </w:p>
    <w:p>
      <w:pPr>
        <w:rPr>
          <w:rFonts w:ascii="黑体" w:hAnsi="黑体" w:eastAsia="黑体"/>
          <w:sz w:val="36"/>
          <w:szCs w:val="32"/>
        </w:rPr>
        <w:sectPr>
          <w:footerReference r:id="rId18" w:type="default"/>
          <w:pgSz w:w="16838" w:h="11906" w:orient="landscape"/>
          <w:pgMar w:top="1800" w:right="1440" w:bottom="1800" w:left="1440" w:header="851" w:footer="992" w:gutter="0"/>
          <w:cols w:space="425" w:num="1"/>
          <w:docGrid w:type="lines" w:linePitch="312" w:charSpace="0"/>
        </w:sectPr>
      </w:pPr>
    </w:p>
    <w:p>
      <w:pPr>
        <w:rPr>
          <w:rFonts w:ascii="黑体" w:hAnsi="黑体" w:eastAsia="黑体"/>
          <w:sz w:val="36"/>
          <w:szCs w:val="32"/>
        </w:rPr>
      </w:pPr>
    </w:p>
    <w:p>
      <w:pPr>
        <w:pStyle w:val="2"/>
        <w:ind w:firstLine="360"/>
        <w:rPr>
          <w:rFonts w:ascii="黑体" w:hAnsi="黑体" w:eastAsia="黑体"/>
          <w:sz w:val="36"/>
          <w:szCs w:val="32"/>
        </w:rPr>
      </w:pPr>
    </w:p>
    <w:p>
      <w:pPr>
        <w:pStyle w:val="2"/>
        <w:ind w:firstLine="360"/>
        <w:rPr>
          <w:rFonts w:ascii="黑体" w:hAnsi="黑体" w:eastAsia="黑体"/>
          <w:sz w:val="36"/>
          <w:szCs w:val="32"/>
        </w:rPr>
      </w:pPr>
    </w:p>
    <w:p>
      <w:pPr>
        <w:pStyle w:val="64"/>
        <w:ind w:firstLine="720"/>
        <w:jc w:val="center"/>
        <w:rPr>
          <w:rFonts w:ascii="黑体" w:hAnsi="黑体" w:eastAsia="黑体"/>
          <w:sz w:val="36"/>
          <w:szCs w:val="32"/>
        </w:rPr>
      </w:pPr>
    </w:p>
    <w:p>
      <w:pPr>
        <w:pStyle w:val="64"/>
        <w:ind w:firstLine="720"/>
        <w:jc w:val="center"/>
        <w:rPr>
          <w:rFonts w:ascii="黑体" w:hAnsi="黑体" w:eastAsia="黑体"/>
          <w:sz w:val="36"/>
          <w:szCs w:val="32"/>
        </w:rPr>
      </w:pPr>
    </w:p>
    <w:p>
      <w:pPr>
        <w:pStyle w:val="64"/>
        <w:ind w:firstLine="720"/>
        <w:jc w:val="center"/>
        <w:rPr>
          <w:rFonts w:ascii="黑体" w:hAnsi="黑体" w:eastAsia="黑体"/>
          <w:sz w:val="36"/>
          <w:szCs w:val="32"/>
        </w:rPr>
      </w:pPr>
      <w:r>
        <w:rPr>
          <w:rFonts w:hint="eastAsia" w:ascii="黑体" w:hAnsi="黑体" w:eastAsia="黑体"/>
          <w:sz w:val="36"/>
          <w:szCs w:val="32"/>
        </w:rPr>
        <w:t>装配式建筑评价规范</w:t>
      </w:r>
    </w:p>
    <w:p>
      <w:pPr>
        <w:pStyle w:val="64"/>
        <w:ind w:firstLine="420"/>
        <w:jc w:val="center"/>
      </w:pPr>
      <w:r>
        <w:t xml:space="preserve">DBJ/T </w:t>
      </w:r>
    </w:p>
    <w:p>
      <w:pPr>
        <w:pStyle w:val="64"/>
        <w:ind w:firstLine="420"/>
        <w:jc w:val="center"/>
        <w:outlineLvl w:val="0"/>
      </w:pPr>
      <w:r>
        <w:rPr>
          <w:rFonts w:hint="eastAsia"/>
        </w:rPr>
        <w:t>条文说明</w:t>
      </w: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98"/>
        <w:spacing w:after="468"/>
        <w:rPr>
          <w:spacing w:val="320"/>
        </w:rPr>
        <w:sectPr>
          <w:footerReference r:id="rId19" w:type="default"/>
          <w:pgSz w:w="11906" w:h="16838"/>
          <w:pgMar w:top="1440" w:right="1800" w:bottom="1440" w:left="1800" w:header="851" w:footer="992" w:gutter="0"/>
          <w:cols w:space="425" w:num="1"/>
          <w:docGrid w:type="lines" w:linePitch="312" w:charSpace="0"/>
        </w:sectPr>
      </w:pPr>
    </w:p>
    <w:p>
      <w:pPr>
        <w:pStyle w:val="98"/>
        <w:spacing w:after="468"/>
        <w:rPr>
          <w:spacing w:val="320"/>
        </w:rPr>
      </w:pPr>
    </w:p>
    <w:p>
      <w:pPr>
        <w:pStyle w:val="98"/>
        <w:spacing w:after="468"/>
      </w:pPr>
      <w:r>
        <w:rPr>
          <w:spacing w:val="320"/>
        </w:rPr>
        <w:t>目</w:t>
      </w:r>
      <w:r>
        <w:t>次</w:t>
      </w:r>
    </w:p>
    <w:p>
      <w:pPr>
        <w:pStyle w:val="21"/>
        <w:tabs>
          <w:tab w:val="right" w:leader="dot" w:pos="9344"/>
        </w:tabs>
        <w:rPr>
          <w:rFonts w:asciiTheme="minorHAnsi" w:hAnsiTheme="minorHAnsi" w:eastAsiaTheme="minorEastAsia" w:cstheme="minorBidi"/>
          <w:szCs w:val="22"/>
        </w:rPr>
      </w:pPr>
      <w:r>
        <w:fldChar w:fldCharType="begin"/>
      </w:r>
      <w:r>
        <w:instrText xml:space="preserve"> TOC \o "1-1" \h \t "标准文件_一级条标题,2,标准文件_二级条标题,3,标准文件_三级条标题,4,标准文件_附录一级条标题,2,标准文件_附录二级条标题,3,标准文件_附录三级条标题,4," </w:instrText>
      </w:r>
      <w:r>
        <w:fldChar w:fldCharType="separate"/>
      </w:r>
    </w:p>
    <w:p>
      <w:pPr>
        <w:pStyle w:val="21"/>
        <w:tabs>
          <w:tab w:val="right" w:leader="dot" w:pos="9344"/>
        </w:tabs>
      </w:pPr>
      <w:r>
        <w:fldChar w:fldCharType="begin"/>
      </w:r>
      <w:r>
        <w:instrText xml:space="preserve"> HYPERLINK \l "_Toc112691927" </w:instrText>
      </w:r>
      <w:r>
        <w:fldChar w:fldCharType="separate"/>
      </w:r>
      <w:r>
        <w:rPr>
          <w:rStyle w:val="35"/>
        </w:rPr>
        <w:t>1 范围</w:t>
      </w:r>
      <w:r>
        <w:tab/>
      </w:r>
      <w:r>
        <w:rPr>
          <w:rFonts w:hint="eastAsia"/>
        </w:rPr>
        <w:t>1</w:t>
      </w:r>
      <w:r>
        <w:rPr>
          <w:rFonts w:hint="eastAsia"/>
        </w:rPr>
        <w:fldChar w:fldCharType="end"/>
      </w:r>
      <w:r>
        <w:rPr>
          <w:rFonts w:hint="eastAsia"/>
        </w:rPr>
        <w:t>5</w:t>
      </w:r>
    </w:p>
    <w:p>
      <w:pPr>
        <w:pStyle w:val="21"/>
        <w:tabs>
          <w:tab w:val="right" w:leader="dot" w:pos="9344"/>
        </w:tabs>
        <w:rPr>
          <w:rFonts w:asciiTheme="minorHAnsi" w:hAnsiTheme="minorHAnsi" w:cstheme="minorBidi"/>
          <w:szCs w:val="22"/>
        </w:rPr>
      </w:pPr>
      <w:r>
        <w:fldChar w:fldCharType="begin"/>
      </w:r>
      <w:r>
        <w:instrText xml:space="preserve"> HYPERLINK \l "_Toc112691929" </w:instrText>
      </w:r>
      <w:r>
        <w:fldChar w:fldCharType="separate"/>
      </w:r>
      <w:r>
        <w:rPr>
          <w:rStyle w:val="35"/>
          <w:rFonts w:hint="eastAsia"/>
        </w:rPr>
        <w:t>3</w:t>
      </w:r>
      <w:r>
        <w:rPr>
          <w:rStyle w:val="35"/>
        </w:rPr>
        <w:t xml:space="preserve"> 术语和定义</w:t>
      </w:r>
      <w:r>
        <w:tab/>
      </w:r>
      <w:r>
        <w:rPr>
          <w:rFonts w:hint="eastAsia"/>
        </w:rPr>
        <w:t>1</w:t>
      </w:r>
      <w:r>
        <w:rPr>
          <w:rFonts w:hint="eastAsia"/>
        </w:rPr>
        <w:fldChar w:fldCharType="end"/>
      </w:r>
      <w:r>
        <w:rPr>
          <w:rFonts w:hint="eastAsia"/>
        </w:rPr>
        <w:t>5</w:t>
      </w:r>
    </w:p>
    <w:p>
      <w:pPr>
        <w:pStyle w:val="21"/>
        <w:tabs>
          <w:tab w:val="right" w:leader="dot" w:pos="9344"/>
        </w:tabs>
        <w:rPr>
          <w:rFonts w:asciiTheme="minorHAnsi" w:hAnsiTheme="minorHAnsi" w:cstheme="minorBidi"/>
          <w:szCs w:val="22"/>
        </w:rPr>
      </w:pPr>
      <w:r>
        <w:fldChar w:fldCharType="begin"/>
      </w:r>
      <w:r>
        <w:instrText xml:space="preserve"> HYPERLINK \l "_Toc112691930" </w:instrText>
      </w:r>
      <w:r>
        <w:fldChar w:fldCharType="separate"/>
      </w:r>
      <w:r>
        <w:rPr>
          <w:rStyle w:val="35"/>
          <w:rFonts w:hint="eastAsia"/>
        </w:rPr>
        <w:t>4</w:t>
      </w:r>
      <w:r>
        <w:rPr>
          <w:rStyle w:val="35"/>
        </w:rPr>
        <w:t xml:space="preserve"> 基本规定</w:t>
      </w:r>
      <w:r>
        <w:tab/>
      </w:r>
      <w:r>
        <w:rPr>
          <w:rFonts w:hint="eastAsia"/>
        </w:rPr>
        <w:t>1</w:t>
      </w:r>
      <w:r>
        <w:rPr>
          <w:rFonts w:hint="eastAsia"/>
        </w:rPr>
        <w:fldChar w:fldCharType="end"/>
      </w:r>
      <w:r>
        <w:rPr>
          <w:rFonts w:hint="eastAsia"/>
        </w:rPr>
        <w:t>5</w:t>
      </w:r>
    </w:p>
    <w:p>
      <w:pPr>
        <w:pStyle w:val="21"/>
        <w:tabs>
          <w:tab w:val="right" w:leader="dot" w:pos="9344"/>
        </w:tabs>
        <w:rPr>
          <w:rFonts w:asciiTheme="minorHAnsi" w:hAnsiTheme="minorHAnsi" w:cstheme="minorBidi"/>
          <w:szCs w:val="22"/>
        </w:rPr>
      </w:pPr>
      <w:r>
        <w:fldChar w:fldCharType="begin"/>
      </w:r>
      <w:r>
        <w:instrText xml:space="preserve"> HYPERLINK \l "_Toc112691931" </w:instrText>
      </w:r>
      <w:r>
        <w:fldChar w:fldCharType="separate"/>
      </w:r>
      <w:r>
        <w:rPr>
          <w:rStyle w:val="35"/>
          <w:rFonts w:hint="eastAsia"/>
        </w:rPr>
        <w:t>5</w:t>
      </w:r>
      <w:r>
        <w:rPr>
          <w:rStyle w:val="35"/>
        </w:rPr>
        <w:t xml:space="preserve"> </w:t>
      </w:r>
      <w:r>
        <w:rPr>
          <w:rStyle w:val="35"/>
          <w:rFonts w:hint="eastAsia"/>
        </w:rPr>
        <w:t>装配率计算</w:t>
      </w:r>
      <w:r>
        <w:tab/>
      </w:r>
      <w:r>
        <w:rPr>
          <w:rFonts w:hint="eastAsia"/>
        </w:rPr>
        <w:t>1</w:t>
      </w:r>
      <w:r>
        <w:rPr>
          <w:rFonts w:hint="eastAsia"/>
        </w:rPr>
        <w:fldChar w:fldCharType="end"/>
      </w:r>
      <w:r>
        <w:rPr>
          <w:rFonts w:hint="eastAsia"/>
        </w:rPr>
        <w:t>6</w:t>
      </w:r>
    </w:p>
    <w:p>
      <w:pPr>
        <w:pStyle w:val="64"/>
        <w:ind w:firstLine="0" w:firstLineChars="0"/>
      </w:pPr>
      <w:r>
        <w:fldChar w:fldCharType="end"/>
      </w:r>
    </w:p>
    <w:p>
      <w:pPr>
        <w:pStyle w:val="64"/>
        <w:ind w:firstLine="420"/>
      </w:pPr>
    </w:p>
    <w:p>
      <w:pPr>
        <w:pStyle w:val="64"/>
        <w:ind w:firstLine="420"/>
      </w:pPr>
    </w:p>
    <w:p>
      <w:pPr>
        <w:pStyle w:val="64"/>
        <w:ind w:firstLine="420"/>
      </w:pPr>
    </w:p>
    <w:p>
      <w:pPr>
        <w:pStyle w:val="64"/>
        <w:ind w:firstLine="420"/>
      </w:pPr>
    </w:p>
    <w:p>
      <w:pPr>
        <w:pStyle w:val="64"/>
        <w:ind w:firstLine="420"/>
      </w:pPr>
    </w:p>
    <w:p>
      <w:pPr>
        <w:pStyle w:val="64"/>
        <w:ind w:firstLine="420"/>
      </w:pPr>
    </w:p>
    <w:p>
      <w:pPr>
        <w:pStyle w:val="110"/>
        <w:numPr>
          <w:ilvl w:val="0"/>
          <w:numId w:val="0"/>
        </w:numPr>
        <w:spacing w:before="312" w:after="312"/>
        <w:rPr>
          <w:b/>
          <w:bCs/>
          <w:szCs w:val="22"/>
        </w:rPr>
        <w:sectPr>
          <w:footerReference r:id="rId20" w:type="default"/>
          <w:pgSz w:w="11906" w:h="16838"/>
          <w:pgMar w:top="1440" w:right="1800" w:bottom="1440" w:left="1800" w:header="851" w:footer="992" w:gutter="0"/>
          <w:cols w:space="425" w:num="1"/>
          <w:docGrid w:type="lines" w:linePitch="312" w:charSpace="0"/>
        </w:sectPr>
      </w:pPr>
    </w:p>
    <w:p>
      <w:pPr>
        <w:pStyle w:val="110"/>
        <w:numPr>
          <w:ilvl w:val="0"/>
          <w:numId w:val="0"/>
        </w:numPr>
        <w:spacing w:before="312" w:after="312"/>
        <w:rPr>
          <w:b/>
          <w:bCs/>
          <w:szCs w:val="22"/>
        </w:rPr>
      </w:pPr>
      <w:r>
        <w:rPr>
          <w:rFonts w:hint="eastAsia"/>
          <w:b/>
          <w:bCs/>
          <w:szCs w:val="22"/>
        </w:rPr>
        <w:t>1</w:t>
      </w:r>
      <w:r>
        <w:rPr>
          <w:b/>
          <w:bCs/>
          <w:szCs w:val="22"/>
        </w:rPr>
        <w:t xml:space="preserve"> </w:t>
      </w:r>
      <w:r>
        <w:rPr>
          <w:rFonts w:hint="eastAsia"/>
          <w:b/>
          <w:bCs/>
          <w:szCs w:val="22"/>
        </w:rPr>
        <w:t>范围</w:t>
      </w:r>
    </w:p>
    <w:p>
      <w:pPr>
        <w:pStyle w:val="64"/>
        <w:ind w:firstLine="420"/>
      </w:pPr>
      <w:r>
        <w:rPr>
          <w:rFonts w:hint="eastAsia"/>
        </w:rPr>
        <w:t>本规范总体遵守了GB/T 51129-2017的评价方法及基本规定。结合湖北省地区发展水平和远期发展目标，细化了主体结构、围护墙和内隔墙、全装修和设备管线的计算方法，增加了设计标准化和信息化管理（含BIM技术）。为鼓励发展工程总承包方式，增加了对应的创新项。总之，本规范的制定充分考虑了目前湖北省装配式建筑整体发展水平，兼顾了远期发展目标，设定的评价指标具有科学性、先进性、系统性、导向性和可操作性。</w:t>
      </w:r>
    </w:p>
    <w:p>
      <w:pPr>
        <w:pStyle w:val="64"/>
        <w:ind w:firstLine="420"/>
      </w:pPr>
      <w:r>
        <w:t>本规范适用于</w:t>
      </w:r>
      <w:r>
        <w:rPr>
          <w:rFonts w:hint="eastAsia"/>
        </w:rPr>
        <w:t>湖北地区</w:t>
      </w:r>
      <w:r>
        <w:t>的装</w:t>
      </w:r>
      <w:r>
        <w:rPr>
          <w:rFonts w:hint="eastAsia"/>
        </w:rPr>
        <w:t>配式混凝土结构建筑、装配式钢结构建筑、钢与混凝土混合结构建筑评价</w:t>
      </w:r>
      <w:r>
        <w:t>，</w:t>
      </w:r>
      <w:r>
        <w:rPr>
          <w:rFonts w:hint="eastAsia"/>
        </w:rPr>
        <w:t>装配式木结构建筑可参照执行。</w:t>
      </w:r>
    </w:p>
    <w:p>
      <w:pPr>
        <w:pStyle w:val="110"/>
        <w:numPr>
          <w:ilvl w:val="0"/>
          <w:numId w:val="0"/>
        </w:numPr>
        <w:spacing w:before="312" w:after="312"/>
        <w:rPr>
          <w:szCs w:val="22"/>
        </w:rPr>
      </w:pPr>
      <w:r>
        <w:rPr>
          <w:rFonts w:hint="eastAsia"/>
          <w:b/>
          <w:bCs/>
          <w:szCs w:val="22"/>
        </w:rPr>
        <w:t>3</w:t>
      </w:r>
      <w:r>
        <w:rPr>
          <w:b/>
          <w:bCs/>
          <w:szCs w:val="22"/>
        </w:rPr>
        <w:t xml:space="preserve"> </w:t>
      </w:r>
      <w:r>
        <w:rPr>
          <w:rFonts w:hint="eastAsia"/>
          <w:szCs w:val="22"/>
        </w:rPr>
        <w:t>术语和定义</w:t>
      </w:r>
    </w:p>
    <w:p>
      <w:pPr>
        <w:pStyle w:val="64"/>
        <w:ind w:firstLine="0" w:firstLineChars="0"/>
      </w:pPr>
      <w:r>
        <w:rPr>
          <w:rFonts w:hint="eastAsia" w:ascii="黑体" w:hAnsi="黑体" w:eastAsia="黑体"/>
          <w:b/>
          <w:bCs/>
        </w:rPr>
        <w:t>3</w:t>
      </w:r>
      <w:r>
        <w:rPr>
          <w:rFonts w:ascii="黑体" w:hAnsi="黑体" w:eastAsia="黑体"/>
          <w:b/>
          <w:bCs/>
        </w:rPr>
        <w:t>.1</w:t>
      </w:r>
      <w:r>
        <w:t xml:space="preserve"> </w:t>
      </w:r>
      <w:r>
        <w:rPr>
          <w:rFonts w:hint="eastAsia"/>
        </w:rPr>
        <w:t>装配式建筑是结构系统、外围护系统、设备与管线系统、内装系统的主要部分采用预制部件部品集成的建筑。装配式建筑是一个系统工程，是将预制部件通过系统集成的方法在工地装配，实现建筑主体结构构件预制，非承重围护墙和内隔墙非砌筑并全装修的建筑。装配式建筑的主体结构可采用装配式混凝土结构、装配式钢结构、装配式木结构及钢框架-混凝土核心筒（剪力墙）混合结构等。</w:t>
      </w:r>
    </w:p>
    <w:p>
      <w:pPr>
        <w:pStyle w:val="64"/>
        <w:ind w:firstLine="0" w:firstLineChars="0"/>
      </w:pPr>
      <w:bookmarkStart w:id="36" w:name="_Hlk129630525"/>
      <w:r>
        <w:rPr>
          <w:rFonts w:hint="eastAsia" w:ascii="黑体" w:hAnsi="黑体" w:eastAsia="黑体"/>
          <w:b/>
          <w:bCs/>
        </w:rPr>
        <w:t>3.</w:t>
      </w:r>
      <w:r>
        <w:rPr>
          <w:rFonts w:ascii="黑体" w:hAnsi="黑体" w:eastAsia="黑体"/>
          <w:b/>
          <w:bCs/>
        </w:rPr>
        <w:t>2</w:t>
      </w:r>
      <w:r>
        <w:t xml:space="preserve"> </w:t>
      </w:r>
      <w:r>
        <w:rPr>
          <w:rFonts w:hint="eastAsia"/>
        </w:rPr>
        <w:t>本《规范》中建筑的装配化程度采用装配率这一综合指标来表述，单体建筑如有地下室、半地下室，取地下室、半地下室顶板标高以上；单体建筑如无地下室，取室外地坪以上。</w:t>
      </w:r>
    </w:p>
    <w:bookmarkEnd w:id="36"/>
    <w:p>
      <w:pPr>
        <w:pStyle w:val="64"/>
        <w:ind w:firstLine="0" w:firstLineChars="0"/>
      </w:pPr>
      <w:r>
        <w:rPr>
          <w:rFonts w:hint="eastAsia" w:ascii="黑体" w:hAnsi="黑体" w:eastAsia="黑体"/>
          <w:b/>
          <w:bCs/>
        </w:rPr>
        <w:t>3</w:t>
      </w:r>
      <w:r>
        <w:rPr>
          <w:rFonts w:ascii="黑体" w:hAnsi="黑体" w:eastAsia="黑体"/>
          <w:b/>
          <w:bCs/>
        </w:rPr>
        <w:t>.</w:t>
      </w:r>
      <w:r>
        <w:rPr>
          <w:rFonts w:hint="eastAsia" w:ascii="黑体" w:hAnsi="黑体" w:eastAsia="黑体"/>
          <w:b/>
          <w:bCs/>
        </w:rPr>
        <w:t>7</w:t>
      </w:r>
      <w:r>
        <w:t xml:space="preserve"> </w:t>
      </w:r>
      <w:r>
        <w:rPr>
          <w:rFonts w:hint="eastAsia"/>
        </w:rPr>
        <w:t>集成厨房多指居住建筑中的厨房，本条强调了厨房的“集成性”和“功能性”。集成厨房是装配式建筑装饰装修的重要组成部分，其设计应按照标准化、系列化原则，并符合干式工法施工的要求，在制作和加工阶段实现装配化。</w:t>
      </w:r>
    </w:p>
    <w:p>
      <w:pPr>
        <w:pStyle w:val="64"/>
        <w:ind w:firstLine="0" w:firstLineChars="0"/>
      </w:pPr>
      <w:r>
        <w:rPr>
          <w:rFonts w:hint="eastAsia" w:ascii="黑体" w:hAnsi="黑体" w:eastAsia="黑体"/>
          <w:b/>
          <w:bCs/>
        </w:rPr>
        <w:t>3</w:t>
      </w:r>
      <w:r>
        <w:rPr>
          <w:rFonts w:ascii="黑体" w:hAnsi="黑体" w:eastAsia="黑体"/>
          <w:b/>
          <w:bCs/>
        </w:rPr>
        <w:t>.</w:t>
      </w:r>
      <w:r>
        <w:rPr>
          <w:rFonts w:hint="eastAsia" w:ascii="黑体" w:hAnsi="黑体" w:eastAsia="黑体"/>
          <w:b/>
          <w:bCs/>
        </w:rPr>
        <w:t>8</w:t>
      </w:r>
      <w:r>
        <w:t xml:space="preserve"> </w:t>
      </w:r>
      <w:r>
        <w:rPr>
          <w:rFonts w:hint="eastAsia"/>
        </w:rPr>
        <w:t>集成卫生间充分考虑了卫生间空间的多样组合或分隔，包括多器具的集成卫生间产品和仅有洗面、洗浴或便溺等单一功能模块的集成卫生间产品。集成卫生间是装配式建筑装饰装修的重要组成部分，其设计应按照标准化、系列化原则，并符合干式工法施工的要求，在制作和加工阶段实现装配化。</w:t>
      </w:r>
    </w:p>
    <w:p>
      <w:pPr>
        <w:pStyle w:val="110"/>
        <w:numPr>
          <w:ilvl w:val="0"/>
          <w:numId w:val="0"/>
        </w:numPr>
        <w:spacing w:before="312" w:after="312"/>
        <w:rPr>
          <w:b/>
          <w:bCs/>
          <w:szCs w:val="22"/>
        </w:rPr>
      </w:pPr>
      <w:r>
        <w:rPr>
          <w:rFonts w:hint="eastAsia"/>
          <w:b/>
          <w:bCs/>
          <w:szCs w:val="22"/>
        </w:rPr>
        <w:t>4</w:t>
      </w:r>
      <w:r>
        <w:rPr>
          <w:b/>
          <w:bCs/>
          <w:szCs w:val="22"/>
        </w:rPr>
        <w:t xml:space="preserve"> </w:t>
      </w:r>
      <w:r>
        <w:rPr>
          <w:rFonts w:hint="eastAsia"/>
          <w:b/>
          <w:bCs/>
          <w:szCs w:val="22"/>
        </w:rPr>
        <w:t>基本规定</w:t>
      </w:r>
    </w:p>
    <w:p>
      <w:pPr>
        <w:pStyle w:val="64"/>
        <w:ind w:firstLine="0" w:firstLineChars="0"/>
      </w:pPr>
      <w:r>
        <w:rPr>
          <w:rFonts w:hint="eastAsia" w:ascii="黑体" w:hAnsi="黑体" w:eastAsia="黑体"/>
          <w:b/>
          <w:bCs/>
        </w:rPr>
        <w:t>4.1</w:t>
      </w:r>
      <w:r>
        <w:rPr>
          <w:rFonts w:hint="eastAsia"/>
        </w:rPr>
        <w:t xml:space="preserve"> 单体建筑作为装配式建筑装配率计算的单元，主要基于单体建筑可构成整个建筑活动的工作单元和产品，并能全面、系统地反映装配式建筑的特点，具有较好的可操作性。</w:t>
      </w:r>
    </w:p>
    <w:p>
      <w:pPr>
        <w:pStyle w:val="64"/>
        <w:ind w:firstLine="420"/>
      </w:pPr>
      <w:r>
        <w:rPr>
          <w:rFonts w:hint="eastAsia"/>
        </w:rPr>
        <w:t>由主楼与裙房组成的建筑或多个主楼由裙房连成一体的建筑，当出现裙房建筑面积过大或主楼与裙房在建筑功能、结构体系、预制建筑部品部件类型有较大差异等情况时，裙房可选择单独作为装配率计算单元。</w:t>
      </w:r>
    </w:p>
    <w:p>
      <w:pPr>
        <w:pStyle w:val="64"/>
        <w:ind w:firstLine="420"/>
      </w:pPr>
      <w:r>
        <w:rPr>
          <w:rFonts w:hint="eastAsia"/>
        </w:rPr>
        <w:t>当扩建项目中的新建部分以结构缝脱开时，新建的结构单位可选择单独作为装配率计算单元。</w:t>
      </w:r>
    </w:p>
    <w:p>
      <w:pPr>
        <w:pStyle w:val="64"/>
        <w:ind w:firstLine="420"/>
      </w:pPr>
      <w:r>
        <w:rPr>
          <w:rFonts w:hint="eastAsia"/>
        </w:rPr>
        <w:t>别墅、独栋办公等建筑具有建筑功能、结构体系、装修及设备系统、建筑层数、平面和立面、建筑标准等基本相同或相似的特征，当上述各个单体建筑层数不大于3层且地上建筑面积不超过500㎡时，为了简化装配率计算，装配率计算单元可为由多个单体建筑组成的建筑组团。</w:t>
      </w:r>
    </w:p>
    <w:p>
      <w:pPr>
        <w:pStyle w:val="64"/>
        <w:ind w:firstLine="0" w:firstLineChars="0"/>
      </w:pPr>
      <w:r>
        <w:rPr>
          <w:rFonts w:hint="eastAsia" w:ascii="黑体" w:hAnsi="黑体" w:eastAsia="黑体"/>
          <w:b/>
          <w:bCs/>
        </w:rPr>
        <w:t>4.2</w:t>
      </w:r>
      <w:r>
        <w:rPr>
          <w:rFonts w:hint="eastAsia"/>
        </w:rPr>
        <w:t xml:space="preserve"> 为保证装配式建筑评价质量和效果，切实发挥评价工作的指导作用，装配式建筑评价分为项目评价和预评价。</w:t>
      </w:r>
    </w:p>
    <w:p>
      <w:pPr>
        <w:pStyle w:val="64"/>
        <w:ind w:firstLine="420"/>
        <w:sectPr>
          <w:footerReference r:id="rId21" w:type="default"/>
          <w:pgSz w:w="11906" w:h="16838"/>
          <w:pgMar w:top="1440" w:right="1800" w:bottom="1440" w:left="1800" w:header="851" w:footer="992" w:gutter="0"/>
          <w:cols w:space="425" w:num="1"/>
          <w:docGrid w:type="lines" w:linePitch="312" w:charSpace="0"/>
        </w:sectPr>
      </w:pPr>
    </w:p>
    <w:p>
      <w:pPr>
        <w:pStyle w:val="64"/>
        <w:ind w:firstLine="420"/>
      </w:pPr>
      <w:r>
        <w:rPr>
          <w:rFonts w:hint="eastAsia"/>
        </w:rPr>
        <w:t>为促使装配式建筑设计理念尽早融入到项目实施过程中，项目宜在设计阶段进行预评价。如果预评价结果不满足装配式建筑评价的相关要求，项目可结合预评价过程中发现的不足，通过调整或优化设计方案使其满足要求。</w:t>
      </w:r>
    </w:p>
    <w:p>
      <w:pPr>
        <w:pStyle w:val="64"/>
        <w:ind w:firstLine="420"/>
      </w:pPr>
      <w:r>
        <w:rPr>
          <w:rFonts w:hint="eastAsia"/>
        </w:rPr>
        <w:t>项目评价应在综合验收后，项目完成竣工备案前，按照竣工资料和相关证明文件进行项目评价。项目评价是装配式建筑评价的最终结果，评价内容包括计算评价项目的装配率和确定评价等级。</w:t>
      </w:r>
    </w:p>
    <w:p>
      <w:pPr>
        <w:pStyle w:val="110"/>
        <w:numPr>
          <w:ilvl w:val="0"/>
          <w:numId w:val="0"/>
        </w:numPr>
        <w:spacing w:before="312" w:after="312"/>
        <w:rPr>
          <w:b/>
          <w:bCs/>
          <w:szCs w:val="22"/>
        </w:rPr>
      </w:pPr>
      <w:r>
        <w:rPr>
          <w:rFonts w:hint="eastAsia"/>
          <w:b/>
          <w:bCs/>
          <w:szCs w:val="22"/>
        </w:rPr>
        <w:t>5</w:t>
      </w:r>
      <w:r>
        <w:rPr>
          <w:b/>
          <w:bCs/>
          <w:szCs w:val="22"/>
        </w:rPr>
        <w:t xml:space="preserve"> </w:t>
      </w:r>
      <w:r>
        <w:rPr>
          <w:rFonts w:hint="eastAsia"/>
          <w:b/>
          <w:bCs/>
          <w:szCs w:val="22"/>
        </w:rPr>
        <w:t>装配率计算</w:t>
      </w:r>
    </w:p>
    <w:p>
      <w:pPr>
        <w:pStyle w:val="64"/>
        <w:ind w:firstLine="0" w:firstLineChars="0"/>
      </w:pPr>
      <w:r>
        <w:rPr>
          <w:rFonts w:hint="eastAsia" w:ascii="黑体" w:hAnsi="黑体" w:eastAsia="黑体"/>
          <w:b/>
          <w:bCs/>
        </w:rPr>
        <w:t>5</w:t>
      </w:r>
      <w:r>
        <w:rPr>
          <w:rFonts w:ascii="黑体" w:hAnsi="黑体" w:eastAsia="黑体"/>
          <w:b/>
          <w:bCs/>
        </w:rPr>
        <w:t>.1</w:t>
      </w:r>
      <w:r>
        <w:rPr>
          <w:rFonts w:hint="eastAsia"/>
        </w:rPr>
        <w:tab/>
      </w:r>
      <w:r>
        <w:rPr>
          <w:rFonts w:hint="eastAsia"/>
        </w:rPr>
        <w:t>装配式建筑装配率应按照本条的规定进行计算，计算结果应按照四舍五入法取整数。若计算过程中，缺少表1中对应的某建筑功能指标项，则该评价项分值记入装配率计算公式的Q</w:t>
      </w:r>
      <w:r>
        <w:rPr>
          <w:rFonts w:hint="eastAsia"/>
          <w:vertAlign w:val="subscript"/>
        </w:rPr>
        <w:t>5</w:t>
      </w:r>
      <w:r>
        <w:rPr>
          <w:rFonts w:hint="eastAsia"/>
        </w:rPr>
        <w:t>中。</w:t>
      </w:r>
    </w:p>
    <w:p>
      <w:pPr>
        <w:pStyle w:val="64"/>
        <w:ind w:firstLine="420"/>
      </w:pPr>
      <w:r>
        <w:rPr>
          <w:rFonts w:hint="eastAsia"/>
        </w:rPr>
        <w:t>表1中指标要求只列出了比例范围的区间。在装配率计算中，如果实际计算的比例小于比例范围中的最小值，则分值取0分；如果实际计算的比例大于比例范围中的最大值，则分值取比例范围中最大值对应的分值。例如：当主体结构水平构件中应用预制部件的应用比例小于</w:t>
      </w:r>
      <w:r>
        <w:t>4</w:t>
      </w:r>
      <w:r>
        <w:rPr>
          <w:rFonts w:hint="eastAsia"/>
        </w:rPr>
        <w:t>0％时，该项分值为0分；当应用比例大于80％时，该项分值为20分。</w:t>
      </w:r>
    </w:p>
    <w:p>
      <w:pPr>
        <w:pStyle w:val="64"/>
        <w:ind w:firstLine="420"/>
      </w:pPr>
      <w:r>
        <w:rPr>
          <w:rFonts w:hint="eastAsia"/>
        </w:rPr>
        <w:t>《“十四五”建筑业发展规划》明确提出大力发展装配式建筑，本《规范》联系《关于推动新型建筑工业化与智能建造发展的实施意见》中提出的意见，将推进设计标准化和信息化管理（含BIM技术）在装配式建筑中的应用。</w:t>
      </w:r>
    </w:p>
    <w:p>
      <w:pPr>
        <w:pStyle w:val="64"/>
        <w:ind w:firstLine="420"/>
      </w:pPr>
      <w:r>
        <w:rPr>
          <w:rFonts w:hint="eastAsia"/>
        </w:rPr>
        <w:t>为了鼓励工程总承包、装配式装修、信息化管理的推广应用，本《规范》将以上三类应用作为创新项计入评价结果。</w:t>
      </w:r>
    </w:p>
    <w:p>
      <w:pPr>
        <w:pStyle w:val="64"/>
        <w:ind w:firstLine="0" w:firstLineChars="0"/>
      </w:pPr>
      <w:r>
        <w:rPr>
          <w:rFonts w:hint="eastAsia" w:ascii="黑体" w:hAnsi="黑体" w:eastAsia="黑体"/>
          <w:b/>
          <w:bCs/>
        </w:rPr>
        <w:t>5.2</w:t>
      </w:r>
      <w:r>
        <w:rPr>
          <w:rFonts w:hint="eastAsia"/>
        </w:rPr>
        <w:tab/>
      </w:r>
      <w:r>
        <w:rPr>
          <w:rFonts w:hint="eastAsia"/>
        </w:rPr>
        <w:t>本条中的主体结构竖向构件包括柱、支撑、承重墙、延性墙板等。</w:t>
      </w:r>
    </w:p>
    <w:p>
      <w:pPr>
        <w:pStyle w:val="64"/>
        <w:ind w:firstLine="420"/>
        <w:rPr>
          <w:strike/>
          <w:highlight w:val="yellow"/>
        </w:rPr>
      </w:pPr>
      <w:r>
        <w:rPr>
          <w:rFonts w:hint="eastAsia"/>
        </w:rPr>
        <w:t>主体结构竖向构件全部采用钢结构时，竖向承重部件指标分值得分应为 30 分。</w:t>
      </w:r>
    </w:p>
    <w:p>
      <w:pPr>
        <w:pStyle w:val="64"/>
        <w:ind w:firstLine="420"/>
      </w:pPr>
      <w:r>
        <w:rPr>
          <w:rFonts w:hint="eastAsia"/>
        </w:rPr>
        <w:t>钢结构构件体积应按构件外轮廓投影面积乘以构件的长度计算预制部件体积。</w:t>
      </w:r>
    </w:p>
    <w:p>
      <w:pPr>
        <w:pStyle w:val="64"/>
        <w:ind w:firstLine="420"/>
      </w:pPr>
      <w:r>
        <w:rPr>
          <w:rFonts w:hint="eastAsia"/>
        </w:rPr>
        <w:t>当符合下列条件时，竖向预制部件间连接部分的混凝土体积可计入V</w:t>
      </w:r>
      <w:r>
        <w:rPr>
          <w:rFonts w:hint="eastAsia"/>
          <w:vertAlign w:val="subscript"/>
        </w:rPr>
        <w:t>1a</w:t>
      </w:r>
      <w:r>
        <w:rPr>
          <w:rFonts w:hint="eastAsia"/>
        </w:rPr>
        <w:t xml:space="preserve"> 中：</w:t>
      </w:r>
    </w:p>
    <w:p>
      <w:pPr>
        <w:pStyle w:val="64"/>
        <w:ind w:firstLine="420"/>
        <w:jc w:val="left"/>
      </w:pPr>
      <w:r>
        <w:rPr>
          <w:rFonts w:hint="eastAsia"/>
        </w:rPr>
        <w:t>a</w:t>
      </w:r>
      <w:r>
        <w:t xml:space="preserve">) </w:t>
      </w:r>
      <w:r>
        <w:rPr>
          <w:rFonts w:hint="eastAsia"/>
        </w:rPr>
        <w:t>制墙板之间（包括预制剪力墙与预制非承重墙之间）宽度不大于 600mm 的竖向现浇段和高度不大于300mm 的水平后浇带、圈梁的后浇混凝土体积。</w:t>
      </w:r>
    </w:p>
    <w:p>
      <w:pPr>
        <w:pStyle w:val="64"/>
        <w:ind w:firstLine="420"/>
      </w:pPr>
      <w:r>
        <w:t xml:space="preserve">b) </w:t>
      </w:r>
      <w:r>
        <w:rPr>
          <w:rFonts w:hint="eastAsia"/>
        </w:rPr>
        <w:t>预制框架柱和框架梁之间柱梁节点区的后浇混凝土体积。</w:t>
      </w:r>
    </w:p>
    <w:p>
      <w:pPr>
        <w:pStyle w:val="64"/>
        <w:ind w:firstLine="420"/>
      </w:pPr>
      <w:r>
        <w:t xml:space="preserve">c) </w:t>
      </w:r>
      <w:r>
        <w:rPr>
          <w:rFonts w:hint="eastAsia"/>
        </w:rPr>
        <w:t>预制柱间高度不大于柱截面较小尺寸的连接区后浇混凝土体积。</w:t>
      </w:r>
    </w:p>
    <w:p>
      <w:pPr>
        <w:pStyle w:val="64"/>
        <w:ind w:firstLine="420"/>
      </w:pPr>
      <w:r>
        <w:t xml:space="preserve">d) </w:t>
      </w:r>
      <w:r>
        <w:rPr>
          <w:rFonts w:hint="eastAsia"/>
        </w:rPr>
        <w:t>当预制构件兼作外模板使用时。</w:t>
      </w:r>
    </w:p>
    <w:p>
      <w:pPr>
        <w:pStyle w:val="64"/>
        <w:ind w:firstLine="420"/>
      </w:pPr>
      <w:r>
        <w:t xml:space="preserve">e) </w:t>
      </w:r>
      <w:r>
        <w:rPr>
          <w:rFonts w:hint="eastAsia"/>
        </w:rPr>
        <w:t>结构形式为框架剪力墙、框架核心筒结构，当框架柱采用预制，剪力墙、核心筒采用现浇混凝土时，竖向部件的预制应用比例可只计算框架柱部分，剪力墙、核心筒部分分子分母均不考虑。</w:t>
      </w:r>
    </w:p>
    <w:p>
      <w:pPr>
        <w:pStyle w:val="64"/>
        <w:ind w:firstLine="420"/>
      </w:pPr>
      <w:r>
        <w:rPr>
          <w:rFonts w:hint="eastAsia"/>
        </w:rPr>
        <w:t>对相关规范规定必须现浇的竖向构件，计算装配率时，分子分母均不考虑。</w:t>
      </w:r>
    </w:p>
    <w:p>
      <w:pPr>
        <w:pStyle w:val="64"/>
        <w:ind w:firstLine="0" w:firstLineChars="0"/>
      </w:pPr>
      <w:r>
        <w:rPr>
          <w:rFonts w:hint="eastAsia" w:ascii="黑体" w:hAnsi="黑体" w:eastAsia="黑体"/>
          <w:b/>
          <w:bCs/>
        </w:rPr>
        <w:t>5.3</w:t>
      </w:r>
      <w:r>
        <w:rPr>
          <w:rFonts w:hint="eastAsia"/>
        </w:rPr>
        <w:tab/>
      </w:r>
      <w:r>
        <w:rPr>
          <w:rFonts w:hint="eastAsia"/>
        </w:rPr>
        <w:t>本条中的梁包括全预制混凝土梁、叠合梁、钢梁、木梁、工厂制作的钢-混组合梁；板包括叠合楼板、预制楼板、密肋楼板、预应力空心楼板（SPD）等免支模的楼板等；楼梯包括预制混凝土楼梯、钢楼梯等。</w:t>
      </w:r>
    </w:p>
    <w:p>
      <w:pPr>
        <w:pStyle w:val="64"/>
        <w:ind w:firstLine="420"/>
      </w:pPr>
      <w:r>
        <w:rPr>
          <w:rFonts w:hint="eastAsia"/>
        </w:rPr>
        <w:t>采用钢筋桁架楼承板、压型钢板组合楼板构件，可纳入装配式钢结构建筑水平构件中预制部件应用比例计算范围，而不纳入装配式混凝土结构建筑水平构件中预制部件应用比例计算范围。</w:t>
      </w:r>
    </w:p>
    <w:p>
      <w:pPr>
        <w:pStyle w:val="64"/>
        <w:ind w:firstLine="420"/>
      </w:pPr>
      <w:r>
        <w:rPr>
          <w:rFonts w:hint="eastAsia"/>
        </w:rPr>
        <w:t>当采用免拆水泥基底免支撑的钢筋桁架楼承板，作为结构构件的组成部分时，可计入</w:t>
      </w:r>
      <w:r>
        <w:t>A</w:t>
      </w:r>
      <w:r>
        <w:rPr>
          <w:vertAlign w:val="subscript"/>
        </w:rPr>
        <w:t>1b</w:t>
      </w:r>
      <w:r>
        <w:rPr>
          <w:rFonts w:hint="eastAsia"/>
        </w:rPr>
        <w:t>面积；如果仅是施工用模板，则不得计入</w:t>
      </w:r>
      <w:r>
        <w:t>A</w:t>
      </w:r>
      <w:r>
        <w:rPr>
          <w:vertAlign w:val="subscript"/>
        </w:rPr>
        <w:t>1b</w:t>
      </w:r>
      <w:r>
        <w:rPr>
          <w:rFonts w:hint="eastAsia"/>
        </w:rPr>
        <w:t>面积。</w:t>
      </w:r>
    </w:p>
    <w:p>
      <w:pPr>
        <w:pStyle w:val="64"/>
        <w:ind w:firstLine="420"/>
      </w:pPr>
      <w:r>
        <w:rPr>
          <w:rFonts w:hint="eastAsia"/>
        </w:rPr>
        <w:t>预制部件间宽度不大于300mm时，该部分的水平投影面积可计入 A</w:t>
      </w:r>
      <w:r>
        <w:rPr>
          <w:rFonts w:hint="eastAsia"/>
          <w:vertAlign w:val="subscript"/>
        </w:rPr>
        <w:t>1b</w:t>
      </w:r>
      <w:r>
        <w:rPr>
          <w:rFonts w:hint="eastAsia"/>
        </w:rPr>
        <w:t>中。</w:t>
      </w:r>
    </w:p>
    <w:p>
      <w:pPr>
        <w:pStyle w:val="64"/>
        <w:ind w:firstLine="420"/>
      </w:pPr>
      <w:r>
        <w:rPr>
          <w:rFonts w:hint="eastAsia"/>
        </w:rPr>
        <w:t>凸窗较为复杂，可将水平挑板和预制围护墙分别按</w:t>
      </w:r>
      <w:r>
        <w:t>5</w:t>
      </w:r>
      <w:r>
        <w:rPr>
          <w:rFonts w:hint="eastAsia"/>
        </w:rPr>
        <w:t>.3和</w:t>
      </w:r>
      <w:r>
        <w:t>5</w:t>
      </w:r>
      <w:r>
        <w:rPr>
          <w:rFonts w:hint="eastAsia"/>
        </w:rPr>
        <w:t>.4计算。</w:t>
      </w:r>
    </w:p>
    <w:p>
      <w:pPr>
        <w:pStyle w:val="64"/>
        <w:ind w:firstLine="420"/>
        <w:sectPr>
          <w:footerReference r:id="rId22" w:type="default"/>
          <w:pgSz w:w="11906" w:h="16838"/>
          <w:pgMar w:top="1440" w:right="1800" w:bottom="1440" w:left="1800" w:header="851" w:footer="992" w:gutter="0"/>
          <w:cols w:space="425" w:num="1"/>
          <w:docGrid w:type="lines" w:linePitch="312" w:charSpace="0"/>
        </w:sectPr>
      </w:pPr>
    </w:p>
    <w:p>
      <w:pPr>
        <w:pStyle w:val="64"/>
        <w:ind w:firstLine="420"/>
      </w:pPr>
      <w:r>
        <w:rPr>
          <w:rFonts w:hint="eastAsia"/>
        </w:rPr>
        <w:t>预制叠合梁和预制围护墙集成在一体时，可将预制梁部分与预制围护墙部分分别按4.0.3和4.0.4计算。</w:t>
      </w:r>
    </w:p>
    <w:p>
      <w:pPr>
        <w:pStyle w:val="64"/>
        <w:ind w:firstLine="420"/>
      </w:pPr>
      <w:r>
        <w:rPr>
          <w:rFonts w:hint="eastAsia"/>
        </w:rPr>
        <w:t>电梯井、设备管井以及与竖向构件重合部分的水平投影面积不计入A</w:t>
      </w:r>
      <w:r>
        <w:rPr>
          <w:rFonts w:hint="eastAsia"/>
          <w:vertAlign w:val="subscript"/>
        </w:rPr>
        <w:t>1</w:t>
      </w:r>
      <w:r>
        <w:rPr>
          <w:rFonts w:hint="eastAsia"/>
        </w:rPr>
        <w:t>中。</w:t>
      </w:r>
    </w:p>
    <w:p>
      <w:pPr>
        <w:pStyle w:val="64"/>
        <w:ind w:firstLine="0" w:firstLineChars="0"/>
      </w:pPr>
      <w:r>
        <w:rPr>
          <w:rFonts w:hint="eastAsia" w:ascii="黑体" w:hAnsi="黑体" w:eastAsia="黑体"/>
          <w:b/>
          <w:bCs/>
        </w:rPr>
        <w:t>5.4</w:t>
      </w:r>
      <w:r>
        <w:rPr>
          <w:rFonts w:hint="eastAsia"/>
        </w:rPr>
        <w:tab/>
      </w:r>
      <w:r>
        <w:rPr>
          <w:rFonts w:hint="eastAsia"/>
        </w:rPr>
        <w:t>新型建筑围护墙体的应用对提高建筑质量和品质、建造模式的改变等都具有重要意义，积极引导和逐步推广新型建筑围护墙体也是装配式建筑的重点工作。非砌筑是新型建筑围护墙体的共同特征之一，非砌筑类型墙体包括非承重预制普通混凝土墙板、轻质条板等各种中大型板材、不设内衬墙的单元式玻璃幕墙、木骨架或轻钢龙骨式复合墙体、“干法”施工的自保温墙体，应满足工厂生产、现场安装的要求。对于设置内衬墙的金属和石材幕墙、人造板材幕墙等非透明幕墙，非承重围护墙中非砌筑墙体的应用比例为非砌筑内衬墙体的应用比例。</w:t>
      </w:r>
    </w:p>
    <w:p>
      <w:pPr>
        <w:pStyle w:val="64"/>
        <w:ind w:firstLine="420"/>
      </w:pPr>
      <w:r>
        <w:rPr>
          <w:rFonts w:hint="eastAsia"/>
        </w:rPr>
        <w:t>当非承重围护墙采用现浇方式建造时，Q</w:t>
      </w:r>
      <w:r>
        <w:rPr>
          <w:rFonts w:hint="eastAsia"/>
          <w:vertAlign w:val="subscript"/>
        </w:rPr>
        <w:t>2a</w:t>
      </w:r>
      <w:r>
        <w:rPr>
          <w:rFonts w:hint="eastAsia"/>
        </w:rPr>
        <w:t>不得分。</w:t>
      </w:r>
    </w:p>
    <w:p>
      <w:pPr>
        <w:pStyle w:val="64"/>
        <w:ind w:firstLine="420"/>
      </w:pPr>
      <w:r>
        <w:rPr>
          <w:rFonts w:hint="eastAsia"/>
        </w:rPr>
        <w:t>当A</w:t>
      </w:r>
      <w:r>
        <w:rPr>
          <w:rFonts w:hint="eastAsia"/>
          <w:vertAlign w:val="subscript"/>
        </w:rPr>
        <w:t>2a</w:t>
      </w:r>
      <w:r>
        <w:rPr>
          <w:rFonts w:hint="eastAsia"/>
        </w:rPr>
        <w:t>中不扣除门、窗及预留洞口等的面积时，A</w:t>
      </w:r>
      <w:r>
        <w:rPr>
          <w:rFonts w:hint="eastAsia"/>
          <w:vertAlign w:val="subscript"/>
        </w:rPr>
        <w:t>w1</w:t>
      </w:r>
      <w:r>
        <w:rPr>
          <w:rFonts w:hint="eastAsia"/>
        </w:rPr>
        <w:t xml:space="preserve">中也不扣除门、窗及预留洞口等的面积。 </w:t>
      </w:r>
    </w:p>
    <w:p>
      <w:pPr>
        <w:pStyle w:val="64"/>
        <w:ind w:firstLine="0" w:firstLineChars="0"/>
      </w:pPr>
      <w:r>
        <w:rPr>
          <w:rFonts w:hint="eastAsia" w:ascii="黑体" w:hAnsi="黑体" w:eastAsia="黑体"/>
          <w:b/>
          <w:bCs/>
        </w:rPr>
        <w:t>5.5</w:t>
      </w:r>
      <w:r>
        <w:rPr>
          <w:rFonts w:hint="eastAsia"/>
        </w:rPr>
        <w:tab/>
      </w:r>
      <w:r>
        <w:rPr>
          <w:rFonts w:hint="eastAsia"/>
        </w:rPr>
        <w:t>本条所指围护墙包括了承重围护墙和非承重围护墙。围护墙采用墙体与保温隔热、装饰一体化强调的是“集成性”，通过集成，满足结构、保温隔热、装饰要求。同时还强调了从设计阶段需进行一体化集成设计，实现多功能一体的“围护墙系统”。</w:t>
      </w:r>
    </w:p>
    <w:p>
      <w:pPr>
        <w:pStyle w:val="64"/>
        <w:ind w:firstLine="420"/>
      </w:pPr>
      <w:r>
        <w:rPr>
          <w:rFonts w:hint="eastAsia"/>
        </w:rPr>
        <w:t xml:space="preserve">结合当前实际，本《规范》将围护墙采用墙体与保温装饰一体化分为三种情况，即围护墙采用墙体与保温装饰一体化、墙体与保温一体化、保温装饰一体化。可根据应用比例按对应的分值计算。 </w:t>
      </w:r>
    </w:p>
    <w:p>
      <w:pPr>
        <w:pStyle w:val="64"/>
        <w:ind w:firstLine="420"/>
      </w:pPr>
      <w:r>
        <w:rPr>
          <w:rFonts w:hint="eastAsia"/>
        </w:rPr>
        <w:t>预制混凝土夹心保温墙板可视为满足墙体与保温一体化，具有清水混凝土外立面效果的预制混凝土夹心保温墙板可视为满足墙体与保温装饰一体化的要求。</w:t>
      </w:r>
    </w:p>
    <w:p>
      <w:pPr>
        <w:pStyle w:val="64"/>
        <w:ind w:firstLine="0" w:firstLineChars="0"/>
      </w:pPr>
      <w:r>
        <w:rPr>
          <w:rFonts w:hint="eastAsia" w:ascii="黑体" w:hAnsi="黑体" w:eastAsia="黑体"/>
          <w:b/>
          <w:bCs/>
        </w:rPr>
        <w:t>5.6</w:t>
      </w:r>
      <w:r>
        <w:rPr>
          <w:rFonts w:hint="eastAsia"/>
        </w:rPr>
        <w:tab/>
      </w:r>
      <w:r>
        <w:rPr>
          <w:rFonts w:hint="eastAsia"/>
        </w:rPr>
        <w:t>内隔墙中非砌筑类墙体包括各种中大型板材、木骨架或轻钢骨架复合墙体等，应满足工厂生产、现场安装、以“干法”施工为主的要求。计算内隔墙墙面面积时，当A</w:t>
      </w:r>
      <w:r>
        <w:rPr>
          <w:rFonts w:hint="eastAsia"/>
          <w:vertAlign w:val="subscript"/>
        </w:rPr>
        <w:t>2c</w:t>
      </w:r>
      <w:r>
        <w:rPr>
          <w:rFonts w:hint="eastAsia"/>
        </w:rPr>
        <w:t>中不扣除门、窗及预留洞口等的面积时，A</w:t>
      </w:r>
      <w:r>
        <w:rPr>
          <w:rFonts w:hint="eastAsia"/>
          <w:vertAlign w:val="subscript"/>
        </w:rPr>
        <w:t>w3</w:t>
      </w:r>
      <w:r>
        <w:rPr>
          <w:rFonts w:hint="eastAsia"/>
        </w:rPr>
        <w:t>中也不扣除门、窗及预留洞口等的面积。内隔墙高度应按内隔墙实际高度取值。</w:t>
      </w:r>
    </w:p>
    <w:p>
      <w:pPr>
        <w:pStyle w:val="64"/>
        <w:ind w:firstLine="0" w:firstLineChars="0"/>
      </w:pPr>
      <w:r>
        <w:rPr>
          <w:rFonts w:hint="eastAsia" w:ascii="黑体" w:hAnsi="黑体" w:eastAsia="黑体"/>
          <w:b/>
          <w:bCs/>
        </w:rPr>
        <w:t>5.7</w:t>
      </w:r>
      <w:r>
        <w:rPr>
          <w:rFonts w:hint="eastAsia"/>
        </w:rPr>
        <w:tab/>
      </w:r>
      <w:r>
        <w:rPr>
          <w:rFonts w:hint="eastAsia"/>
        </w:rPr>
        <w:t xml:space="preserve">内隔墙采用墙体与管线、装修一体化强调的是“集成性”。内隔墙从设计阶段就需进行一体化集成设计，在管线综合设计的基础上，实现墙体与管线的集成以及土建与装修的一体化，从而形成“内隔墙系统”。 </w:t>
      </w:r>
    </w:p>
    <w:p>
      <w:pPr>
        <w:pStyle w:val="64"/>
        <w:ind w:firstLine="420"/>
      </w:pPr>
      <w:r>
        <w:rPr>
          <w:rFonts w:hint="eastAsia"/>
        </w:rPr>
        <w:t>结合当前实际，本《规范》将内隔墙采用墙体与管线、装修一体化分为两种情况，即内隔墙采用墙体与管线、装修一体化，内隔墙采用墙体与管线一体化。实际工程应根据应用情况选择一种方式计算应用比例，确定评价分值。</w:t>
      </w:r>
    </w:p>
    <w:p>
      <w:pPr>
        <w:pStyle w:val="64"/>
        <w:ind w:firstLine="0" w:firstLineChars="0"/>
      </w:pPr>
      <w:r>
        <w:rPr>
          <w:rFonts w:ascii="黑体" w:hAnsi="黑体" w:eastAsia="黑体"/>
          <w:b/>
          <w:bCs/>
        </w:rPr>
        <w:t>5</w:t>
      </w:r>
      <w:r>
        <w:rPr>
          <w:rFonts w:hint="eastAsia" w:ascii="黑体" w:hAnsi="黑体" w:eastAsia="黑体"/>
          <w:b/>
          <w:bCs/>
        </w:rPr>
        <w:t>.8</w:t>
      </w:r>
      <w:r>
        <w:t xml:space="preserve"> </w:t>
      </w:r>
      <w:r>
        <w:rPr>
          <w:rFonts w:hint="eastAsia"/>
        </w:rPr>
        <w:t>对于对建造合同规定毛坯交付的还建房和毛坯交付进行销售备案的商品住房，从质量、环保与节材方面考虑，应倡导由开发商统一进行装修。“菜单式”全装修应对于各种户型提供不少于两种装修方案的完整设计文件，且有全装修的样板房。</w:t>
      </w:r>
    </w:p>
    <w:p>
      <w:pPr>
        <w:pStyle w:val="64"/>
        <w:ind w:firstLine="0" w:firstLineChars="0"/>
      </w:pPr>
      <w:r>
        <w:rPr>
          <w:rFonts w:hint="eastAsia" w:ascii="黑体" w:hAnsi="黑体" w:eastAsia="黑体"/>
          <w:b/>
          <w:bCs/>
        </w:rPr>
        <w:t>5.</w:t>
      </w:r>
      <w:r>
        <w:rPr>
          <w:rFonts w:ascii="黑体" w:hAnsi="黑体" w:eastAsia="黑体"/>
          <w:b/>
          <w:bCs/>
        </w:rPr>
        <w:t>9</w:t>
      </w:r>
      <w:r>
        <w:rPr>
          <w:rFonts w:hint="eastAsia"/>
        </w:rPr>
        <w:t xml:space="preserve"> 干式工法是指取消普通砂浆等湿作业的施工方式。干式工法楼面为结构楼面混凝土一次性成型，施工精度达到免砂浆找平要求；干式工法地面为建筑地面采用架铺、干铺或薄贴工艺，例如架空地板、木地板或薄贴地砖。设置在楼地面保温层下部的现浇找平、结合层可计为干式工法。</w:t>
      </w:r>
    </w:p>
    <w:p>
      <w:pPr>
        <w:pStyle w:val="64"/>
        <w:ind w:firstLine="0" w:firstLineChars="0"/>
      </w:pPr>
      <w:r>
        <w:rPr>
          <w:rFonts w:hint="eastAsia" w:ascii="黑体" w:hAnsi="黑体" w:eastAsia="黑体"/>
          <w:b/>
          <w:bCs/>
        </w:rPr>
        <w:t>5.</w:t>
      </w:r>
      <w:r>
        <w:rPr>
          <w:rFonts w:ascii="黑体" w:hAnsi="黑体" w:eastAsia="黑体"/>
          <w:b/>
          <w:bCs/>
        </w:rPr>
        <w:t>12</w:t>
      </w:r>
      <w:r>
        <w:rPr>
          <w:rFonts w:hint="eastAsia"/>
        </w:rPr>
        <w:t xml:space="preserve"> 管线分离是将设备与管线设置在结构系统之外的方式。考虑到工程实际需要，纳入管线分离比例计算的管线专业包括电气（强电、弱电、通信）、给水排水和采暖等专业。对于裸露于室内空间以及敷设在地面架空层、非承重墙体空腔和吊顶内的管线应认定为管线分离；而对于埋置在结构构件内部（不含横穿）或敷设在湿作业地面垫层内的管线应认定为管线未分离。</w:t>
      </w:r>
    </w:p>
    <w:p>
      <w:pPr>
        <w:pStyle w:val="64"/>
        <w:ind w:firstLine="0" w:firstLineChars="0"/>
        <w:rPr>
          <w:szCs w:val="21"/>
          <w:highlight w:val="yellow"/>
        </w:rPr>
      </w:pPr>
      <w:r>
        <w:rPr>
          <w:rFonts w:hint="eastAsia" w:ascii="黑体" w:hAnsi="黑体" w:eastAsia="黑体"/>
          <w:b/>
          <w:bCs/>
        </w:rPr>
        <w:t>5.1</w:t>
      </w:r>
      <w:r>
        <w:rPr>
          <w:rFonts w:ascii="黑体" w:hAnsi="黑体" w:eastAsia="黑体"/>
          <w:b/>
          <w:bCs/>
        </w:rPr>
        <w:t>3</w:t>
      </w:r>
      <w:r>
        <w:rPr>
          <w:rFonts w:hint="eastAsia"/>
          <w:szCs w:val="21"/>
        </w:rPr>
        <w:t xml:space="preserve"> </w:t>
      </w:r>
      <w:r>
        <w:rPr>
          <w:rFonts w:hint="eastAsia"/>
        </w:rPr>
        <w:t>标准化预制构件应用</w:t>
      </w:r>
      <w:r>
        <w:t>比例应按</w:t>
      </w:r>
      <w:r>
        <w:rPr>
          <w:rFonts w:hint="eastAsia"/>
        </w:rPr>
        <w:t>（公式</w:t>
      </w:r>
      <w:r>
        <w:t>12</w:t>
      </w:r>
      <w:r>
        <w:rPr>
          <w:rFonts w:hint="eastAsia"/>
        </w:rPr>
        <w:t>）或（公式</w:t>
      </w:r>
      <w:r>
        <w:t>13</w:t>
      </w:r>
      <w:r>
        <w:rPr>
          <w:rFonts w:hint="eastAsia"/>
        </w:rPr>
        <w:t>）</w:t>
      </w:r>
      <w:r>
        <w:t>计算</w:t>
      </w:r>
      <w:r>
        <w:rPr>
          <w:rFonts w:hint="eastAsia"/>
        </w:rPr>
        <w:t>，取计算结果的较大值根据指标要求进行线性内插计算指标分值。</w:t>
      </w:r>
    </w:p>
    <w:p>
      <w:pPr>
        <w:pStyle w:val="64"/>
        <w:ind w:firstLine="420"/>
        <w:rPr>
          <w:szCs w:val="21"/>
        </w:rPr>
        <w:sectPr>
          <w:footerReference r:id="rId23" w:type="default"/>
          <w:pgSz w:w="11906" w:h="16838"/>
          <w:pgMar w:top="1440" w:right="1800" w:bottom="1440" w:left="1800" w:header="851" w:footer="992" w:gutter="0"/>
          <w:pgNumType w:start="1"/>
          <w:cols w:space="425" w:num="1"/>
          <w:docGrid w:type="lines" w:linePitch="312" w:charSpace="0"/>
        </w:sectPr>
      </w:pPr>
    </w:p>
    <w:p>
      <w:pPr>
        <w:pStyle w:val="64"/>
        <w:ind w:firstLine="420"/>
        <w:rPr>
          <w:szCs w:val="21"/>
        </w:rPr>
      </w:pPr>
    </w:p>
    <w:p>
      <w:pPr>
        <w:pStyle w:val="64"/>
        <w:ind w:firstLine="420"/>
        <w:rPr>
          <w:szCs w:val="21"/>
        </w:rPr>
      </w:pPr>
      <w:r>
        <w:rPr>
          <w:rFonts w:hint="eastAsia"/>
          <w:szCs w:val="21"/>
        </w:rPr>
        <w:t>标准化预制构件是指标项中Q</w:t>
      </w:r>
      <w:r>
        <w:rPr>
          <w:rFonts w:hint="eastAsia"/>
          <w:szCs w:val="21"/>
          <w:vertAlign w:val="subscript"/>
        </w:rPr>
        <w:t>1</w:t>
      </w:r>
      <w:r>
        <w:rPr>
          <w:rFonts w:hint="eastAsia"/>
          <w:szCs w:val="21"/>
        </w:rPr>
        <w:t>和Q</w:t>
      </w:r>
      <w:r>
        <w:rPr>
          <w:rFonts w:hint="eastAsia"/>
          <w:szCs w:val="21"/>
          <w:vertAlign w:val="subscript"/>
        </w:rPr>
        <w:t>2</w:t>
      </w:r>
      <w:r>
        <w:rPr>
          <w:rFonts w:hint="eastAsia"/>
          <w:szCs w:val="21"/>
        </w:rPr>
        <w:t>所包含的标准化预制混凝土构件和标准化钢构件，不同建筑类型（居住建筑、公共建筑、工业建筑）可以分别统计。</w:t>
      </w:r>
    </w:p>
    <w:p>
      <w:pPr>
        <w:pStyle w:val="64"/>
        <w:ind w:firstLine="420"/>
        <w:rPr>
          <w:szCs w:val="21"/>
        </w:rPr>
      </w:pPr>
      <w:r>
        <w:rPr>
          <w:rFonts w:hint="eastAsia"/>
          <w:szCs w:val="21"/>
        </w:rPr>
        <w:t>预制构件标准化规格统计以预制构件外轮廓尺寸为衡量标准，包括外形尺寸相同的竖向构件和水平构件（含可共模的镜像构件）。</w:t>
      </w:r>
    </w:p>
    <w:p>
      <w:pPr>
        <w:pStyle w:val="64"/>
        <w:ind w:firstLine="420"/>
        <w:rPr>
          <w:szCs w:val="21"/>
        </w:rPr>
      </w:pPr>
      <w:r>
        <w:rPr>
          <w:rFonts w:hint="eastAsia"/>
        </w:rPr>
        <w:t>（公式</w:t>
      </w:r>
      <w:r>
        <w:t>12</w:t>
      </w:r>
      <w:r>
        <w:rPr>
          <w:rFonts w:hint="eastAsia"/>
        </w:rPr>
        <w:t>）中M</w:t>
      </w:r>
      <w:r>
        <w:rPr>
          <w:rFonts w:hint="eastAsia"/>
          <w:vertAlign w:val="subscript"/>
        </w:rPr>
        <w:t>4a</w:t>
      </w:r>
      <w:r>
        <w:rPr>
          <w:vertAlign w:val="subscript"/>
        </w:rPr>
        <w:t>1</w:t>
      </w:r>
      <w:r>
        <w:rPr>
          <w:rFonts w:hint="eastAsia"/>
          <w:szCs w:val="21"/>
        </w:rPr>
        <w:t>所指标准化预制构件，预制混凝土构件设计规格尺寸应符合《住建部装配式混凝土结构住宅主要构件尺寸指南》或《湖北省装配式混凝土结构住宅主要构件尺寸指南》或《湖北省装配式预制混凝土建筑标准化构件库》或国标图集相关规定；钢构件为项目中采用轧制标准型钢或焊接非异型截面钢材的钢构件，其设计规格尺寸应符合</w:t>
      </w:r>
      <w:r>
        <w:rPr>
          <w:rFonts w:hint="eastAsia"/>
        </w:rPr>
        <w:t>《钢结构住宅主要构件尺寸指南》等</w:t>
      </w:r>
      <w:r>
        <w:rPr>
          <w:rFonts w:hint="eastAsia"/>
          <w:szCs w:val="21"/>
        </w:rPr>
        <w:t>政府、行业协会颁布的标准部品部件库的相关规定。</w:t>
      </w:r>
    </w:p>
    <w:p>
      <w:pPr>
        <w:pStyle w:val="64"/>
        <w:ind w:firstLine="420"/>
        <w:rPr>
          <w:szCs w:val="21"/>
        </w:rPr>
      </w:pPr>
      <w:r>
        <w:rPr>
          <w:rFonts w:hint="eastAsia"/>
        </w:rPr>
        <w:t>（公式</w:t>
      </w:r>
      <w:r>
        <w:t>13</w:t>
      </w:r>
      <w:r>
        <w:rPr>
          <w:rFonts w:hint="eastAsia"/>
        </w:rPr>
        <w:t>）中M</w:t>
      </w:r>
      <w:r>
        <w:rPr>
          <w:rFonts w:hint="eastAsia"/>
          <w:vertAlign w:val="subscript"/>
        </w:rPr>
        <w:t>4a</w:t>
      </w:r>
      <w:r>
        <w:rPr>
          <w:vertAlign w:val="subscript"/>
        </w:rPr>
        <w:t>2</w:t>
      </w:r>
      <w:r>
        <w:rPr>
          <w:rFonts w:hint="eastAsia"/>
          <w:szCs w:val="21"/>
        </w:rPr>
        <w:t>计算重复使用率的构件类型包括：预制柱、预制外挂板、预制剪力墙板、预制填充墙、预制梁、预制楼（屋）面板、预制叠合楼(屋)面板、预制楼梯、预制阳台、预制空调板等构件类型。</w:t>
      </w:r>
    </w:p>
    <w:p>
      <w:pPr>
        <w:pStyle w:val="64"/>
        <w:ind w:firstLine="0" w:firstLineChars="0"/>
      </w:pPr>
      <w:r>
        <w:rPr>
          <w:rFonts w:hint="eastAsia" w:ascii="黑体" w:hAnsi="黑体" w:eastAsia="黑体"/>
          <w:b/>
          <w:bCs/>
        </w:rPr>
        <w:t>5.1</w:t>
      </w:r>
      <w:r>
        <w:rPr>
          <w:rFonts w:ascii="黑体" w:hAnsi="黑体" w:eastAsia="黑体"/>
          <w:b/>
          <w:bCs/>
        </w:rPr>
        <w:t>4</w:t>
      </w:r>
      <w:r>
        <w:rPr>
          <w:rFonts w:hint="eastAsia"/>
        </w:rPr>
        <w:t xml:space="preserve"> 平面布置标准化</w:t>
      </w:r>
      <w:r>
        <w:t>比例应按</w:t>
      </w:r>
      <w:r>
        <w:rPr>
          <w:rFonts w:hint="eastAsia"/>
        </w:rPr>
        <w:t>（公式1</w:t>
      </w:r>
      <w:r>
        <w:t>4</w:t>
      </w:r>
      <w:r>
        <w:rPr>
          <w:rFonts w:hint="eastAsia"/>
        </w:rPr>
        <w:t>）或（公式1</w:t>
      </w:r>
      <w:r>
        <w:t>5</w:t>
      </w:r>
      <w:r>
        <w:rPr>
          <w:rFonts w:hint="eastAsia"/>
        </w:rPr>
        <w:t>）</w:t>
      </w:r>
      <w:r>
        <w:t>计算</w:t>
      </w:r>
      <w:r>
        <w:rPr>
          <w:rFonts w:hint="eastAsia"/>
        </w:rPr>
        <w:t>，取计算结果的较大值根据指标要求进行线性内插计算指标分值。</w:t>
      </w:r>
    </w:p>
    <w:p>
      <w:pPr>
        <w:pStyle w:val="64"/>
        <w:ind w:firstLine="420"/>
      </w:pPr>
      <w:r>
        <w:rPr>
          <w:rFonts w:hint="eastAsia"/>
        </w:rPr>
        <w:t>（公式1</w:t>
      </w:r>
      <w:r>
        <w:t>4</w:t>
      </w:r>
      <w:r>
        <w:rPr>
          <w:rFonts w:hint="eastAsia"/>
        </w:rPr>
        <w:t>）中N</w:t>
      </w:r>
      <w:r>
        <w:rPr>
          <w:rFonts w:hint="eastAsia"/>
          <w:vertAlign w:val="subscript"/>
        </w:rPr>
        <w:t>4b</w:t>
      </w:r>
      <w:r>
        <w:rPr>
          <w:vertAlign w:val="subscript"/>
        </w:rPr>
        <w:t>1</w:t>
      </w:r>
      <w:r>
        <w:rPr>
          <w:rFonts w:hint="eastAsia"/>
        </w:rPr>
        <w:t>所指典型功能空间类型包括：居室（厅）、卧室、餐厅、厨房、卫生间、玄关、公共走道等,且应符合 JGJ/T 494 或《湖北省装配式混凝土结构住宅主要构件尺寸指南》等的规定；</w:t>
      </w:r>
    </w:p>
    <w:p>
      <w:pPr>
        <w:pStyle w:val="64"/>
        <w:ind w:firstLine="420"/>
      </w:pPr>
      <w:r>
        <w:rPr>
          <w:rFonts w:hint="eastAsia"/>
        </w:rPr>
        <w:t>（公式1</w:t>
      </w:r>
      <w:r>
        <w:t>5</w:t>
      </w:r>
      <w:r>
        <w:rPr>
          <w:rFonts w:hint="eastAsia"/>
        </w:rPr>
        <w:t>）中N</w:t>
      </w:r>
      <w:r>
        <w:rPr>
          <w:rFonts w:hint="eastAsia"/>
          <w:vertAlign w:val="subscript"/>
        </w:rPr>
        <w:t>4b</w:t>
      </w:r>
      <w:r>
        <w:rPr>
          <w:vertAlign w:val="subscript"/>
        </w:rPr>
        <w:t>2</w:t>
      </w:r>
      <w:r>
        <w:rPr>
          <w:rFonts w:hint="eastAsia"/>
        </w:rPr>
        <w:t>计算重复使用率的基本单元类型包括居住建筑户型单元、写字楼的办公间、酒店的标准间、医院的病房、学校的教室等。</w:t>
      </w:r>
    </w:p>
    <w:p>
      <w:pPr>
        <w:pStyle w:val="64"/>
        <w:ind w:firstLine="0" w:firstLineChars="0"/>
        <w:rPr>
          <w:highlight w:val="yellow"/>
        </w:rPr>
      </w:pPr>
      <w:r>
        <w:rPr>
          <w:rFonts w:hint="eastAsia" w:ascii="黑体" w:hAnsi="黑体" w:eastAsia="黑体"/>
          <w:b/>
          <w:bCs/>
        </w:rPr>
        <w:t>5.1</w:t>
      </w:r>
      <w:r>
        <w:rPr>
          <w:rFonts w:ascii="黑体" w:hAnsi="黑体" w:eastAsia="黑体"/>
          <w:b/>
          <w:bCs/>
        </w:rPr>
        <w:t>5</w:t>
      </w:r>
      <w:r>
        <w:rPr>
          <w:rFonts w:hint="eastAsia"/>
        </w:rPr>
        <w:t xml:space="preserve"> 标准化柱网为重复使用最多的三种尺寸间距为标准化柱网，网格尺寸宜满足</w:t>
      </w:r>
      <w:r>
        <w:t>GB/T 50002-2013</w:t>
      </w:r>
      <w:r>
        <w:rPr>
          <w:rFonts w:hint="eastAsia"/>
        </w:rPr>
        <w:t>、JGJ/T</w:t>
      </w:r>
      <w:r>
        <w:t xml:space="preserve"> </w:t>
      </w:r>
      <w:r>
        <w:rPr>
          <w:rFonts w:hint="eastAsia"/>
        </w:rPr>
        <w:t>445－2018等相关规范的模数要求。</w:t>
      </w:r>
    </w:p>
    <w:p>
      <w:pPr>
        <w:pStyle w:val="64"/>
        <w:ind w:firstLine="0" w:firstLineChars="0"/>
        <w:rPr>
          <w:rFonts w:ascii="黑体" w:hAnsi="黑体" w:eastAsia="黑体"/>
          <w:b/>
          <w:bCs/>
        </w:rPr>
      </w:pPr>
      <w:r>
        <w:rPr>
          <w:rFonts w:hint="eastAsia" w:ascii="黑体" w:hAnsi="黑体" w:eastAsia="黑体"/>
          <w:b/>
          <w:bCs/>
        </w:rPr>
        <w:t>5</w:t>
      </w:r>
      <w:r>
        <w:rPr>
          <w:rFonts w:ascii="黑体" w:hAnsi="黑体" w:eastAsia="黑体"/>
          <w:b/>
          <w:bCs/>
        </w:rPr>
        <w:t>.16</w:t>
      </w:r>
      <w:r>
        <w:t xml:space="preserve"> </w:t>
      </w:r>
      <w:r>
        <w:rPr>
          <w:rFonts w:hint="eastAsia" w:ascii="黑体" w:hAnsi="黑体" w:eastAsia="黑体"/>
        </w:rPr>
        <w:t>创新项</w:t>
      </w:r>
    </w:p>
    <w:p>
      <w:pPr>
        <w:pStyle w:val="64"/>
        <w:ind w:firstLine="0" w:firstLineChars="0"/>
      </w:pPr>
      <w:r>
        <w:rPr>
          <w:rFonts w:hint="eastAsia" w:ascii="黑体" w:hAnsi="黑体" w:eastAsia="黑体"/>
          <w:b/>
          <w:bCs/>
        </w:rPr>
        <w:t>5</w:t>
      </w:r>
      <w:r>
        <w:rPr>
          <w:rFonts w:ascii="黑体" w:hAnsi="黑体" w:eastAsia="黑体"/>
          <w:b/>
          <w:bCs/>
        </w:rPr>
        <w:t>.16.1</w:t>
      </w:r>
      <w:r>
        <w:rPr>
          <w:rFonts w:hint="eastAsia"/>
        </w:rPr>
        <w:t xml:space="preserve"> 工程总承包以建设单位与工程总承包单位签订的合同为准。</w:t>
      </w:r>
    </w:p>
    <w:p>
      <w:pPr>
        <w:pStyle w:val="64"/>
        <w:ind w:firstLine="0" w:firstLineChars="0"/>
      </w:pPr>
      <w:r>
        <w:rPr>
          <w:rFonts w:hint="eastAsia" w:ascii="黑体" w:hAnsi="黑体" w:eastAsia="黑体"/>
          <w:b/>
          <w:bCs/>
        </w:rPr>
        <w:t>5</w:t>
      </w:r>
      <w:r>
        <w:rPr>
          <w:rFonts w:ascii="黑体" w:hAnsi="黑体" w:eastAsia="黑体"/>
          <w:b/>
          <w:bCs/>
        </w:rPr>
        <w:t>.16.2</w:t>
      </w:r>
      <w:r>
        <w:t xml:space="preserve"> </w:t>
      </w:r>
      <w:r>
        <w:rPr>
          <w:rFonts w:hint="eastAsia"/>
        </w:rPr>
        <w:t>装配式装修是将工厂生产的标准化、模块化和集成化的部品部件在现场进行组合安装的装修方式，是倡导的发展方向。装配式装修的主要内容包括:楼(地)面、墙体、吊顶、收纳等采用干式工法施工，应用集成厨房、集成卫生间、管线分离等设计-生产-安装一体化的工程做法或集成部品。在工程应用中，装配式装修应特别加强设计控制和协调，重视建筑各个层级的模数及尺寸协调。实践证明装配式装修对提升建筑质量、缩短施工工期、减少使用阶段维修率、提高装修材料的利用率和安装人工的效率等方面都是有效的。本条文的目的是引导和推动装配式装修的进一步发展，鼓励在更多的建筑类型中积极应用。</w:t>
      </w:r>
    </w:p>
    <w:p>
      <w:pPr>
        <w:pStyle w:val="64"/>
        <w:ind w:firstLine="0" w:firstLineChars="0"/>
        <w:rPr>
          <w:highlight w:val="yellow"/>
        </w:rPr>
      </w:pPr>
      <w:r>
        <w:rPr>
          <w:rFonts w:ascii="黑体" w:hAnsi="黑体" w:eastAsia="黑体"/>
          <w:b/>
          <w:bCs/>
        </w:rPr>
        <w:t xml:space="preserve">5.16.3 </w:t>
      </w:r>
      <w:r>
        <w:rPr>
          <w:rFonts w:hint="eastAsia"/>
        </w:rPr>
        <w:t>信息化管理协同是指能实现设计、采购、生产、建造、交付、运行维护等阶段的信息互联互通和交互共享，建立适合BIM技术应用的工程管理模式。</w:t>
      </w:r>
    </w:p>
    <w:p/>
    <w:sectPr>
      <w:footerReference r:id="rId24"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汉仪中宋简"/>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 w:name="Arial">
    <w:altName w:val="DejaVu Sans"/>
    <w:panose1 w:val="020B0604020202020204"/>
    <w:charset w:val="00"/>
    <w:family w:val="swiss"/>
    <w:pitch w:val="default"/>
    <w:sig w:usb0="00000000" w:usb1="00000000" w:usb2="00000009" w:usb3="00000000" w:csb0="000001FF" w:csb1="00000000"/>
  </w:font>
  <w:font w:name="等线 Light">
    <w:altName w:val="汉仪中宋简"/>
    <w:panose1 w:val="02010600030101010101"/>
    <w:charset w:val="86"/>
    <w:family w:val="auto"/>
    <w:pitch w:val="default"/>
    <w:sig w:usb0="00000000" w:usb1="00000000" w:usb2="00000016" w:usb3="00000000" w:csb0="0004000F" w:csb1="00000000"/>
  </w:font>
  <w:font w:name="Cambria Math">
    <w:altName w:val="DejaVu Math TeX Gyre"/>
    <w:panose1 w:val="02040503050406030204"/>
    <w:charset w:val="00"/>
    <w:family w:val="roman"/>
    <w:pitch w:val="default"/>
    <w:sig w:usb0="00000000" w:usb1="00000000" w:usb2="02000000" w:usb3="00000000" w:csb0="0000019F" w:csb1="00000000"/>
  </w:font>
  <w:font w:name="Microsoft YaHei UI">
    <w:altName w:val="Droid Sans Fallback"/>
    <w:panose1 w:val="020B0503020204020204"/>
    <w:charset w:val="86"/>
    <w:family w:val="swiss"/>
    <w:pitch w:val="default"/>
    <w:sig w:usb0="00000000" w:usb1="00000000" w:usb2="00000016" w:usb3="00000000" w:csb0="0004001F" w:csb1="00000000"/>
  </w:font>
  <w:font w:name="方正小标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Noto Sans CJK JP Bold">
    <w:panose1 w:val="020B0800000000000000"/>
    <w:charset w:val="86"/>
    <w:family w:val="auto"/>
    <w:pitch w:val="default"/>
    <w:sig w:usb0="30000003" w:usb1="2BDF3C10" w:usb2="00000016" w:usb3="00000000" w:csb0="602E0107" w:csb1="00000000"/>
  </w:font>
  <w:font w:name="DejaVu Math TeX Gyre">
    <w:panose1 w:val="02000503000000000000"/>
    <w:charset w:val="00"/>
    <w:family w:val="auto"/>
    <w:pitch w:val="default"/>
    <w:sig w:usb0="A10000EF" w:usb1="4201F9EE" w:usb2="02000000" w:usb3="00000000" w:csb0="60000193" w:csb1="0DD40000"/>
  </w:font>
  <w:font w:name="Droid Sans Fallback">
    <w:panose1 w:val="020B0502000000000001"/>
    <w:charset w:val="86"/>
    <w:family w:val="auto"/>
    <w:pitch w:val="default"/>
    <w:sig w:usb0="910002FF" w:usb1="2BDFFCFB" w:usb2="00000036" w:usb3="00000000" w:csb0="203F01FF" w:csb1="D7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p>
  <w:p>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w:rPr>
        <w:rFonts w:hint="eastAsia"/>
      </w:rPr>
      <w:t>Ⅱ</w:t>
    </w:r>
  </w:p>
  <w:p>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288925"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28892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pPr>
                        </w:p>
                      </w:txbxContent>
                    </wps:txbx>
                    <wps:bodyPr rot="0" spcFirstLastPara="0" vertOverflow="overflow" horzOverflow="overflow" vert="horz" wrap="squar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22.75pt;mso-position-horizontal:right;mso-position-horizontal-relative:margin;z-index:251659264;mso-width-relative:page;mso-height-relative:page;" filled="f" stroked="f" coordsize="21600,21600" o:gfxdata="UEsFBgAAAAAAAAAAAAAAAAAAAAAAAFBLAwQKAAAAAACHTuJAAAAAAAAAAAAAAAAABAAAAGRycy9Q&#10;SwMEFAAAAAgAh07iQDc8HTfUAAAABAEAAA8AAABkcnMvZG93bnJldi54bWxNj0FPwzAMhe9I/IfI&#10;SNxYsomhqjTdAcEOcKJDiKPXuk2hcaom6wa/HsMFLpaenv3e52Jz8oOaaYp9YAvLhQFFXIem587C&#10;y+7hKgMVE3KDQ2Cy8EkRNuX5WYF5E478THOVOiUhHHO04FIac61j7chjXISRWLw2TB6TyKnTzYRH&#10;CfeDXhlzoz32LA0OR7pzVH9UBy8Yr0/Gb79a9+YfsY2V283b+3drLy+W5hZUolP6W4YffLmBUpj2&#10;4cBNVIMFeST9TvGu12tQewurLDOgy0L/hy+/AVBLAwQUAAAACACHTuJAhtUipxoCAAAaBAAADgAA&#10;AGRycy9lMm9Eb2MueG1srVPLjtMwFN0j8Q+W9zRp0YxK1XRUZlSEVDEjFcTadZwmkl/YbpPyAfAH&#10;rNjMnu/qd3DsJh0ErBAb517f6/s452R+0ylJDsL5xuiCjkc5JUJzUzZ6V9AP71cvppT4wHTJpNGi&#10;oEfh6c3i+bN5a2diYmojS+EIimg/a21B6xDsLMs8r4VifmSs0AhWxikW4LpdVjrWorqS2STPr7PW&#10;uNI6w4X3uL07B+ki1a8qwcN9VXkRiCwoZgvpdOncxjNbzNls55itG96Pwf5hCsUajaaXUncsMLJ3&#10;zR+lVMOd8aYKI25UZqqq4SLtgG3G+W/bbGpmRdoF4Hh7gcn/v7L83eHBkaYEd5RopkDR6dvX0/cf&#10;p8cvZBzhaa2fIWtjkRe616YraHB7MYQ87uPiXeVU/GIlghRgfbzgK7pAOC4n0+mryRUlHKHxFF6e&#10;CMieXlvnwxthFIlGQR34S7Cyw9oHDIPUISU202bVSJk4lJq0Bb1+eZWnB5cIXkiNh3GN86zRCt22&#10;63fbmvKI1Zw5a8NbvmrQfM18eGAOYsAqEHi4x1FJgyamtyipjfv8t/uYD44QpaSFuArqP+2ZE5TI&#10;txrsRSUOhhuM7WDovbo10CsYwTTJxAMX5GBWzqiP0P0ydqmY9CjMNEc/cDOYtwFeH8T/w8VyefGh&#10;PcvCWm8s79mMaHq73AcgmoCOKJ2h6cGDABP+/c8SFf6rn7KefunFT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Dc8HTfUAAAABAEAAA8AAAAAAAAAAQAgAAAAOAAAAGRycy9kb3ducmV2LnhtbFBLAQIU&#10;ABQAAAAIAIdO4kCG1SKnGgIAABoEAAAOAAAAAAAAAAEAIAAAADkBAABkcnMvZTJvRG9jLnhtbFBL&#10;BQYAAAAABgAGAFkBAADFBQAAAAA=&#10;">
              <v:fill on="f" focussize="0,0"/>
              <v:stroke on="f" weight="0.5pt"/>
              <v:imagedata o:title=""/>
              <o:lock v:ext="edit" aspectratio="f"/>
              <v:textbox inset="0mm,0mm,0mm,0mm" style="mso-fit-shape-to-text:t;">
                <w:txbxContent>
                  <w:p>
                    <w:pPr>
                      <w:pStyle w:val="19"/>
                    </w:pPr>
                  </w:p>
                </w:txbxContent>
              </v:textbox>
            </v:shape>
          </w:pict>
        </mc:Fallback>
      </mc:AlternateContent>
    </w:r>
    <w:r>
      <w:rPr>
        <w:rFonts w:hint="eastAsia"/>
      </w:rPr>
      <w:t>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w:rPr>
        <w:rFonts w:hint="eastAsia"/>
      </w:rPr>
      <w:t>3</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w:rPr>
        <w:rFonts w:hint="eastAsia"/>
      </w:rPr>
      <w:t>4</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w:rPr>
        <w:rFonts w:hint="eastAsia"/>
      </w:rPr>
      <w:t>5</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w:rPr>
        <w:rFonts w:hint="eastAsia"/>
      </w:rPr>
      <w:t>6</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w:rPr>
        <w:rFonts w:hint="eastAsia"/>
      </w:rPr>
      <w:t>7</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w:rPr>
        <w:rFonts w:hint="eastAsia"/>
      </w:rPr>
      <w:t>8</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w:rPr>
        <w:rFonts w:hint="eastAsia"/>
      </w:rPr>
      <w:t>9</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w:rPr>
        <w:rFonts w:hint="eastAsia"/>
      </w:rPr>
      <w:t>10</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w:rPr>
        <w:rFonts w:hint="eastAsia"/>
      </w:rPr>
      <w:t>11</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w:rPr>
        <w:rFonts w:hint="eastAsia"/>
      </w:rPr>
      <w:t>12</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w:rPr>
        <w:rFonts w:hint="eastAsia"/>
      </w:rPr>
      <w:t>13</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w:rPr>
        <w:rFonts w:hint="eastAsia"/>
      </w:rPr>
      <w:t>14</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w:rPr>
        <w:rFonts w:hint="eastAsia"/>
      </w:rPr>
      <w:t>15</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w:rPr>
        <w:rFonts w:hint="eastAsia"/>
      </w:rPr>
      <w:t>16</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w:rPr>
        <w:rFonts w:hint="eastAsia"/>
      </w:rPr>
      <w:t>17</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w:rPr>
        <w:rFonts w:hint="eastAsia"/>
      </w:rPr>
      <w:t>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72"/>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5"/>
      <w:suff w:val="nothing"/>
      <w:lvlText w:val="%1%2.%3　"/>
      <w:lvlJc w:val="left"/>
      <w:pPr>
        <w:ind w:left="0" w:firstLine="0"/>
      </w:pPr>
    </w:lvl>
    <w:lvl w:ilvl="3" w:tentative="0">
      <w:start w:val="1"/>
      <w:numFmt w:val="decimal"/>
      <w:pStyle w:val="124"/>
      <w:suff w:val="nothing"/>
      <w:lvlText w:val="%1%2.%3.%4　"/>
      <w:lvlJc w:val="left"/>
      <w:pPr>
        <w:ind w:left="0" w:firstLine="0"/>
      </w:pPr>
    </w:lvl>
    <w:lvl w:ilvl="4" w:tentative="0">
      <w:start w:val="1"/>
      <w:numFmt w:val="decimal"/>
      <w:pStyle w:val="159"/>
      <w:suff w:val="nothing"/>
      <w:lvlText w:val="%1%2.%3.%4.%5　"/>
      <w:lvlJc w:val="left"/>
      <w:pPr>
        <w:ind w:left="0" w:firstLine="0"/>
      </w:pPr>
    </w:lvl>
    <w:lvl w:ilvl="5" w:tentative="0">
      <w:start w:val="1"/>
      <w:numFmt w:val="decimal"/>
      <w:pStyle w:val="161"/>
      <w:suff w:val="nothing"/>
      <w:lvlText w:val="%1%2.%3.%4.%5.%6　"/>
      <w:lvlJc w:val="left"/>
      <w:pPr>
        <w:ind w:left="0" w:firstLine="0"/>
      </w:pPr>
    </w:lvl>
    <w:lvl w:ilvl="6" w:tentative="0">
      <w:start w:val="1"/>
      <w:numFmt w:val="decimal"/>
      <w:pStyle w:val="164"/>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6"/>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6"/>
      <w:lvlText w:val="%1"/>
      <w:lvlJc w:val="left"/>
      <w:pPr>
        <w:ind w:left="425" w:hanging="425"/>
      </w:pPr>
      <w:rPr>
        <w:rFonts w:hint="eastAsia"/>
      </w:rPr>
    </w:lvl>
    <w:lvl w:ilvl="1" w:tentative="0">
      <w:start w:val="1"/>
      <w:numFmt w:val="decimal"/>
      <w:pStyle w:val="206"/>
      <w:suff w:val="nothing"/>
      <w:lvlText w:val="%10.%2 "/>
      <w:lvlJc w:val="left"/>
      <w:pPr>
        <w:ind w:left="0" w:firstLine="0"/>
      </w:pPr>
      <w:rPr>
        <w:rFonts w:hint="eastAsia" w:ascii="黑体" w:eastAsia="黑体" w:hAnsiTheme="minorHAnsi"/>
        <w:b w:val="0"/>
        <w:i w:val="0"/>
        <w:sz w:val="21"/>
      </w:rPr>
    </w:lvl>
    <w:lvl w:ilvl="2" w:tentative="0">
      <w:start w:val="1"/>
      <w:numFmt w:val="decimal"/>
      <w:pStyle w:val="207"/>
      <w:suff w:val="nothing"/>
      <w:lvlText w:val="%10.%2.%3 "/>
      <w:lvlJc w:val="left"/>
      <w:pPr>
        <w:ind w:left="0" w:firstLine="0"/>
      </w:pPr>
      <w:rPr>
        <w:rFonts w:hint="eastAsia" w:ascii="黑体" w:eastAsia="黑体" w:hAnsiTheme="minorHAnsi"/>
        <w:b w:val="0"/>
        <w:i w:val="0"/>
        <w:sz w:val="21"/>
      </w:rPr>
    </w:lvl>
    <w:lvl w:ilvl="3" w:tentative="0">
      <w:start w:val="1"/>
      <w:numFmt w:val="decimal"/>
      <w:pStyle w:val="208"/>
      <w:suff w:val="nothing"/>
      <w:lvlText w:val="%10.%2.%3.%4 "/>
      <w:lvlJc w:val="left"/>
      <w:pPr>
        <w:ind w:left="0" w:firstLine="0"/>
      </w:pPr>
      <w:rPr>
        <w:rFonts w:hint="eastAsia" w:ascii="黑体" w:eastAsia="黑体" w:hAnsiTheme="minorHAnsi"/>
        <w:b w:val="0"/>
        <w:i w:val="0"/>
        <w:sz w:val="21"/>
      </w:rPr>
    </w:lvl>
    <w:lvl w:ilvl="4" w:tentative="0">
      <w:start w:val="1"/>
      <w:numFmt w:val="decimal"/>
      <w:pStyle w:val="209"/>
      <w:suff w:val="nothing"/>
      <w:lvlText w:val="%10.%2.%3.%4.%5 "/>
      <w:lvlJc w:val="left"/>
      <w:pPr>
        <w:ind w:left="0" w:firstLine="0"/>
      </w:pPr>
      <w:rPr>
        <w:rFonts w:hint="eastAsia" w:ascii="黑体" w:eastAsia="黑体" w:hAnsiTheme="minorHAnsi"/>
        <w:b w:val="0"/>
        <w:i w:val="0"/>
        <w:sz w:val="21"/>
      </w:rPr>
    </w:lvl>
    <w:lvl w:ilvl="5" w:tentative="0">
      <w:start w:val="1"/>
      <w:numFmt w:val="decimal"/>
      <w:pStyle w:val="210"/>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7"/>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75"/>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5"/>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6"/>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93"/>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9"/>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8"/>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3"/>
      <w:lvlText w:val=""/>
      <w:lvlJc w:val="left"/>
      <w:pPr>
        <w:ind w:left="851" w:hanging="431"/>
      </w:pPr>
      <w:rPr>
        <w:rFonts w:hint="default" w:ascii="Symbol" w:hAnsi="Symbol"/>
        <w:sz w:val="21"/>
      </w:rPr>
    </w:lvl>
    <w:lvl w:ilvl="2" w:tentative="0">
      <w:start w:val="1"/>
      <w:numFmt w:val="bullet"/>
      <w:pStyle w:val="178"/>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7"/>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80"/>
      <w:lvlText w:val="%1)"/>
      <w:lvlJc w:val="left"/>
      <w:pPr>
        <w:tabs>
          <w:tab w:val="left" w:pos="851"/>
        </w:tabs>
        <w:ind w:left="851" w:hanging="426"/>
      </w:pPr>
      <w:rPr>
        <w:rFonts w:hint="eastAsia" w:ascii="宋体" w:hAnsi="Times New Roman" w:eastAsia="宋体"/>
        <w:sz w:val="21"/>
      </w:rPr>
    </w:lvl>
    <w:lvl w:ilvl="1" w:tentative="0">
      <w:start w:val="1"/>
      <w:numFmt w:val="decimal"/>
      <w:pStyle w:val="115"/>
      <w:lvlText w:val="%2)"/>
      <w:lvlJc w:val="left"/>
      <w:pPr>
        <w:tabs>
          <w:tab w:val="left" w:pos="1276"/>
        </w:tabs>
        <w:ind w:left="1276" w:hanging="425"/>
      </w:pPr>
      <w:rPr>
        <w:rFonts w:hint="eastAsia" w:ascii="宋体" w:hAnsi="Times New Roman" w:eastAsia="宋体"/>
        <w:sz w:val="21"/>
      </w:rPr>
    </w:lvl>
    <w:lvl w:ilvl="2" w:tentative="0">
      <w:start w:val="1"/>
      <w:numFmt w:val="decimal"/>
      <w:pStyle w:val="123"/>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204"/>
      <w:lvlText w:val="%1"/>
      <w:lvlJc w:val="left"/>
      <w:pPr>
        <w:ind w:left="420" w:hanging="420"/>
      </w:pPr>
      <w:rPr>
        <w:rFonts w:hint="eastAsia"/>
      </w:rPr>
    </w:lvl>
    <w:lvl w:ilvl="1" w:tentative="0">
      <w:start w:val="1"/>
      <w:numFmt w:val="decimal"/>
      <w:pStyle w:val="91"/>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9"/>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22"/>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100"/>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20"/>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5"/>
      <w:suff w:val="space"/>
      <w:lvlText w:val="%1"/>
      <w:lvlJc w:val="left"/>
      <w:pPr>
        <w:ind w:left="425" w:hanging="425"/>
      </w:pPr>
      <w:rPr>
        <w:rFonts w:hint="eastAsia"/>
      </w:rPr>
    </w:lvl>
    <w:lvl w:ilvl="1" w:tentative="0">
      <w:start w:val="1"/>
      <w:numFmt w:val="decimal"/>
      <w:pStyle w:val="85"/>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7"/>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74"/>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8"/>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95"/>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84"/>
      <w:suff w:val="nothing"/>
      <w:lvlText w:val="附录%1"/>
      <w:lvlJc w:val="left"/>
      <w:pPr>
        <w:ind w:left="0" w:firstLine="0"/>
      </w:pPr>
      <w:rPr>
        <w:rFonts w:hint="eastAsia"/>
        <w:spacing w:val="100"/>
      </w:rPr>
    </w:lvl>
    <w:lvl w:ilvl="1" w:tentative="0">
      <w:start w:val="1"/>
      <w:numFmt w:val="decimal"/>
      <w:pStyle w:val="86"/>
      <w:suff w:val="nothing"/>
      <w:lvlText w:val="%1.%2　"/>
      <w:lvlJc w:val="left"/>
      <w:pPr>
        <w:ind w:left="0" w:firstLine="0"/>
      </w:pPr>
      <w:rPr>
        <w:rFonts w:hint="eastAsia" w:ascii="黑体" w:eastAsia="黑体"/>
        <w:b w:val="0"/>
        <w:i w:val="0"/>
        <w:sz w:val="21"/>
      </w:rPr>
    </w:lvl>
    <w:lvl w:ilvl="2" w:tentative="0">
      <w:start w:val="1"/>
      <w:numFmt w:val="decimal"/>
      <w:pStyle w:val="87"/>
      <w:suff w:val="nothing"/>
      <w:lvlText w:val="%1.%2.%3　"/>
      <w:lvlJc w:val="left"/>
      <w:pPr>
        <w:ind w:left="0" w:firstLine="0"/>
      </w:pPr>
      <w:rPr>
        <w:rFonts w:hint="eastAsia" w:ascii="黑体" w:eastAsia="黑体"/>
        <w:b w:val="0"/>
        <w:i w:val="0"/>
        <w:sz w:val="21"/>
      </w:rPr>
    </w:lvl>
    <w:lvl w:ilvl="3" w:tentative="0">
      <w:start w:val="1"/>
      <w:numFmt w:val="decimal"/>
      <w:pStyle w:val="89"/>
      <w:suff w:val="nothing"/>
      <w:lvlText w:val="%1.%2.%3.%4　"/>
      <w:lvlJc w:val="left"/>
      <w:pPr>
        <w:ind w:left="0" w:firstLine="0"/>
      </w:pPr>
      <w:rPr>
        <w:rFonts w:hint="eastAsia" w:ascii="黑体" w:eastAsia="黑体"/>
        <w:b w:val="0"/>
        <w:i w:val="0"/>
        <w:sz w:val="21"/>
      </w:rPr>
    </w:lvl>
    <w:lvl w:ilvl="4" w:tentative="0">
      <w:start w:val="1"/>
      <w:numFmt w:val="decimal"/>
      <w:pStyle w:val="90"/>
      <w:suff w:val="nothing"/>
      <w:lvlText w:val="%1.%2.%3.%4.%5　"/>
      <w:lvlJc w:val="left"/>
      <w:pPr>
        <w:ind w:left="0" w:firstLine="0"/>
      </w:pPr>
      <w:rPr>
        <w:rFonts w:hint="eastAsia" w:ascii="黑体" w:eastAsia="黑体"/>
        <w:b w:val="0"/>
        <w:i w:val="0"/>
        <w:sz w:val="21"/>
      </w:rPr>
    </w:lvl>
    <w:lvl w:ilvl="5" w:tentative="0">
      <w:start w:val="1"/>
      <w:numFmt w:val="decimal"/>
      <w:pStyle w:val="92"/>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94"/>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104"/>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9"/>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8"/>
      <w:suff w:val="nothing"/>
      <w:lvlText w:val="%1"/>
      <w:lvlJc w:val="left"/>
      <w:pPr>
        <w:ind w:left="0" w:firstLine="0"/>
      </w:pPr>
      <w:rPr>
        <w:rFonts w:hint="eastAsia"/>
      </w:rPr>
    </w:lvl>
    <w:lvl w:ilvl="1" w:tentative="0">
      <w:start w:val="1"/>
      <w:numFmt w:val="decimal"/>
      <w:pStyle w:val="110"/>
      <w:suff w:val="nothing"/>
      <w:lvlText w:val="%1%2　"/>
      <w:lvlJc w:val="left"/>
      <w:pPr>
        <w:ind w:left="993" w:firstLine="0"/>
      </w:pPr>
      <w:rPr>
        <w:rFonts w:hint="eastAsia" w:ascii="黑体" w:eastAsia="黑体"/>
        <w:b/>
        <w:bCs w:val="0"/>
        <w:i w:val="0"/>
        <w:sz w:val="21"/>
      </w:rPr>
    </w:lvl>
    <w:lvl w:ilvl="2" w:tentative="0">
      <w:start w:val="1"/>
      <w:numFmt w:val="decimal"/>
      <w:pStyle w:val="111"/>
      <w:suff w:val="nothing"/>
      <w:lvlText w:val="%1%2.%3　"/>
      <w:lvlJc w:val="left"/>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73"/>
      <w:suff w:val="nothing"/>
      <w:lvlText w:val="%1%2.%3.%4　"/>
      <w:lvlJc w:val="left"/>
      <w:pPr>
        <w:ind w:left="0" w:firstLine="0"/>
      </w:pPr>
      <w:rPr>
        <w:rFonts w:hint="eastAsia" w:ascii="黑体" w:eastAsia="黑体"/>
        <w:b w:val="0"/>
        <w:i w:val="0"/>
        <w:sz w:val="21"/>
      </w:rPr>
    </w:lvl>
    <w:lvl w:ilvl="4" w:tentative="0">
      <w:start w:val="1"/>
      <w:numFmt w:val="decimal"/>
      <w:pStyle w:val="101"/>
      <w:suff w:val="nothing"/>
      <w:lvlText w:val="%1%2.%3.%4.%5　"/>
      <w:lvlJc w:val="left"/>
      <w:pPr>
        <w:ind w:left="0" w:firstLine="0"/>
      </w:pPr>
      <w:rPr>
        <w:rFonts w:hint="eastAsia" w:ascii="黑体" w:eastAsia="黑体"/>
        <w:b w:val="0"/>
        <w:i w:val="0"/>
        <w:sz w:val="21"/>
      </w:rPr>
    </w:lvl>
    <w:lvl w:ilvl="5" w:tentative="0">
      <w:start w:val="1"/>
      <w:numFmt w:val="decimal"/>
      <w:pStyle w:val="105"/>
      <w:suff w:val="nothing"/>
      <w:lvlText w:val="%1%2.%3.%4.%5.%6　"/>
      <w:lvlJc w:val="left"/>
      <w:pPr>
        <w:ind w:left="0" w:firstLine="0"/>
      </w:pPr>
      <w:rPr>
        <w:rFonts w:hint="eastAsia" w:ascii="黑体" w:eastAsia="黑体"/>
        <w:b w:val="0"/>
        <w:i w:val="0"/>
        <w:sz w:val="21"/>
      </w:rPr>
    </w:lvl>
    <w:lvl w:ilvl="6" w:tentative="0">
      <w:start w:val="1"/>
      <w:numFmt w:val="decimal"/>
      <w:pStyle w:val="109"/>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85"/>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21"/>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45"/>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dlZDNlYzQ1NjViZjA3MmQ1NjU4MzEzYzExNzExNGUifQ=="/>
  </w:docVars>
  <w:rsids>
    <w:rsidRoot w:val="009067AA"/>
    <w:rsid w:val="0003541B"/>
    <w:rsid w:val="00064063"/>
    <w:rsid w:val="00113F5F"/>
    <w:rsid w:val="002143C6"/>
    <w:rsid w:val="0040617C"/>
    <w:rsid w:val="00524930"/>
    <w:rsid w:val="005625B3"/>
    <w:rsid w:val="006043BF"/>
    <w:rsid w:val="006B4600"/>
    <w:rsid w:val="006D33E7"/>
    <w:rsid w:val="00777B56"/>
    <w:rsid w:val="007A6BE3"/>
    <w:rsid w:val="009067AA"/>
    <w:rsid w:val="00954046"/>
    <w:rsid w:val="00AB11AD"/>
    <w:rsid w:val="00B554E3"/>
    <w:rsid w:val="00BD7975"/>
    <w:rsid w:val="00CB4B1C"/>
    <w:rsid w:val="00D17E57"/>
    <w:rsid w:val="00D23683"/>
    <w:rsid w:val="00DD161D"/>
    <w:rsid w:val="00E2020F"/>
    <w:rsid w:val="00FE11C5"/>
    <w:rsid w:val="0AD14E2E"/>
    <w:rsid w:val="1DF53DBA"/>
    <w:rsid w:val="22BD340B"/>
    <w:rsid w:val="39B368DB"/>
    <w:rsid w:val="4A7C1111"/>
    <w:rsid w:val="55895AFA"/>
    <w:rsid w:val="63D071C8"/>
    <w:rsid w:val="66967C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4">
    <w:name w:val="heading 1"/>
    <w:basedOn w:val="1"/>
    <w:next w:val="1"/>
    <w:link w:val="39"/>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40"/>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41"/>
    <w:qFormat/>
    <w:uiPriority w:val="0"/>
    <w:pPr>
      <w:keepNext/>
      <w:keepLines/>
      <w:spacing w:before="260" w:after="260" w:line="416" w:lineRule="auto"/>
      <w:outlineLvl w:val="2"/>
    </w:pPr>
    <w:rPr>
      <w:b/>
      <w:bCs/>
      <w:sz w:val="32"/>
      <w:szCs w:val="32"/>
    </w:rPr>
  </w:style>
  <w:style w:type="paragraph" w:styleId="7">
    <w:name w:val="heading 4"/>
    <w:basedOn w:val="1"/>
    <w:next w:val="1"/>
    <w:link w:val="42"/>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link w:val="43"/>
    <w:qFormat/>
    <w:uiPriority w:val="0"/>
    <w:pPr>
      <w:keepNext/>
      <w:keepLines/>
      <w:adjustRightInd/>
      <w:spacing w:before="280" w:after="290" w:line="376" w:lineRule="auto"/>
      <w:outlineLvl w:val="4"/>
    </w:pPr>
    <w:rPr>
      <w:b/>
      <w:bCs/>
      <w:sz w:val="28"/>
      <w:szCs w:val="28"/>
    </w:rPr>
  </w:style>
  <w:style w:type="paragraph" w:styleId="9">
    <w:name w:val="heading 6"/>
    <w:basedOn w:val="1"/>
    <w:next w:val="1"/>
    <w:link w:val="44"/>
    <w:qFormat/>
    <w:uiPriority w:val="0"/>
    <w:pPr>
      <w:keepNext/>
      <w:keepLines/>
      <w:adjustRightInd/>
      <w:spacing w:before="240" w:after="64" w:line="320" w:lineRule="auto"/>
      <w:outlineLvl w:val="5"/>
    </w:pPr>
    <w:rPr>
      <w:rFonts w:ascii="Arial" w:hAnsi="Arial" w:eastAsia="黑体"/>
      <w:b/>
      <w:bCs/>
      <w:sz w:val="24"/>
      <w:szCs w:val="24"/>
    </w:rPr>
  </w:style>
  <w:style w:type="paragraph" w:styleId="10">
    <w:name w:val="heading 7"/>
    <w:basedOn w:val="1"/>
    <w:next w:val="1"/>
    <w:link w:val="45"/>
    <w:qFormat/>
    <w:uiPriority w:val="0"/>
    <w:pPr>
      <w:keepNext/>
      <w:keepLines/>
      <w:adjustRightInd/>
      <w:spacing w:before="240" w:after="64" w:line="320" w:lineRule="auto"/>
      <w:outlineLvl w:val="6"/>
    </w:pPr>
    <w:rPr>
      <w:b/>
      <w:bCs/>
      <w:sz w:val="24"/>
      <w:szCs w:val="24"/>
    </w:rPr>
  </w:style>
  <w:style w:type="paragraph" w:styleId="11">
    <w:name w:val="heading 8"/>
    <w:basedOn w:val="1"/>
    <w:next w:val="1"/>
    <w:link w:val="46"/>
    <w:qFormat/>
    <w:uiPriority w:val="0"/>
    <w:pPr>
      <w:keepNext/>
      <w:keepLines/>
      <w:adjustRightInd/>
      <w:spacing w:before="240" w:after="64" w:line="320" w:lineRule="auto"/>
      <w:outlineLvl w:val="7"/>
    </w:pPr>
    <w:rPr>
      <w:rFonts w:ascii="Arial" w:hAnsi="Arial" w:eastAsia="黑体"/>
      <w:sz w:val="24"/>
      <w:szCs w:val="24"/>
    </w:rPr>
  </w:style>
  <w:style w:type="paragraph" w:styleId="12">
    <w:name w:val="heading 9"/>
    <w:basedOn w:val="1"/>
    <w:next w:val="1"/>
    <w:link w:val="47"/>
    <w:qFormat/>
    <w:uiPriority w:val="0"/>
    <w:pPr>
      <w:keepNext/>
      <w:keepLines/>
      <w:adjustRightInd/>
      <w:spacing w:before="240" w:after="64" w:line="320" w:lineRule="auto"/>
      <w:outlineLvl w:val="8"/>
    </w:pPr>
    <w:rPr>
      <w:rFonts w:ascii="Arial" w:hAnsi="Arial" w:eastAsia="黑体"/>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49"/>
    <w:unhideWhenUsed/>
    <w:qFormat/>
    <w:uiPriority w:val="99"/>
    <w:pPr>
      <w:ind w:firstLine="420" w:firstLineChars="100"/>
    </w:pPr>
  </w:style>
  <w:style w:type="paragraph" w:styleId="3">
    <w:name w:val="Body Text"/>
    <w:basedOn w:val="1"/>
    <w:link w:val="48"/>
    <w:unhideWhenUsed/>
    <w:qFormat/>
    <w:uiPriority w:val="0"/>
    <w:pPr>
      <w:spacing w:after="120"/>
    </w:pPr>
  </w:style>
  <w:style w:type="paragraph" w:styleId="13">
    <w:name w:val="toc 7"/>
    <w:basedOn w:val="1"/>
    <w:next w:val="1"/>
    <w:unhideWhenUsed/>
    <w:qFormat/>
    <w:uiPriority w:val="39"/>
    <w:pPr>
      <w:tabs>
        <w:tab w:val="right" w:leader="dot" w:pos="9344"/>
      </w:tabs>
      <w:spacing w:line="300" w:lineRule="exact"/>
      <w:ind w:left="1259"/>
    </w:pPr>
    <w:rPr>
      <w:rFonts w:ascii="宋体"/>
    </w:rPr>
  </w:style>
  <w:style w:type="paragraph" w:styleId="14">
    <w:name w:val="Normal Indent"/>
    <w:basedOn w:val="1"/>
    <w:qFormat/>
    <w:uiPriority w:val="0"/>
    <w:pPr>
      <w:ind w:firstLine="420"/>
    </w:pPr>
  </w:style>
  <w:style w:type="paragraph" w:styleId="15">
    <w:name w:val="Body Text Indent"/>
    <w:basedOn w:val="1"/>
    <w:link w:val="50"/>
    <w:unhideWhenUsed/>
    <w:qFormat/>
    <w:uiPriority w:val="99"/>
    <w:pPr>
      <w:spacing w:after="120"/>
      <w:ind w:left="420" w:leftChars="200"/>
    </w:pPr>
  </w:style>
  <w:style w:type="paragraph" w:styleId="16">
    <w:name w:val="toc 5"/>
    <w:basedOn w:val="1"/>
    <w:next w:val="1"/>
    <w:unhideWhenUsed/>
    <w:qFormat/>
    <w:uiPriority w:val="39"/>
    <w:pPr>
      <w:ind w:left="839"/>
    </w:pPr>
    <w:rPr>
      <w:rFonts w:ascii="宋体"/>
    </w:rPr>
  </w:style>
  <w:style w:type="paragraph" w:styleId="17">
    <w:name w:val="toc 3"/>
    <w:basedOn w:val="1"/>
    <w:next w:val="1"/>
    <w:unhideWhenUsed/>
    <w:qFormat/>
    <w:uiPriority w:val="39"/>
    <w:pPr>
      <w:spacing w:line="300" w:lineRule="exact"/>
      <w:ind w:left="420"/>
    </w:pPr>
    <w:rPr>
      <w:rFonts w:ascii="宋体"/>
    </w:rPr>
  </w:style>
  <w:style w:type="paragraph" w:styleId="18">
    <w:name w:val="Balloon Text"/>
    <w:basedOn w:val="1"/>
    <w:link w:val="51"/>
    <w:unhideWhenUsed/>
    <w:qFormat/>
    <w:uiPriority w:val="99"/>
    <w:rPr>
      <w:sz w:val="18"/>
      <w:szCs w:val="18"/>
    </w:rPr>
  </w:style>
  <w:style w:type="paragraph" w:styleId="19">
    <w:name w:val="footer"/>
    <w:basedOn w:val="1"/>
    <w:link w:val="38"/>
    <w:unhideWhenUsed/>
    <w:qFormat/>
    <w:uiPriority w:val="99"/>
    <w:pPr>
      <w:tabs>
        <w:tab w:val="center" w:pos="4153"/>
        <w:tab w:val="right" w:pos="8306"/>
      </w:tabs>
      <w:snapToGrid w:val="0"/>
      <w:jc w:val="left"/>
    </w:pPr>
    <w:rPr>
      <w:sz w:val="18"/>
      <w:szCs w:val="18"/>
    </w:rPr>
  </w:style>
  <w:style w:type="paragraph" w:styleId="20">
    <w:name w:val="header"/>
    <w:basedOn w:val="1"/>
    <w:link w:val="37"/>
    <w:unhideWhenUsed/>
    <w:qFormat/>
    <w:uiPriority w:val="99"/>
    <w:pPr>
      <w:tabs>
        <w:tab w:val="center" w:pos="4153"/>
        <w:tab w:val="right" w:pos="8306"/>
      </w:tabs>
      <w:snapToGrid w:val="0"/>
      <w:jc w:val="center"/>
    </w:pPr>
    <w:rPr>
      <w:sz w:val="18"/>
      <w:szCs w:val="18"/>
    </w:rPr>
  </w:style>
  <w:style w:type="paragraph" w:styleId="21">
    <w:name w:val="toc 1"/>
    <w:basedOn w:val="1"/>
    <w:next w:val="1"/>
    <w:unhideWhenUsed/>
    <w:qFormat/>
    <w:uiPriority w:val="39"/>
    <w:rPr>
      <w:rFonts w:ascii="宋体"/>
    </w:rPr>
  </w:style>
  <w:style w:type="paragraph" w:styleId="22">
    <w:name w:val="toc 4"/>
    <w:basedOn w:val="1"/>
    <w:next w:val="1"/>
    <w:unhideWhenUsed/>
    <w:qFormat/>
    <w:uiPriority w:val="39"/>
    <w:pPr>
      <w:tabs>
        <w:tab w:val="right" w:leader="dot" w:pos="9344"/>
      </w:tabs>
      <w:spacing w:line="300" w:lineRule="exact"/>
      <w:ind w:left="629"/>
    </w:pPr>
    <w:rPr>
      <w:rFonts w:ascii="宋体"/>
    </w:rPr>
  </w:style>
  <w:style w:type="paragraph" w:styleId="23">
    <w:name w:val="footnote text"/>
    <w:basedOn w:val="1"/>
    <w:next w:val="1"/>
    <w:link w:val="52"/>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4">
    <w:name w:val="toc 6"/>
    <w:basedOn w:val="1"/>
    <w:next w:val="1"/>
    <w:unhideWhenUsed/>
    <w:qFormat/>
    <w:uiPriority w:val="39"/>
    <w:pPr>
      <w:spacing w:line="300" w:lineRule="exact"/>
      <w:ind w:left="1049"/>
    </w:pPr>
    <w:rPr>
      <w:rFonts w:ascii="宋体"/>
    </w:rPr>
  </w:style>
  <w:style w:type="paragraph" w:styleId="25">
    <w:name w:val="table of figures"/>
    <w:basedOn w:val="1"/>
    <w:next w:val="1"/>
    <w:semiHidden/>
    <w:qFormat/>
    <w:uiPriority w:val="0"/>
    <w:pPr>
      <w:adjustRightInd/>
      <w:spacing w:line="240" w:lineRule="auto"/>
      <w:jc w:val="left"/>
    </w:pPr>
    <w:rPr>
      <w:szCs w:val="24"/>
    </w:rPr>
  </w:style>
  <w:style w:type="paragraph" w:styleId="26">
    <w:name w:val="toc 2"/>
    <w:basedOn w:val="1"/>
    <w:next w:val="1"/>
    <w:unhideWhenUsed/>
    <w:qFormat/>
    <w:uiPriority w:val="39"/>
    <w:pPr>
      <w:tabs>
        <w:tab w:val="right" w:leader="dot" w:pos="9344"/>
      </w:tabs>
      <w:spacing w:line="300" w:lineRule="exact"/>
      <w:ind w:left="210"/>
    </w:pPr>
    <w:rPr>
      <w:rFonts w:ascii="宋体"/>
    </w:rPr>
  </w:style>
  <w:style w:type="paragraph" w:styleId="27">
    <w:name w:val="Title"/>
    <w:basedOn w:val="1"/>
    <w:link w:val="53"/>
    <w:qFormat/>
    <w:uiPriority w:val="0"/>
    <w:pPr>
      <w:spacing w:before="240" w:after="60"/>
      <w:jc w:val="center"/>
      <w:outlineLvl w:val="0"/>
    </w:pPr>
    <w:rPr>
      <w:rFonts w:ascii="Arial" w:hAnsi="Arial" w:cs="Arial"/>
      <w:b/>
      <w:bCs/>
      <w:sz w:val="32"/>
      <w:szCs w:val="32"/>
    </w:rPr>
  </w:style>
  <w:style w:type="paragraph" w:styleId="28">
    <w:name w:val="Body Text First Indent 2"/>
    <w:basedOn w:val="15"/>
    <w:link w:val="54"/>
    <w:unhideWhenUsed/>
    <w:qFormat/>
    <w:uiPriority w:val="99"/>
    <w:pPr>
      <w:ind w:firstLine="420" w:firstLineChars="200"/>
    </w:pPr>
  </w:style>
  <w:style w:type="table" w:styleId="30">
    <w:name w:val="Table Grid"/>
    <w:basedOn w:val="29"/>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qFormat/>
    <w:uiPriority w:val="22"/>
    <w:rPr>
      <w:b/>
      <w:bCs/>
    </w:rPr>
  </w:style>
  <w:style w:type="character" w:styleId="33">
    <w:name w:val="page number"/>
    <w:qFormat/>
    <w:uiPriority w:val="0"/>
    <w:rPr>
      <w:rFonts w:ascii="宋体" w:hAnsi="Times New Roman" w:eastAsia="宋体"/>
      <w:sz w:val="18"/>
    </w:rPr>
  </w:style>
  <w:style w:type="character" w:styleId="34">
    <w:name w:val="Emphasis"/>
    <w:qFormat/>
    <w:uiPriority w:val="20"/>
    <w:rPr>
      <w:i/>
      <w:iCs/>
    </w:rPr>
  </w:style>
  <w:style w:type="character" w:styleId="35">
    <w:name w:val="Hyperlink"/>
    <w:basedOn w:val="31"/>
    <w:qFormat/>
    <w:uiPriority w:val="99"/>
    <w:rPr>
      <w:rFonts w:ascii="宋体" w:hAnsi="Times New Roman" w:eastAsia="宋体"/>
      <w:color w:val="auto"/>
      <w:spacing w:val="0"/>
      <w:w w:val="100"/>
      <w:position w:val="0"/>
      <w:sz w:val="21"/>
      <w:u w:val="none"/>
      <w:vertAlign w:val="baseline"/>
    </w:rPr>
  </w:style>
  <w:style w:type="character" w:styleId="36">
    <w:name w:val="footnote reference"/>
    <w:semiHidden/>
    <w:qFormat/>
    <w:uiPriority w:val="0"/>
    <w:rPr>
      <w:rFonts w:ascii="宋体" w:hAnsi="宋体" w:eastAsia="宋体" w:cs="Times New Roman"/>
      <w:spacing w:val="0"/>
      <w:sz w:val="18"/>
      <w:vertAlign w:val="superscript"/>
    </w:rPr>
  </w:style>
  <w:style w:type="character" w:customStyle="1" w:styleId="37">
    <w:name w:val="页眉 字符"/>
    <w:basedOn w:val="31"/>
    <w:link w:val="20"/>
    <w:qFormat/>
    <w:uiPriority w:val="99"/>
    <w:rPr>
      <w:sz w:val="18"/>
      <w:szCs w:val="18"/>
    </w:rPr>
  </w:style>
  <w:style w:type="character" w:customStyle="1" w:styleId="38">
    <w:name w:val="页脚 字符"/>
    <w:basedOn w:val="31"/>
    <w:link w:val="19"/>
    <w:qFormat/>
    <w:uiPriority w:val="99"/>
    <w:rPr>
      <w:sz w:val="18"/>
      <w:szCs w:val="18"/>
    </w:rPr>
  </w:style>
  <w:style w:type="character" w:customStyle="1" w:styleId="39">
    <w:name w:val="标题 1 字符"/>
    <w:basedOn w:val="31"/>
    <w:link w:val="4"/>
    <w:qFormat/>
    <w:uiPriority w:val="0"/>
    <w:rPr>
      <w:rFonts w:ascii="Calibri" w:hAnsi="Calibri" w:eastAsia="宋体" w:cs="Times New Roman"/>
      <w:b/>
      <w:bCs/>
      <w:kern w:val="44"/>
      <w:sz w:val="44"/>
      <w:szCs w:val="44"/>
    </w:rPr>
  </w:style>
  <w:style w:type="character" w:customStyle="1" w:styleId="40">
    <w:name w:val="标题 2 字符"/>
    <w:basedOn w:val="31"/>
    <w:link w:val="5"/>
    <w:qFormat/>
    <w:uiPriority w:val="0"/>
    <w:rPr>
      <w:rFonts w:ascii="Arial" w:hAnsi="Arial" w:eastAsia="黑体" w:cs="Times New Roman"/>
      <w:b/>
      <w:bCs/>
      <w:sz w:val="32"/>
      <w:szCs w:val="32"/>
    </w:rPr>
  </w:style>
  <w:style w:type="character" w:customStyle="1" w:styleId="41">
    <w:name w:val="标题 3 字符"/>
    <w:basedOn w:val="31"/>
    <w:link w:val="6"/>
    <w:qFormat/>
    <w:uiPriority w:val="0"/>
    <w:rPr>
      <w:rFonts w:ascii="Calibri" w:hAnsi="Calibri" w:eastAsia="宋体" w:cs="Times New Roman"/>
      <w:b/>
      <w:bCs/>
      <w:sz w:val="32"/>
      <w:szCs w:val="32"/>
    </w:rPr>
  </w:style>
  <w:style w:type="character" w:customStyle="1" w:styleId="42">
    <w:name w:val="标题 4 字符"/>
    <w:basedOn w:val="31"/>
    <w:link w:val="7"/>
    <w:qFormat/>
    <w:uiPriority w:val="0"/>
    <w:rPr>
      <w:rFonts w:ascii="Arial" w:hAnsi="Arial" w:eastAsia="黑体" w:cs="Times New Roman"/>
      <w:b/>
      <w:bCs/>
      <w:sz w:val="28"/>
      <w:szCs w:val="28"/>
    </w:rPr>
  </w:style>
  <w:style w:type="character" w:customStyle="1" w:styleId="43">
    <w:name w:val="标题 5 字符"/>
    <w:basedOn w:val="31"/>
    <w:link w:val="8"/>
    <w:qFormat/>
    <w:uiPriority w:val="0"/>
    <w:rPr>
      <w:rFonts w:ascii="Calibri" w:hAnsi="Calibri" w:eastAsia="宋体" w:cs="Times New Roman"/>
      <w:b/>
      <w:bCs/>
      <w:sz w:val="28"/>
      <w:szCs w:val="28"/>
    </w:rPr>
  </w:style>
  <w:style w:type="character" w:customStyle="1" w:styleId="44">
    <w:name w:val="标题 6 字符"/>
    <w:basedOn w:val="31"/>
    <w:link w:val="9"/>
    <w:qFormat/>
    <w:uiPriority w:val="0"/>
    <w:rPr>
      <w:rFonts w:ascii="Arial" w:hAnsi="Arial" w:eastAsia="黑体" w:cs="Times New Roman"/>
      <w:b/>
      <w:bCs/>
      <w:sz w:val="24"/>
      <w:szCs w:val="24"/>
    </w:rPr>
  </w:style>
  <w:style w:type="character" w:customStyle="1" w:styleId="45">
    <w:name w:val="标题 7 字符"/>
    <w:basedOn w:val="31"/>
    <w:link w:val="10"/>
    <w:qFormat/>
    <w:uiPriority w:val="0"/>
    <w:rPr>
      <w:rFonts w:ascii="Calibri" w:hAnsi="Calibri" w:eastAsia="宋体" w:cs="Times New Roman"/>
      <w:b/>
      <w:bCs/>
      <w:sz w:val="24"/>
      <w:szCs w:val="24"/>
    </w:rPr>
  </w:style>
  <w:style w:type="character" w:customStyle="1" w:styleId="46">
    <w:name w:val="标题 8 字符"/>
    <w:basedOn w:val="31"/>
    <w:link w:val="11"/>
    <w:qFormat/>
    <w:uiPriority w:val="0"/>
    <w:rPr>
      <w:rFonts w:ascii="Arial" w:hAnsi="Arial" w:eastAsia="黑体" w:cs="Times New Roman"/>
      <w:sz w:val="24"/>
      <w:szCs w:val="24"/>
    </w:rPr>
  </w:style>
  <w:style w:type="character" w:customStyle="1" w:styleId="47">
    <w:name w:val="标题 9 字符"/>
    <w:basedOn w:val="31"/>
    <w:link w:val="12"/>
    <w:qFormat/>
    <w:uiPriority w:val="0"/>
    <w:rPr>
      <w:rFonts w:ascii="Arial" w:hAnsi="Arial" w:eastAsia="黑体" w:cs="Times New Roman"/>
      <w:szCs w:val="21"/>
    </w:rPr>
  </w:style>
  <w:style w:type="character" w:customStyle="1" w:styleId="48">
    <w:name w:val="正文文本 字符"/>
    <w:basedOn w:val="31"/>
    <w:link w:val="3"/>
    <w:qFormat/>
    <w:uiPriority w:val="0"/>
    <w:rPr>
      <w:rFonts w:ascii="Calibri" w:hAnsi="Calibri" w:eastAsia="宋体" w:cs="Times New Roman"/>
      <w:szCs w:val="21"/>
    </w:rPr>
  </w:style>
  <w:style w:type="character" w:customStyle="1" w:styleId="49">
    <w:name w:val="正文文本首行缩进 字符"/>
    <w:basedOn w:val="48"/>
    <w:link w:val="2"/>
    <w:qFormat/>
    <w:uiPriority w:val="99"/>
    <w:rPr>
      <w:rFonts w:ascii="Calibri" w:hAnsi="Calibri" w:eastAsia="宋体" w:cs="Times New Roman"/>
      <w:szCs w:val="21"/>
    </w:rPr>
  </w:style>
  <w:style w:type="character" w:customStyle="1" w:styleId="50">
    <w:name w:val="正文文本缩进 字符"/>
    <w:basedOn w:val="31"/>
    <w:link w:val="15"/>
    <w:qFormat/>
    <w:uiPriority w:val="99"/>
    <w:rPr>
      <w:rFonts w:ascii="Calibri" w:hAnsi="Calibri" w:eastAsia="宋体" w:cs="Times New Roman"/>
      <w:szCs w:val="21"/>
    </w:rPr>
  </w:style>
  <w:style w:type="character" w:customStyle="1" w:styleId="51">
    <w:name w:val="批注框文本 字符"/>
    <w:basedOn w:val="31"/>
    <w:link w:val="18"/>
    <w:qFormat/>
    <w:uiPriority w:val="99"/>
    <w:rPr>
      <w:rFonts w:ascii="Calibri" w:hAnsi="Calibri" w:eastAsia="宋体" w:cs="Times New Roman"/>
      <w:sz w:val="18"/>
      <w:szCs w:val="18"/>
    </w:rPr>
  </w:style>
  <w:style w:type="character" w:customStyle="1" w:styleId="52">
    <w:name w:val="脚注文本 字符"/>
    <w:basedOn w:val="31"/>
    <w:link w:val="23"/>
    <w:semiHidden/>
    <w:qFormat/>
    <w:uiPriority w:val="0"/>
    <w:rPr>
      <w:rFonts w:ascii="宋体" w:hAnsi="Calibri" w:eastAsia="宋体" w:cs="Times New Roman"/>
      <w:sz w:val="18"/>
      <w:szCs w:val="18"/>
    </w:rPr>
  </w:style>
  <w:style w:type="character" w:customStyle="1" w:styleId="53">
    <w:name w:val="标题 字符"/>
    <w:basedOn w:val="31"/>
    <w:link w:val="27"/>
    <w:qFormat/>
    <w:uiPriority w:val="0"/>
    <w:rPr>
      <w:rFonts w:ascii="Arial" w:hAnsi="Arial" w:eastAsia="宋体" w:cs="Arial"/>
      <w:b/>
      <w:bCs/>
      <w:sz w:val="32"/>
      <w:szCs w:val="32"/>
    </w:rPr>
  </w:style>
  <w:style w:type="character" w:customStyle="1" w:styleId="54">
    <w:name w:val="正文文本首行缩进 2 字符"/>
    <w:basedOn w:val="50"/>
    <w:link w:val="28"/>
    <w:qFormat/>
    <w:uiPriority w:val="99"/>
    <w:rPr>
      <w:rFonts w:ascii="Calibri" w:hAnsi="Calibri" w:eastAsia="宋体" w:cs="Times New Roman"/>
      <w:szCs w:val="21"/>
    </w:rPr>
  </w:style>
  <w:style w:type="paragraph" w:customStyle="1" w:styleId="55">
    <w:name w:val="引用1"/>
    <w:basedOn w:val="1"/>
    <w:next w:val="1"/>
    <w:link w:val="56"/>
    <w:qFormat/>
    <w:uiPriority w:val="29"/>
    <w:rPr>
      <w:i/>
      <w:iCs/>
      <w:color w:val="000000"/>
    </w:rPr>
  </w:style>
  <w:style w:type="character" w:customStyle="1" w:styleId="56">
    <w:name w:val="引用 字符"/>
    <w:link w:val="55"/>
    <w:qFormat/>
    <w:uiPriority w:val="29"/>
    <w:rPr>
      <w:rFonts w:ascii="Calibri" w:hAnsi="Calibri" w:eastAsia="宋体" w:cs="Times New Roman"/>
      <w:i/>
      <w:iCs/>
      <w:color w:val="000000"/>
      <w:szCs w:val="21"/>
    </w:rPr>
  </w:style>
  <w:style w:type="paragraph" w:customStyle="1" w:styleId="57">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8">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9">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60">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61">
    <w:name w:val="标准书眉一"/>
    <w:qFormat/>
    <w:uiPriority w:val="0"/>
    <w:pPr>
      <w:jc w:val="both"/>
    </w:pPr>
    <w:rPr>
      <w:rFonts w:ascii="Times New Roman" w:hAnsi="Times New Roman" w:eastAsia="宋体" w:cs="Times New Roman"/>
      <w:lang w:val="en-US" w:eastAsia="zh-CN" w:bidi="ar-SA"/>
    </w:rPr>
  </w:style>
  <w:style w:type="paragraph" w:customStyle="1" w:styleId="62">
    <w:name w:val="标准文件_ICS"/>
    <w:basedOn w:val="1"/>
    <w:qFormat/>
    <w:uiPriority w:val="0"/>
    <w:pPr>
      <w:spacing w:line="0" w:lineRule="atLeast"/>
    </w:pPr>
    <w:rPr>
      <w:rFonts w:ascii="黑体" w:hAnsi="宋体" w:eastAsia="黑体"/>
    </w:rPr>
  </w:style>
  <w:style w:type="paragraph" w:customStyle="1" w:styleId="63">
    <w:name w:val="标准文件_标准正文"/>
    <w:basedOn w:val="1"/>
    <w:next w:val="64"/>
    <w:qFormat/>
    <w:uiPriority w:val="0"/>
    <w:pPr>
      <w:snapToGrid w:val="0"/>
      <w:ind w:firstLine="200" w:firstLineChars="200"/>
    </w:pPr>
    <w:rPr>
      <w:kern w:val="0"/>
    </w:rPr>
  </w:style>
  <w:style w:type="paragraph" w:customStyle="1" w:styleId="64">
    <w:name w:val="标准文件_段"/>
    <w:link w:val="190"/>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5">
    <w:name w:val="标准文件_版本"/>
    <w:basedOn w:val="63"/>
    <w:qFormat/>
    <w:uiPriority w:val="0"/>
    <w:pPr>
      <w:adjustRightInd/>
      <w:snapToGrid/>
      <w:ind w:firstLine="0" w:firstLineChars="0"/>
    </w:pPr>
    <w:rPr>
      <w:rFonts w:ascii="宋体" w:hAnsi="宋体"/>
      <w:kern w:val="2"/>
    </w:rPr>
  </w:style>
  <w:style w:type="paragraph" w:customStyle="1" w:styleId="66">
    <w:name w:val="标准文件_标准部门"/>
    <w:basedOn w:val="1"/>
    <w:qFormat/>
    <w:uiPriority w:val="0"/>
    <w:pPr>
      <w:jc w:val="center"/>
    </w:pPr>
    <w:rPr>
      <w:rFonts w:ascii="黑体" w:eastAsia="黑体"/>
      <w:kern w:val="0"/>
      <w:sz w:val="44"/>
    </w:rPr>
  </w:style>
  <w:style w:type="paragraph" w:customStyle="1" w:styleId="67">
    <w:name w:val="标准文件_标准代替"/>
    <w:basedOn w:val="1"/>
    <w:next w:val="1"/>
    <w:qFormat/>
    <w:uiPriority w:val="0"/>
    <w:pPr>
      <w:spacing w:line="310" w:lineRule="exact"/>
      <w:jc w:val="right"/>
    </w:pPr>
    <w:rPr>
      <w:rFonts w:ascii="宋体" w:hAnsi="宋体"/>
      <w:kern w:val="0"/>
    </w:rPr>
  </w:style>
  <w:style w:type="paragraph" w:customStyle="1" w:styleId="68">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9">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70">
    <w:name w:val="标准文件_页眉偶数页"/>
    <w:basedOn w:val="69"/>
    <w:next w:val="1"/>
    <w:qFormat/>
    <w:uiPriority w:val="0"/>
    <w:pPr>
      <w:jc w:val="left"/>
    </w:pPr>
  </w:style>
  <w:style w:type="paragraph" w:customStyle="1" w:styleId="71">
    <w:name w:val="标准文件_参考文献标题"/>
    <w:basedOn w:val="1"/>
    <w:next w:val="1"/>
    <w:qFormat/>
    <w:uiPriority w:val="0"/>
    <w:pPr>
      <w:widowControl/>
      <w:shd w:val="clear" w:color="FFFFFF" w:fill="FFFFFF"/>
      <w:adjustRightInd/>
      <w:spacing w:before="40" w:beforeLines="40" w:after="50" w:afterLines="50" w:line="240" w:lineRule="auto"/>
      <w:jc w:val="center"/>
      <w:outlineLvl w:val="0"/>
    </w:pPr>
    <w:rPr>
      <w:rFonts w:ascii="黑体" w:eastAsia="黑体"/>
      <w:kern w:val="0"/>
    </w:rPr>
  </w:style>
  <w:style w:type="paragraph" w:customStyle="1" w:styleId="72">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73">
    <w:name w:val="标准文件_二级条标题"/>
    <w:next w:val="64"/>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74">
    <w:name w:val="标准文件_发布"/>
    <w:qFormat/>
    <w:uiPriority w:val="0"/>
    <w:rPr>
      <w:rFonts w:ascii="黑体" w:eastAsia="黑体"/>
      <w:spacing w:val="0"/>
      <w:w w:val="100"/>
      <w:position w:val="3"/>
      <w:sz w:val="28"/>
    </w:rPr>
  </w:style>
  <w:style w:type="paragraph" w:customStyle="1" w:styleId="75">
    <w:name w:val="标准文件_方框数字列项"/>
    <w:basedOn w:val="64"/>
    <w:qFormat/>
    <w:uiPriority w:val="0"/>
    <w:pPr>
      <w:numPr>
        <w:ilvl w:val="0"/>
        <w:numId w:val="3"/>
      </w:numPr>
      <w:ind w:firstLine="0" w:firstLineChars="0"/>
    </w:pPr>
  </w:style>
  <w:style w:type="paragraph" w:customStyle="1" w:styleId="76">
    <w:name w:val="标准文件_封面标准编号"/>
    <w:basedOn w:val="1"/>
    <w:next w:val="67"/>
    <w:qFormat/>
    <w:uiPriority w:val="0"/>
    <w:pPr>
      <w:spacing w:line="310" w:lineRule="exact"/>
      <w:jc w:val="right"/>
    </w:pPr>
    <w:rPr>
      <w:rFonts w:ascii="黑体" w:eastAsia="黑体"/>
      <w:kern w:val="0"/>
      <w:sz w:val="28"/>
    </w:rPr>
  </w:style>
  <w:style w:type="paragraph" w:customStyle="1" w:styleId="77">
    <w:name w:val="标准文件_封面标准分类号"/>
    <w:basedOn w:val="1"/>
    <w:qFormat/>
    <w:uiPriority w:val="0"/>
    <w:rPr>
      <w:rFonts w:ascii="黑体" w:eastAsia="黑体"/>
      <w:b/>
      <w:kern w:val="0"/>
      <w:sz w:val="28"/>
    </w:rPr>
  </w:style>
  <w:style w:type="paragraph" w:customStyle="1" w:styleId="78">
    <w:name w:val="标准文件_封面标准名称"/>
    <w:basedOn w:val="1"/>
    <w:qFormat/>
    <w:uiPriority w:val="0"/>
    <w:pPr>
      <w:spacing w:line="240" w:lineRule="auto"/>
      <w:jc w:val="center"/>
    </w:pPr>
    <w:rPr>
      <w:rFonts w:ascii="黑体" w:eastAsia="黑体"/>
      <w:kern w:val="0"/>
      <w:sz w:val="52"/>
    </w:rPr>
  </w:style>
  <w:style w:type="paragraph" w:customStyle="1" w:styleId="79">
    <w:name w:val="标准文件_封面标准英文名称"/>
    <w:basedOn w:val="1"/>
    <w:qFormat/>
    <w:uiPriority w:val="0"/>
    <w:pPr>
      <w:spacing w:line="240" w:lineRule="auto"/>
      <w:jc w:val="center"/>
    </w:pPr>
    <w:rPr>
      <w:rFonts w:ascii="黑体" w:eastAsia="黑体"/>
      <w:b/>
      <w:sz w:val="28"/>
    </w:rPr>
  </w:style>
  <w:style w:type="paragraph" w:customStyle="1" w:styleId="80">
    <w:name w:val="标准文件_封面发布日期"/>
    <w:basedOn w:val="1"/>
    <w:qFormat/>
    <w:uiPriority w:val="0"/>
    <w:pPr>
      <w:spacing w:line="310" w:lineRule="exact"/>
    </w:pPr>
    <w:rPr>
      <w:rFonts w:ascii="黑体" w:eastAsia="黑体"/>
      <w:kern w:val="0"/>
      <w:sz w:val="28"/>
    </w:rPr>
  </w:style>
  <w:style w:type="paragraph" w:customStyle="1" w:styleId="81">
    <w:name w:val="标准文件_封面密级"/>
    <w:basedOn w:val="1"/>
    <w:qFormat/>
    <w:uiPriority w:val="0"/>
    <w:rPr>
      <w:rFonts w:eastAsia="黑体"/>
      <w:sz w:val="32"/>
    </w:rPr>
  </w:style>
  <w:style w:type="paragraph" w:customStyle="1" w:styleId="82">
    <w:name w:val="标准文件_封面实施日期"/>
    <w:basedOn w:val="1"/>
    <w:qFormat/>
    <w:uiPriority w:val="0"/>
    <w:pPr>
      <w:spacing w:line="310" w:lineRule="exact"/>
      <w:jc w:val="right"/>
    </w:pPr>
    <w:rPr>
      <w:rFonts w:ascii="黑体" w:eastAsia="黑体"/>
      <w:sz w:val="28"/>
    </w:rPr>
  </w:style>
  <w:style w:type="paragraph" w:customStyle="1" w:styleId="83">
    <w:name w:val="标准文件_封面抬头"/>
    <w:basedOn w:val="64"/>
    <w:qFormat/>
    <w:uiPriority w:val="0"/>
    <w:pPr>
      <w:adjustRightInd w:val="0"/>
      <w:spacing w:line="800" w:lineRule="exact"/>
      <w:ind w:firstLine="0" w:firstLineChars="0"/>
      <w:jc w:val="distribute"/>
    </w:pPr>
    <w:rPr>
      <w:rFonts w:ascii="黑体" w:eastAsia="黑体"/>
      <w:b/>
      <w:sz w:val="64"/>
    </w:rPr>
  </w:style>
  <w:style w:type="paragraph" w:customStyle="1" w:styleId="84">
    <w:name w:val="标准文件_附录标识"/>
    <w:next w:val="64"/>
    <w:qFormat/>
    <w:uiPriority w:val="0"/>
    <w:pPr>
      <w:numPr>
        <w:ilvl w:val="0"/>
        <w:numId w:val="4"/>
      </w:numPr>
      <w:shd w:val="clear" w:color="FFFFFF" w:fill="FFFFFF"/>
      <w:tabs>
        <w:tab w:val="left" w:pos="6406"/>
      </w:tabs>
      <w:spacing w:before="25" w:beforeLines="25" w:after="50" w:afterLines="50"/>
      <w:jc w:val="center"/>
      <w:outlineLvl w:val="0"/>
    </w:pPr>
    <w:rPr>
      <w:rFonts w:ascii="黑体" w:hAnsi="Times New Roman" w:eastAsia="黑体" w:cs="Times New Roman"/>
      <w:sz w:val="21"/>
      <w:lang w:val="en-US" w:eastAsia="zh-CN" w:bidi="ar-SA"/>
    </w:rPr>
  </w:style>
  <w:style w:type="paragraph" w:customStyle="1" w:styleId="85">
    <w:name w:val="标准文件_附录表标题"/>
    <w:next w:val="64"/>
    <w:qFormat/>
    <w:uiPriority w:val="0"/>
    <w:pPr>
      <w:numPr>
        <w:ilvl w:val="1"/>
        <w:numId w:val="5"/>
      </w:numPr>
      <w:adjustRightInd w:val="0"/>
      <w:snapToGrid w:val="0"/>
      <w:spacing w:before="50" w:beforeLines="50" w:after="50" w:afterLines="50"/>
      <w:ind w:firstLine="420"/>
      <w:jc w:val="center"/>
      <w:textAlignment w:val="baseline"/>
    </w:pPr>
    <w:rPr>
      <w:rFonts w:ascii="黑体" w:hAnsi="Times New Roman" w:eastAsia="黑体" w:cs="Times New Roman"/>
      <w:kern w:val="21"/>
      <w:sz w:val="21"/>
      <w:lang w:val="en-US" w:eastAsia="zh-CN" w:bidi="ar-SA"/>
    </w:rPr>
  </w:style>
  <w:style w:type="paragraph" w:customStyle="1" w:styleId="86">
    <w:name w:val="标准文件_附录一级条标题"/>
    <w:next w:val="64"/>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7">
    <w:name w:val="标准文件_附录二级条标题"/>
    <w:basedOn w:val="86"/>
    <w:next w:val="64"/>
    <w:qFormat/>
    <w:uiPriority w:val="0"/>
    <w:pPr>
      <w:widowControl/>
      <w:numPr>
        <w:ilvl w:val="2"/>
      </w:numPr>
      <w:wordWrap w:val="0"/>
      <w:overflowPunct w:val="0"/>
      <w:autoSpaceDE w:val="0"/>
      <w:autoSpaceDN w:val="0"/>
      <w:textAlignment w:val="baseline"/>
      <w:outlineLvl w:val="3"/>
    </w:pPr>
  </w:style>
  <w:style w:type="paragraph" w:customStyle="1" w:styleId="88">
    <w:name w:val="标准文件_附录公式"/>
    <w:basedOn w:val="63"/>
    <w:next w:val="63"/>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9">
    <w:name w:val="标准文件_附录三级条标题"/>
    <w:next w:val="64"/>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90">
    <w:name w:val="标准文件_附录四级条标题"/>
    <w:next w:val="64"/>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91">
    <w:name w:val="标准文件_附录图标题"/>
    <w:next w:val="64"/>
    <w:qFormat/>
    <w:uiPriority w:val="0"/>
    <w:pPr>
      <w:numPr>
        <w:ilvl w:val="1"/>
        <w:numId w:val="6"/>
      </w:numPr>
      <w:adjustRightInd w:val="0"/>
      <w:snapToGrid w:val="0"/>
      <w:spacing w:before="50" w:beforeLines="50" w:after="50" w:afterLines="50"/>
      <w:ind w:firstLine="420"/>
      <w:jc w:val="center"/>
    </w:pPr>
    <w:rPr>
      <w:rFonts w:ascii="黑体" w:hAnsi="Times New Roman" w:eastAsia="黑体" w:cs="Times New Roman"/>
      <w:sz w:val="21"/>
      <w:lang w:val="en-US" w:eastAsia="zh-CN" w:bidi="ar-SA"/>
    </w:rPr>
  </w:style>
  <w:style w:type="paragraph" w:customStyle="1" w:styleId="92">
    <w:name w:val="标准文件_附录五级条标题"/>
    <w:next w:val="64"/>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93">
    <w:name w:val="标准文件_附录英文标识"/>
    <w:next w:val="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paragraph" w:customStyle="1" w:styleId="94">
    <w:name w:val="标准文件_附录章标题"/>
    <w:next w:val="64"/>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5">
    <w:name w:val="标准文件_公式后的破折号"/>
    <w:basedOn w:val="64"/>
    <w:next w:val="64"/>
    <w:qFormat/>
    <w:uiPriority w:val="0"/>
    <w:pPr>
      <w:ind w:left="488" w:leftChars="200" w:hanging="289" w:hangingChars="290"/>
    </w:pPr>
  </w:style>
  <w:style w:type="paragraph" w:customStyle="1" w:styleId="96">
    <w:name w:val="标准文件_前言、引言标题"/>
    <w:next w:val="1"/>
    <w:qFormat/>
    <w:uiPriority w:val="0"/>
    <w:pPr>
      <w:numPr>
        <w:ilvl w:val="0"/>
        <w:numId w:val="8"/>
      </w:numPr>
      <w:shd w:val="clear" w:color="FFFFFF" w:fill="FFFFFF"/>
      <w:spacing w:after="150" w:afterLines="150"/>
      <w:ind w:left="0" w:firstLine="0"/>
      <w:jc w:val="center"/>
      <w:outlineLvl w:val="0"/>
    </w:pPr>
    <w:rPr>
      <w:rFonts w:ascii="黑体" w:hAnsi="Times New Roman" w:eastAsia="黑体" w:cs="Times New Roman"/>
      <w:sz w:val="32"/>
      <w:lang w:val="en-US" w:eastAsia="zh-CN" w:bidi="ar-SA"/>
    </w:rPr>
  </w:style>
  <w:style w:type="paragraph" w:customStyle="1" w:styleId="97">
    <w:name w:val="标准文件_目次、标准名称标题"/>
    <w:basedOn w:val="96"/>
    <w:next w:val="64"/>
    <w:qFormat/>
    <w:uiPriority w:val="0"/>
    <w:pPr>
      <w:spacing w:line="460" w:lineRule="exact"/>
    </w:pPr>
  </w:style>
  <w:style w:type="paragraph" w:customStyle="1" w:styleId="98">
    <w:name w:val="标准文件_目录标题"/>
    <w:basedOn w:val="1"/>
    <w:qFormat/>
    <w:uiPriority w:val="0"/>
    <w:pPr>
      <w:spacing w:after="150" w:afterLines="150" w:line="240" w:lineRule="auto"/>
      <w:jc w:val="center"/>
    </w:pPr>
    <w:rPr>
      <w:rFonts w:ascii="黑体" w:eastAsia="黑体"/>
      <w:sz w:val="32"/>
    </w:rPr>
  </w:style>
  <w:style w:type="paragraph" w:customStyle="1" w:styleId="99">
    <w:name w:val="标准文件_破折号列项"/>
    <w:qFormat/>
    <w:uiPriority w:val="0"/>
    <w:pPr>
      <w:numPr>
        <w:ilvl w:val="0"/>
        <w:numId w:val="9"/>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100">
    <w:name w:val="标准文件_破折号列项（二级）"/>
    <w:basedOn w:val="99"/>
    <w:qFormat/>
    <w:uiPriority w:val="0"/>
    <w:pPr>
      <w:numPr>
        <w:numId w:val="10"/>
      </w:numPr>
      <w:ind w:left="0" w:firstLine="200"/>
    </w:pPr>
  </w:style>
  <w:style w:type="paragraph" w:customStyle="1" w:styleId="101">
    <w:name w:val="标准文件_三级条标题"/>
    <w:basedOn w:val="73"/>
    <w:next w:val="64"/>
    <w:qFormat/>
    <w:uiPriority w:val="0"/>
    <w:pPr>
      <w:widowControl/>
      <w:numPr>
        <w:ilvl w:val="4"/>
      </w:numPr>
      <w:outlineLvl w:val="3"/>
    </w:pPr>
  </w:style>
  <w:style w:type="character" w:customStyle="1" w:styleId="102">
    <w:name w:val="不明显参考1"/>
    <w:qFormat/>
    <w:uiPriority w:val="31"/>
    <w:rPr>
      <w:smallCaps/>
      <w:color w:val="C0504D"/>
      <w:u w:val="single"/>
    </w:rPr>
  </w:style>
  <w:style w:type="paragraph" w:customStyle="1" w:styleId="103">
    <w:name w:val="标准文件_示例后续"/>
    <w:basedOn w:val="1"/>
    <w:qFormat/>
    <w:uiPriority w:val="0"/>
    <w:pPr>
      <w:adjustRightInd/>
      <w:spacing w:line="240" w:lineRule="auto"/>
      <w:ind w:firstLine="200" w:firstLineChars="200"/>
    </w:pPr>
    <w:rPr>
      <w:sz w:val="18"/>
      <w:szCs w:val="24"/>
    </w:rPr>
  </w:style>
  <w:style w:type="paragraph" w:customStyle="1" w:styleId="104">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5">
    <w:name w:val="标准文件_四级条标题"/>
    <w:next w:val="64"/>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paragraph" w:customStyle="1" w:styleId="106">
    <w:name w:val="标准文件_条文脚注"/>
    <w:basedOn w:val="23"/>
    <w:qFormat/>
    <w:uiPriority w:val="0"/>
    <w:pPr>
      <w:adjustRightInd w:val="0"/>
      <w:spacing w:line="240" w:lineRule="auto"/>
      <w:ind w:left="0" w:leftChars="0" w:firstLine="200" w:firstLineChars="200"/>
      <w:jc w:val="both"/>
    </w:pPr>
    <w:rPr>
      <w:rFonts w:hAnsi="宋体"/>
    </w:rPr>
  </w:style>
  <w:style w:type="paragraph" w:customStyle="1" w:styleId="107">
    <w:name w:val="标准文件_图表脚注"/>
    <w:basedOn w:val="1"/>
    <w:next w:val="64"/>
    <w:qFormat/>
    <w:uiPriority w:val="0"/>
    <w:pPr>
      <w:numPr>
        <w:ilvl w:val="0"/>
        <w:numId w:val="12"/>
      </w:numPr>
      <w:spacing w:line="240" w:lineRule="auto"/>
      <w:jc w:val="left"/>
    </w:pPr>
    <w:rPr>
      <w:rFonts w:ascii="宋体" w:hAnsi="宋体"/>
      <w:sz w:val="18"/>
    </w:rPr>
  </w:style>
  <w:style w:type="character" w:customStyle="1" w:styleId="108">
    <w:name w:val="标准文件_图表脚注内容"/>
    <w:qFormat/>
    <w:uiPriority w:val="0"/>
    <w:rPr>
      <w:rFonts w:ascii="宋体" w:hAnsi="宋体" w:eastAsia="宋体" w:cs="Times New Roman"/>
      <w:spacing w:val="0"/>
      <w:sz w:val="18"/>
      <w:vertAlign w:val="superscript"/>
    </w:rPr>
  </w:style>
  <w:style w:type="paragraph" w:customStyle="1" w:styleId="109">
    <w:name w:val="标准文件_五级条标题"/>
    <w:next w:val="64"/>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10">
    <w:name w:val="标准文件_章标题"/>
    <w:next w:val="64"/>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11">
    <w:name w:val="标准文件_一级条标题"/>
    <w:basedOn w:val="110"/>
    <w:next w:val="64"/>
    <w:qFormat/>
    <w:uiPriority w:val="0"/>
    <w:pPr>
      <w:numPr>
        <w:ilvl w:val="2"/>
      </w:numPr>
      <w:spacing w:before="50" w:beforeLines="50" w:after="50" w:afterLines="50"/>
      <w:outlineLvl w:val="1"/>
    </w:pPr>
  </w:style>
  <w:style w:type="paragraph" w:customStyle="1" w:styleId="112">
    <w:name w:val="标准文件_一致程度"/>
    <w:basedOn w:val="1"/>
    <w:qFormat/>
    <w:uiPriority w:val="0"/>
    <w:pPr>
      <w:spacing w:line="440" w:lineRule="exact"/>
      <w:jc w:val="center"/>
    </w:pPr>
    <w:rPr>
      <w:sz w:val="28"/>
    </w:rPr>
  </w:style>
  <w:style w:type="paragraph" w:customStyle="1" w:styleId="113">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4">
    <w:name w:val="标准文件_英文图表脚注"/>
    <w:basedOn w:val="63"/>
    <w:qFormat/>
    <w:uiPriority w:val="0"/>
    <w:pPr>
      <w:widowControl/>
      <w:adjustRightInd/>
      <w:snapToGrid/>
      <w:spacing w:line="240" w:lineRule="auto"/>
      <w:ind w:left="79" w:hanging="79" w:hangingChars="80"/>
    </w:pPr>
    <w:rPr>
      <w:rFonts w:ascii="宋体" w:hAnsi="宋体"/>
    </w:rPr>
  </w:style>
  <w:style w:type="paragraph" w:customStyle="1" w:styleId="115">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6">
    <w:name w:val="标准文件_英文注："/>
    <w:basedOn w:val="1"/>
    <w:next w:val="64"/>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7">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8">
    <w:name w:val="标准文件_正文表标题"/>
    <w:next w:val="64"/>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9">
    <w:name w:val="标准文件_正文公式"/>
    <w:basedOn w:val="1"/>
    <w:next w:val="63"/>
    <w:qFormat/>
    <w:uiPriority w:val="0"/>
    <w:pPr>
      <w:tabs>
        <w:tab w:val="center" w:pos="4678"/>
        <w:tab w:val="right" w:leader="middleDot" w:pos="9356"/>
      </w:tabs>
      <w:spacing w:line="240" w:lineRule="auto"/>
    </w:pPr>
    <w:rPr>
      <w:rFonts w:ascii="宋体" w:hAnsi="宋体"/>
    </w:rPr>
  </w:style>
  <w:style w:type="paragraph" w:customStyle="1" w:styleId="120">
    <w:name w:val="标准文件_正文图标题"/>
    <w:next w:val="64"/>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21">
    <w:name w:val="标准文件_正文英文表标题"/>
    <w:next w:val="64"/>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2">
    <w:name w:val="标准文件_正文英文图标题"/>
    <w:next w:val="64"/>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3">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4">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5">
    <w:name w:val="发布部门"/>
    <w:next w:val="64"/>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6">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7">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8">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9">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30">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31">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2">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3">
    <w:name w:val="封面正文"/>
    <w:qFormat/>
    <w:uiPriority w:val="0"/>
    <w:pPr>
      <w:jc w:val="both"/>
    </w:pPr>
    <w:rPr>
      <w:rFonts w:ascii="Times New Roman" w:hAnsi="Times New Roman" w:eastAsia="宋体" w:cs="Times New Roman"/>
      <w:lang w:val="en-US" w:eastAsia="zh-CN" w:bidi="ar-SA"/>
    </w:rPr>
  </w:style>
  <w:style w:type="paragraph" w:customStyle="1" w:styleId="134">
    <w:name w:val="附录二级无标题条"/>
    <w:basedOn w:val="1"/>
    <w:next w:val="64"/>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5">
    <w:name w:val="附录三级无标题条"/>
    <w:basedOn w:val="134"/>
    <w:next w:val="64"/>
    <w:qFormat/>
    <w:uiPriority w:val="0"/>
    <w:pPr>
      <w:outlineLvl w:val="4"/>
    </w:pPr>
  </w:style>
  <w:style w:type="paragraph" w:customStyle="1" w:styleId="136">
    <w:name w:val="附录四级无标题条"/>
    <w:basedOn w:val="135"/>
    <w:next w:val="64"/>
    <w:qFormat/>
    <w:uiPriority w:val="0"/>
    <w:pPr>
      <w:outlineLvl w:val="5"/>
    </w:pPr>
  </w:style>
  <w:style w:type="paragraph" w:customStyle="1" w:styleId="137">
    <w:name w:val="附录图"/>
    <w:next w:val="64"/>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8">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9">
    <w:name w:val="附录五级无标题条"/>
    <w:basedOn w:val="136"/>
    <w:next w:val="64"/>
    <w:qFormat/>
    <w:uiPriority w:val="0"/>
    <w:pPr>
      <w:outlineLvl w:val="6"/>
    </w:pPr>
  </w:style>
  <w:style w:type="paragraph" w:customStyle="1" w:styleId="140">
    <w:name w:val="附录性质"/>
    <w:basedOn w:val="1"/>
    <w:qFormat/>
    <w:uiPriority w:val="0"/>
    <w:pPr>
      <w:widowControl/>
      <w:adjustRightInd/>
      <w:jc w:val="center"/>
    </w:pPr>
    <w:rPr>
      <w:rFonts w:ascii="黑体" w:eastAsia="黑体"/>
    </w:rPr>
  </w:style>
  <w:style w:type="paragraph" w:customStyle="1" w:styleId="141">
    <w:name w:val="附录一级无标题条"/>
    <w:basedOn w:val="94"/>
    <w:next w:val="64"/>
    <w:qFormat/>
    <w:uiPriority w:val="0"/>
    <w:pPr>
      <w:autoSpaceDN w:val="0"/>
      <w:outlineLvl w:val="2"/>
    </w:pPr>
    <w:rPr>
      <w:rFonts w:ascii="宋体" w:hAnsi="宋体" w:eastAsia="宋体"/>
    </w:rPr>
  </w:style>
  <w:style w:type="character" w:customStyle="1" w:styleId="142">
    <w:name w:val="个人答复风格"/>
    <w:qFormat/>
    <w:uiPriority w:val="0"/>
    <w:rPr>
      <w:rFonts w:ascii="Arial" w:hAnsi="Arial" w:eastAsia="宋体" w:cs="Arial"/>
      <w:color w:val="auto"/>
      <w:spacing w:val="0"/>
      <w:sz w:val="20"/>
    </w:rPr>
  </w:style>
  <w:style w:type="character" w:customStyle="1" w:styleId="143">
    <w:name w:val="个人撰写风格"/>
    <w:qFormat/>
    <w:uiPriority w:val="0"/>
    <w:rPr>
      <w:rFonts w:ascii="Arial" w:hAnsi="Arial" w:eastAsia="宋体" w:cs="Arial"/>
      <w:color w:val="auto"/>
      <w:spacing w:val="0"/>
      <w:sz w:val="20"/>
    </w:rPr>
  </w:style>
  <w:style w:type="paragraph" w:customStyle="1" w:styleId="144">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5">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6">
    <w:name w:val="列项·"/>
    <w:basedOn w:val="64"/>
    <w:qFormat/>
    <w:uiPriority w:val="0"/>
    <w:pPr>
      <w:tabs>
        <w:tab w:val="left" w:pos="840"/>
      </w:tabs>
    </w:pPr>
  </w:style>
  <w:style w:type="paragraph" w:customStyle="1" w:styleId="147">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8">
    <w:name w:val="目录 21"/>
    <w:basedOn w:val="1"/>
    <w:next w:val="1"/>
    <w:semiHidden/>
    <w:qFormat/>
    <w:uiPriority w:val="0"/>
    <w:pPr>
      <w:adjustRightInd/>
      <w:spacing w:line="240" w:lineRule="auto"/>
      <w:jc w:val="left"/>
    </w:pPr>
    <w:rPr>
      <w:bCs/>
      <w:iCs/>
    </w:rPr>
  </w:style>
  <w:style w:type="paragraph" w:customStyle="1" w:styleId="149">
    <w:name w:val="目录 31"/>
    <w:basedOn w:val="1"/>
    <w:next w:val="1"/>
    <w:semiHidden/>
    <w:qFormat/>
    <w:uiPriority w:val="0"/>
    <w:pPr>
      <w:spacing w:line="240" w:lineRule="auto"/>
    </w:pPr>
    <w:rPr>
      <w:rFonts w:ascii="宋体" w:hAnsi="宋体"/>
      <w:iCs/>
    </w:rPr>
  </w:style>
  <w:style w:type="paragraph" w:customStyle="1" w:styleId="150">
    <w:name w:val="目录 41"/>
    <w:basedOn w:val="1"/>
    <w:next w:val="1"/>
    <w:semiHidden/>
    <w:qFormat/>
    <w:uiPriority w:val="0"/>
    <w:pPr>
      <w:adjustRightInd/>
      <w:spacing w:line="240" w:lineRule="auto"/>
      <w:jc w:val="left"/>
    </w:pPr>
  </w:style>
  <w:style w:type="paragraph" w:customStyle="1" w:styleId="151">
    <w:name w:val="目录 51"/>
    <w:basedOn w:val="1"/>
    <w:next w:val="1"/>
    <w:semiHidden/>
    <w:qFormat/>
    <w:uiPriority w:val="0"/>
    <w:pPr>
      <w:spacing w:line="240" w:lineRule="auto"/>
    </w:pPr>
    <w:rPr>
      <w:rFonts w:ascii="宋体" w:hAnsi="宋体"/>
    </w:rPr>
  </w:style>
  <w:style w:type="paragraph" w:customStyle="1" w:styleId="152">
    <w:name w:val="目录 61"/>
    <w:basedOn w:val="1"/>
    <w:next w:val="1"/>
    <w:semiHidden/>
    <w:qFormat/>
    <w:uiPriority w:val="0"/>
    <w:pPr>
      <w:adjustRightInd/>
      <w:spacing w:line="240" w:lineRule="auto"/>
      <w:jc w:val="left"/>
    </w:pPr>
  </w:style>
  <w:style w:type="paragraph" w:customStyle="1" w:styleId="153">
    <w:name w:val="目录 71"/>
    <w:basedOn w:val="152"/>
    <w:semiHidden/>
    <w:qFormat/>
    <w:uiPriority w:val="0"/>
    <w:pPr>
      <w:ind w:left="1260"/>
    </w:pPr>
  </w:style>
  <w:style w:type="paragraph" w:customStyle="1" w:styleId="154">
    <w:name w:val="目录 81"/>
    <w:basedOn w:val="153"/>
    <w:semiHidden/>
    <w:qFormat/>
    <w:uiPriority w:val="0"/>
    <w:pPr>
      <w:ind w:left="1470"/>
    </w:pPr>
  </w:style>
  <w:style w:type="paragraph" w:customStyle="1" w:styleId="155">
    <w:name w:val="目录 91"/>
    <w:basedOn w:val="154"/>
    <w:semiHidden/>
    <w:qFormat/>
    <w:uiPriority w:val="0"/>
    <w:pPr>
      <w:ind w:left="1680"/>
    </w:pPr>
  </w:style>
  <w:style w:type="paragraph" w:customStyle="1" w:styleId="156">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7">
    <w:name w:val="其他发布部门"/>
    <w:basedOn w:val="125"/>
    <w:qFormat/>
    <w:uiPriority w:val="0"/>
    <w:pPr>
      <w:framePr/>
      <w:spacing w:line="0" w:lineRule="atLeast"/>
    </w:pPr>
    <w:rPr>
      <w:rFonts w:ascii="黑体" w:eastAsia="黑体"/>
      <w:b w:val="0"/>
    </w:rPr>
  </w:style>
  <w:style w:type="paragraph" w:customStyle="1" w:styleId="158">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9">
    <w:name w:val="三级无标题条"/>
    <w:basedOn w:val="1"/>
    <w:qFormat/>
    <w:uiPriority w:val="0"/>
    <w:pPr>
      <w:numPr>
        <w:ilvl w:val="4"/>
        <w:numId w:val="20"/>
      </w:numPr>
      <w:adjustRightInd/>
      <w:spacing w:line="240" w:lineRule="auto"/>
    </w:pPr>
    <w:rPr>
      <w:rFonts w:ascii="宋体" w:hAnsi="宋体"/>
      <w:szCs w:val="24"/>
    </w:rPr>
  </w:style>
  <w:style w:type="paragraph" w:customStyle="1" w:styleId="160">
    <w:name w:val="实施日期"/>
    <w:basedOn w:val="126"/>
    <w:qFormat/>
    <w:uiPriority w:val="0"/>
    <w:pPr>
      <w:framePr w:hSpace="0" w:xAlign="right"/>
      <w:jc w:val="right"/>
    </w:pPr>
  </w:style>
  <w:style w:type="paragraph" w:customStyle="1" w:styleId="161">
    <w:name w:val="四级无标题条"/>
    <w:basedOn w:val="1"/>
    <w:qFormat/>
    <w:uiPriority w:val="0"/>
    <w:pPr>
      <w:numPr>
        <w:ilvl w:val="5"/>
        <w:numId w:val="20"/>
      </w:numPr>
      <w:adjustRightInd/>
      <w:spacing w:line="240" w:lineRule="auto"/>
    </w:pPr>
    <w:rPr>
      <w:rFonts w:ascii="宋体" w:hAnsi="宋体"/>
      <w:szCs w:val="24"/>
    </w:rPr>
  </w:style>
  <w:style w:type="paragraph" w:customStyle="1" w:styleId="162">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3">
    <w:name w:val="无标题条"/>
    <w:next w:val="64"/>
    <w:qFormat/>
    <w:uiPriority w:val="0"/>
    <w:pPr>
      <w:jc w:val="both"/>
    </w:pPr>
    <w:rPr>
      <w:rFonts w:ascii="宋体" w:hAnsi="宋体" w:eastAsia="宋体" w:cs="Times New Roman"/>
      <w:sz w:val="21"/>
      <w:lang w:val="en-US" w:eastAsia="zh-CN" w:bidi="ar-SA"/>
    </w:rPr>
  </w:style>
  <w:style w:type="paragraph" w:customStyle="1" w:styleId="164">
    <w:name w:val="五级无标题条"/>
    <w:basedOn w:val="1"/>
    <w:qFormat/>
    <w:uiPriority w:val="0"/>
    <w:pPr>
      <w:numPr>
        <w:ilvl w:val="6"/>
        <w:numId w:val="20"/>
      </w:numPr>
      <w:adjustRightInd/>
    </w:pPr>
    <w:rPr>
      <w:szCs w:val="24"/>
    </w:rPr>
  </w:style>
  <w:style w:type="paragraph" w:customStyle="1" w:styleId="165">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6">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7">
    <w:name w:val="注×:后续"/>
    <w:basedOn w:val="166"/>
    <w:qFormat/>
    <w:uiPriority w:val="0"/>
    <w:pPr>
      <w:ind w:left="1406" w:leftChars="0" w:hanging="499" w:firstLineChars="0"/>
    </w:pPr>
  </w:style>
  <w:style w:type="paragraph" w:customStyle="1" w:styleId="168">
    <w:name w:val="标准文件_一级无标题"/>
    <w:basedOn w:val="111"/>
    <w:qFormat/>
    <w:uiPriority w:val="0"/>
    <w:pPr>
      <w:spacing w:before="0" w:beforeLines="0" w:after="0" w:afterLines="0"/>
      <w:outlineLvl w:val="9"/>
    </w:pPr>
    <w:rPr>
      <w:rFonts w:ascii="宋体" w:eastAsia="宋体"/>
    </w:rPr>
  </w:style>
  <w:style w:type="paragraph" w:customStyle="1" w:styleId="169">
    <w:name w:val="标准文件_五级无标题"/>
    <w:basedOn w:val="109"/>
    <w:qFormat/>
    <w:uiPriority w:val="0"/>
    <w:pPr>
      <w:spacing w:before="0" w:beforeLines="0" w:after="0" w:afterLines="0"/>
      <w:outlineLvl w:val="9"/>
    </w:pPr>
    <w:rPr>
      <w:rFonts w:ascii="宋体" w:eastAsia="宋体"/>
    </w:rPr>
  </w:style>
  <w:style w:type="paragraph" w:customStyle="1" w:styleId="170">
    <w:name w:val="标准文件_三级无标题"/>
    <w:basedOn w:val="101"/>
    <w:qFormat/>
    <w:uiPriority w:val="0"/>
    <w:pPr>
      <w:spacing w:before="0" w:beforeLines="0" w:after="0" w:afterLines="0"/>
      <w:outlineLvl w:val="9"/>
    </w:pPr>
    <w:rPr>
      <w:rFonts w:ascii="宋体" w:eastAsia="宋体"/>
    </w:rPr>
  </w:style>
  <w:style w:type="paragraph" w:customStyle="1" w:styleId="171">
    <w:name w:val="标准文件_二级无标题"/>
    <w:basedOn w:val="73"/>
    <w:qFormat/>
    <w:uiPriority w:val="0"/>
    <w:pPr>
      <w:spacing w:before="0" w:beforeLines="0" w:after="0" w:afterLines="0"/>
      <w:outlineLvl w:val="9"/>
    </w:pPr>
    <w:rPr>
      <w:rFonts w:ascii="宋体" w:eastAsia="宋体"/>
    </w:rPr>
  </w:style>
  <w:style w:type="paragraph" w:customStyle="1" w:styleId="172">
    <w:name w:val="标准_四级无标题"/>
    <w:basedOn w:val="105"/>
    <w:next w:val="64"/>
    <w:qFormat/>
    <w:uiPriority w:val="0"/>
    <w:rPr>
      <w:rFonts w:eastAsia="宋体"/>
    </w:rPr>
  </w:style>
  <w:style w:type="paragraph" w:customStyle="1" w:styleId="173">
    <w:name w:val="标准文件_四级无标题"/>
    <w:basedOn w:val="105"/>
    <w:qFormat/>
    <w:uiPriority w:val="0"/>
    <w:pPr>
      <w:spacing w:before="0" w:beforeLines="0" w:after="0" w:afterLines="0"/>
      <w:outlineLvl w:val="9"/>
    </w:pPr>
    <w:rPr>
      <w:rFonts w:ascii="宋体" w:hAnsi="黑体" w:eastAsia="宋体"/>
      <w:szCs w:val="52"/>
    </w:rPr>
  </w:style>
  <w:style w:type="paragraph" w:customStyle="1" w:styleId="174">
    <w:name w:val="标准文件_大写罗马数字编号列项"/>
    <w:basedOn w:val="64"/>
    <w:qFormat/>
    <w:uiPriority w:val="0"/>
    <w:pPr>
      <w:numPr>
        <w:ilvl w:val="0"/>
        <w:numId w:val="23"/>
      </w:numPr>
      <w:ind w:firstLine="0" w:firstLineChars="0"/>
    </w:pPr>
    <w:rPr>
      <w:rFonts w:ascii="Times New Roman" w:cs="Arial"/>
      <w:szCs w:val="28"/>
    </w:rPr>
  </w:style>
  <w:style w:type="paragraph" w:customStyle="1" w:styleId="175">
    <w:name w:val="标准文件_小写罗马数字编号列项"/>
    <w:basedOn w:val="64"/>
    <w:qFormat/>
    <w:uiPriority w:val="0"/>
    <w:pPr>
      <w:numPr>
        <w:ilvl w:val="0"/>
        <w:numId w:val="24"/>
      </w:numPr>
      <w:ind w:firstLine="0" w:firstLineChars="0"/>
    </w:pPr>
    <w:rPr>
      <w:rFonts w:cs="Arial"/>
      <w:szCs w:val="28"/>
    </w:rPr>
  </w:style>
  <w:style w:type="paragraph" w:customStyle="1" w:styleId="176">
    <w:name w:val="标准文件_附录标题"/>
    <w:basedOn w:val="84"/>
    <w:qFormat/>
    <w:uiPriority w:val="0"/>
    <w:pPr>
      <w:numPr>
        <w:numId w:val="0"/>
      </w:numPr>
      <w:spacing w:after="280"/>
      <w:outlineLvl w:val="9"/>
    </w:pPr>
  </w:style>
  <w:style w:type="paragraph" w:customStyle="1" w:styleId="177">
    <w:name w:val="标准文件_二级项"/>
    <w:qFormat/>
    <w:uiPriority w:val="0"/>
    <w:rPr>
      <w:rFonts w:ascii="宋体" w:hAnsi="Times New Roman" w:eastAsia="宋体" w:cs="Times New Roman"/>
      <w:sz w:val="21"/>
      <w:lang w:val="en-US" w:eastAsia="zh-CN" w:bidi="ar-SA"/>
    </w:rPr>
  </w:style>
  <w:style w:type="paragraph" w:customStyle="1" w:styleId="178">
    <w:name w:val="标准文件_三级项"/>
    <w:basedOn w:val="1"/>
    <w:qFormat/>
    <w:uiPriority w:val="0"/>
    <w:pPr>
      <w:numPr>
        <w:ilvl w:val="2"/>
        <w:numId w:val="21"/>
      </w:numPr>
      <w:spacing w:line="536870612" w:lineRule="auto"/>
    </w:pPr>
    <w:rPr>
      <w:rFonts w:ascii="Times New Roman" w:hAnsi="Times New Roman"/>
    </w:rPr>
  </w:style>
  <w:style w:type="paragraph" w:customStyle="1" w:styleId="179">
    <w:name w:val="图表脚注说明"/>
    <w:basedOn w:val="1"/>
    <w:next w:val="64"/>
    <w:qFormat/>
    <w:uiPriority w:val="0"/>
    <w:pPr>
      <w:numPr>
        <w:ilvl w:val="0"/>
        <w:numId w:val="25"/>
      </w:numPr>
      <w:adjustRightInd/>
      <w:spacing w:line="240" w:lineRule="auto"/>
      <w:ind w:left="783"/>
    </w:pPr>
    <w:rPr>
      <w:rFonts w:ascii="宋体" w:hAnsi="Times New Roman"/>
      <w:sz w:val="18"/>
      <w:szCs w:val="18"/>
    </w:rPr>
  </w:style>
  <w:style w:type="paragraph" w:customStyle="1" w:styleId="180">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81">
    <w:name w:val="标准文件_索引字母"/>
    <w:next w:val="64"/>
    <w:qFormat/>
    <w:uiPriority w:val="0"/>
    <w:pPr>
      <w:jc w:val="center"/>
    </w:pPr>
    <w:rPr>
      <w:rFonts w:ascii="宋体" w:hAnsi="宋体" w:eastAsia="Times New Roman" w:cs="Times New Roman"/>
      <w:b/>
      <w:kern w:val="2"/>
      <w:sz w:val="21"/>
      <w:lang w:val="en-US" w:eastAsia="zh-CN" w:bidi="ar-SA"/>
    </w:rPr>
  </w:style>
  <w:style w:type="paragraph" w:customStyle="1" w:styleId="182">
    <w:name w:val="标准文件_附录前"/>
    <w:next w:val="64"/>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3">
    <w:name w:val="标准文件_正文标准名称"/>
    <w:qFormat/>
    <w:uiPriority w:val="0"/>
    <w:pPr>
      <w:spacing w:before="20" w:beforeLines="20" w:after="640" w:line="400" w:lineRule="exact"/>
      <w:jc w:val="center"/>
    </w:pPr>
    <w:rPr>
      <w:rFonts w:ascii="黑体" w:hAnsi="黑体" w:eastAsia="黑体" w:cs="Times New Roman"/>
      <w:kern w:val="2"/>
      <w:sz w:val="32"/>
      <w:szCs w:val="32"/>
      <w:lang w:val="en-US" w:eastAsia="zh-CN" w:bidi="ar-SA"/>
    </w:rPr>
  </w:style>
  <w:style w:type="paragraph" w:customStyle="1" w:styleId="184">
    <w:name w:val="标准文件_表格"/>
    <w:basedOn w:val="64"/>
    <w:qFormat/>
    <w:uiPriority w:val="0"/>
    <w:pPr>
      <w:ind w:firstLine="0" w:firstLineChars="0"/>
      <w:jc w:val="center"/>
    </w:pPr>
    <w:rPr>
      <w:sz w:val="18"/>
    </w:rPr>
  </w:style>
  <w:style w:type="paragraph" w:customStyle="1" w:styleId="185">
    <w:name w:val="标准文件_注："/>
    <w:next w:val="64"/>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6">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7">
    <w:name w:val="标准文件_示例："/>
    <w:next w:val="188"/>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8">
    <w:name w:val="标准文件_示例内容"/>
    <w:basedOn w:val="64"/>
    <w:qFormat/>
    <w:uiPriority w:val="0"/>
    <w:pPr>
      <w:ind w:firstLine="420"/>
    </w:pPr>
    <w:rPr>
      <w:sz w:val="18"/>
    </w:rPr>
  </w:style>
  <w:style w:type="paragraph" w:customStyle="1" w:styleId="189">
    <w:name w:val="标准文件_示例×："/>
    <w:basedOn w:val="1"/>
    <w:next w:val="188"/>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90">
    <w:name w:val="标准文件_段 Char"/>
    <w:link w:val="64"/>
    <w:qFormat/>
    <w:uiPriority w:val="0"/>
    <w:rPr>
      <w:rFonts w:ascii="宋体" w:hAnsi="Times New Roman" w:eastAsia="宋体" w:cs="Times New Roman"/>
      <w:kern w:val="0"/>
      <w:szCs w:val="20"/>
    </w:rPr>
  </w:style>
  <w:style w:type="paragraph" w:customStyle="1" w:styleId="191">
    <w:name w:val="标准文件_表格续"/>
    <w:basedOn w:val="64"/>
    <w:next w:val="64"/>
    <w:qFormat/>
    <w:uiPriority w:val="0"/>
    <w:pPr>
      <w:jc w:val="center"/>
    </w:pPr>
    <w:rPr>
      <w:rFonts w:ascii="黑体" w:hAnsi="黑体" w:eastAsia="黑体"/>
    </w:rPr>
  </w:style>
  <w:style w:type="character" w:customStyle="1" w:styleId="192">
    <w:name w:val="占位符文本1"/>
    <w:basedOn w:val="31"/>
    <w:semiHidden/>
    <w:qFormat/>
    <w:uiPriority w:val="99"/>
    <w:rPr>
      <w:color w:val="808080"/>
    </w:rPr>
  </w:style>
  <w:style w:type="paragraph" w:customStyle="1" w:styleId="193">
    <w:name w:val="标准文件_二级项2"/>
    <w:basedOn w:val="64"/>
    <w:qFormat/>
    <w:uiPriority w:val="0"/>
    <w:pPr>
      <w:numPr>
        <w:ilvl w:val="1"/>
        <w:numId w:val="21"/>
      </w:numPr>
      <w:ind w:left="1271" w:hanging="420" w:firstLineChars="0"/>
    </w:pPr>
  </w:style>
  <w:style w:type="paragraph" w:customStyle="1" w:styleId="194">
    <w:name w:val="标准文件_三级项2"/>
    <w:basedOn w:val="64"/>
    <w:qFormat/>
    <w:uiPriority w:val="0"/>
    <w:pPr>
      <w:numPr>
        <w:ilvl w:val="0"/>
        <w:numId w:val="30"/>
      </w:numPr>
      <w:spacing w:line="300" w:lineRule="exact"/>
      <w:ind w:left="1276" w:hanging="425" w:firstLineChars="0"/>
    </w:pPr>
    <w:rPr>
      <w:rFonts w:ascii="Times New Roman"/>
    </w:rPr>
  </w:style>
  <w:style w:type="paragraph" w:customStyle="1" w:styleId="195">
    <w:name w:val="标准文件_一级项2"/>
    <w:basedOn w:val="64"/>
    <w:qFormat/>
    <w:uiPriority w:val="0"/>
    <w:pPr>
      <w:numPr>
        <w:ilvl w:val="0"/>
        <w:numId w:val="31"/>
      </w:numPr>
      <w:spacing w:line="300" w:lineRule="exact"/>
      <w:ind w:left="1271" w:hanging="420" w:firstLineChars="0"/>
    </w:pPr>
    <w:rPr>
      <w:rFonts w:ascii="Times New Roman"/>
    </w:rPr>
  </w:style>
  <w:style w:type="paragraph" w:customStyle="1" w:styleId="196">
    <w:name w:val="标准文件_提示"/>
    <w:basedOn w:val="64"/>
    <w:next w:val="64"/>
    <w:qFormat/>
    <w:uiPriority w:val="0"/>
    <w:pPr>
      <w:ind w:firstLine="420"/>
    </w:pPr>
    <w:rPr>
      <w:rFonts w:ascii="黑体" w:eastAsia="黑体"/>
    </w:rPr>
  </w:style>
  <w:style w:type="character" w:customStyle="1" w:styleId="197">
    <w:name w:val="标准文件_来源"/>
    <w:basedOn w:val="31"/>
    <w:qFormat/>
    <w:uiPriority w:val="1"/>
    <w:rPr>
      <w:rFonts w:eastAsia="宋体"/>
      <w:sz w:val="21"/>
    </w:rPr>
  </w:style>
  <w:style w:type="paragraph" w:customStyle="1" w:styleId="198">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9">
    <w:name w:val="其他发布日期"/>
    <w:basedOn w:val="126"/>
    <w:qFormat/>
    <w:uiPriority w:val="0"/>
    <w:pPr>
      <w:framePr w:w="3997" w:h="471" w:hRule="exact" w:hSpace="0" w:vSpace="181" w:vAnchor="page" w:hAnchor="page" w:x="1419" w:y="14097"/>
    </w:pPr>
  </w:style>
  <w:style w:type="paragraph" w:customStyle="1" w:styleId="200">
    <w:name w:val="其他实施日期"/>
    <w:basedOn w:val="160"/>
    <w:qFormat/>
    <w:uiPriority w:val="0"/>
    <w:pPr>
      <w:framePr w:w="3997" w:h="471" w:hRule="exact" w:vSpace="181" w:vAnchor="page" w:hAnchor="page" w:x="7089" w:y="14097"/>
    </w:pPr>
  </w:style>
  <w:style w:type="paragraph" w:customStyle="1" w:styleId="201">
    <w:name w:val="标准文件_文件编号"/>
    <w:basedOn w:val="64"/>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202">
    <w:name w:val="标准文件_替换文件编号"/>
    <w:basedOn w:val="201"/>
    <w:qFormat/>
    <w:uiPriority w:val="0"/>
    <w:pPr>
      <w:framePr/>
      <w:spacing w:before="57"/>
    </w:pPr>
    <w:rPr>
      <w:sz w:val="21"/>
    </w:rPr>
  </w:style>
  <w:style w:type="paragraph" w:customStyle="1" w:styleId="203">
    <w:name w:val="标准文件_文件名称"/>
    <w:basedOn w:val="64"/>
    <w:next w:val="64"/>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204">
    <w:name w:val="标准文件_附录图标号"/>
    <w:basedOn w:val="64"/>
    <w:next w:val="64"/>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5">
    <w:name w:val="标准文件_附录表标号"/>
    <w:basedOn w:val="64"/>
    <w:next w:val="64"/>
    <w:qFormat/>
    <w:uiPriority w:val="0"/>
    <w:pPr>
      <w:numPr>
        <w:ilvl w:val="0"/>
        <w:numId w:val="5"/>
      </w:numPr>
      <w:spacing w:line="14" w:lineRule="exact"/>
      <w:ind w:firstLine="0" w:firstLineChars="0"/>
      <w:jc w:val="center"/>
    </w:pPr>
    <w:rPr>
      <w:rFonts w:eastAsia="黑体"/>
      <w:vanish/>
      <w:sz w:val="2"/>
    </w:rPr>
  </w:style>
  <w:style w:type="paragraph" w:customStyle="1" w:styleId="206">
    <w:name w:val="标准文件_引言一级条标题"/>
    <w:basedOn w:val="64"/>
    <w:next w:val="64"/>
    <w:qFormat/>
    <w:uiPriority w:val="0"/>
    <w:pPr>
      <w:numPr>
        <w:ilvl w:val="1"/>
        <w:numId w:val="8"/>
      </w:numPr>
      <w:spacing w:before="50" w:beforeLines="50" w:after="50" w:afterLines="50"/>
      <w:ind w:firstLineChars="0"/>
    </w:pPr>
    <w:rPr>
      <w:rFonts w:ascii="黑体" w:eastAsia="黑体"/>
    </w:rPr>
  </w:style>
  <w:style w:type="paragraph" w:customStyle="1" w:styleId="207">
    <w:name w:val="标准文件_引言二级条标题"/>
    <w:basedOn w:val="64"/>
    <w:next w:val="64"/>
    <w:qFormat/>
    <w:uiPriority w:val="0"/>
    <w:pPr>
      <w:numPr>
        <w:ilvl w:val="2"/>
        <w:numId w:val="8"/>
      </w:numPr>
      <w:spacing w:before="50" w:beforeLines="50" w:after="50" w:afterLines="50"/>
      <w:ind w:firstLineChars="0"/>
    </w:pPr>
    <w:rPr>
      <w:rFonts w:ascii="黑体" w:eastAsia="黑体"/>
    </w:rPr>
  </w:style>
  <w:style w:type="paragraph" w:customStyle="1" w:styleId="208">
    <w:name w:val="标准文件_引言三级条标题"/>
    <w:basedOn w:val="64"/>
    <w:next w:val="64"/>
    <w:qFormat/>
    <w:uiPriority w:val="0"/>
    <w:pPr>
      <w:numPr>
        <w:ilvl w:val="3"/>
        <w:numId w:val="8"/>
      </w:numPr>
      <w:spacing w:before="50" w:beforeLines="50" w:after="50" w:afterLines="50"/>
      <w:ind w:firstLineChars="0"/>
    </w:pPr>
    <w:rPr>
      <w:rFonts w:ascii="黑体" w:eastAsia="黑体"/>
    </w:rPr>
  </w:style>
  <w:style w:type="paragraph" w:customStyle="1" w:styleId="209">
    <w:name w:val="标准文件_引言四级条标题"/>
    <w:basedOn w:val="64"/>
    <w:next w:val="64"/>
    <w:qFormat/>
    <w:uiPriority w:val="0"/>
    <w:pPr>
      <w:numPr>
        <w:ilvl w:val="4"/>
        <w:numId w:val="8"/>
      </w:numPr>
      <w:spacing w:before="50" w:beforeLines="50" w:after="50" w:afterLines="50"/>
      <w:ind w:firstLineChars="0"/>
    </w:pPr>
    <w:rPr>
      <w:rFonts w:ascii="黑体" w:eastAsia="黑体"/>
    </w:rPr>
  </w:style>
  <w:style w:type="paragraph" w:customStyle="1" w:styleId="210">
    <w:name w:val="标准文件_引言五级条标题"/>
    <w:basedOn w:val="64"/>
    <w:next w:val="64"/>
    <w:qFormat/>
    <w:uiPriority w:val="0"/>
    <w:pPr>
      <w:numPr>
        <w:ilvl w:val="5"/>
        <w:numId w:val="8"/>
      </w:numPr>
      <w:spacing w:before="50" w:beforeLines="50" w:after="50" w:afterLines="50"/>
      <w:ind w:firstLineChars="0"/>
    </w:pPr>
    <w:rPr>
      <w:rFonts w:ascii="黑体" w:eastAsia="黑体"/>
    </w:rPr>
  </w:style>
  <w:style w:type="paragraph" w:customStyle="1" w:styleId="211">
    <w:name w:val="标准文件_注后"/>
    <w:basedOn w:val="64"/>
    <w:qFormat/>
    <w:uiPriority w:val="0"/>
    <w:pPr>
      <w:ind w:left="811" w:firstLine="0" w:firstLineChars="0"/>
    </w:pPr>
    <w:rPr>
      <w:sz w:val="18"/>
    </w:rPr>
  </w:style>
  <w:style w:type="paragraph" w:customStyle="1" w:styleId="212">
    <w:name w:val="标准文件_注X后"/>
    <w:basedOn w:val="64"/>
    <w:qFormat/>
    <w:uiPriority w:val="0"/>
    <w:pPr>
      <w:ind w:left="811" w:firstLine="0" w:firstLineChars="0"/>
    </w:pPr>
    <w:rPr>
      <w:sz w:val="18"/>
    </w:rPr>
  </w:style>
  <w:style w:type="paragraph" w:customStyle="1" w:styleId="213">
    <w:name w:val="标准文件_示例后"/>
    <w:basedOn w:val="64"/>
    <w:qFormat/>
    <w:uiPriority w:val="0"/>
    <w:pPr>
      <w:ind w:left="964" w:firstLine="0" w:firstLineChars="0"/>
    </w:pPr>
    <w:rPr>
      <w:sz w:val="18"/>
    </w:rPr>
  </w:style>
  <w:style w:type="paragraph" w:customStyle="1" w:styleId="214">
    <w:name w:val="标准文件_示例X后"/>
    <w:basedOn w:val="64"/>
    <w:link w:val="215"/>
    <w:qFormat/>
    <w:uiPriority w:val="0"/>
    <w:pPr>
      <w:ind w:left="1049" w:firstLine="0" w:firstLineChars="0"/>
    </w:pPr>
    <w:rPr>
      <w:sz w:val="18"/>
    </w:rPr>
  </w:style>
  <w:style w:type="character" w:customStyle="1" w:styleId="215">
    <w:name w:val="标准文件_示例X后 字符"/>
    <w:basedOn w:val="190"/>
    <w:link w:val="214"/>
    <w:qFormat/>
    <w:uiPriority w:val="0"/>
    <w:rPr>
      <w:rFonts w:ascii="宋体" w:hAnsi="Times New Roman" w:eastAsia="宋体" w:cs="Times New Roman"/>
      <w:kern w:val="0"/>
      <w:sz w:val="18"/>
      <w:szCs w:val="20"/>
    </w:rPr>
  </w:style>
  <w:style w:type="paragraph" w:customStyle="1" w:styleId="216">
    <w:name w:val="标准文件_索引项"/>
    <w:basedOn w:val="64"/>
    <w:next w:val="64"/>
    <w:qFormat/>
    <w:uiPriority w:val="0"/>
    <w:pPr>
      <w:tabs>
        <w:tab w:val="right" w:leader="dot" w:pos="9356"/>
      </w:tabs>
      <w:ind w:left="210" w:hanging="210" w:firstLineChars="0"/>
      <w:jc w:val="left"/>
    </w:pPr>
  </w:style>
  <w:style w:type="paragraph" w:customStyle="1" w:styleId="217">
    <w:name w:val="标准文件_附录一级无标题"/>
    <w:basedOn w:val="86"/>
    <w:qFormat/>
    <w:uiPriority w:val="0"/>
    <w:pPr>
      <w:spacing w:before="0" w:beforeLines="0" w:after="0" w:afterLines="0" w:line="276" w:lineRule="auto"/>
      <w:outlineLvl w:val="9"/>
    </w:pPr>
    <w:rPr>
      <w:rFonts w:ascii="宋体" w:eastAsia="宋体"/>
    </w:rPr>
  </w:style>
  <w:style w:type="paragraph" w:customStyle="1" w:styleId="218">
    <w:name w:val="标准文件_附录二级无标题"/>
    <w:basedOn w:val="87"/>
    <w:qFormat/>
    <w:uiPriority w:val="0"/>
    <w:pPr>
      <w:spacing w:before="0" w:beforeLines="0" w:after="0" w:afterLines="0" w:line="276" w:lineRule="auto"/>
      <w:outlineLvl w:val="9"/>
    </w:pPr>
    <w:rPr>
      <w:rFonts w:ascii="宋体" w:eastAsia="宋体"/>
    </w:rPr>
  </w:style>
  <w:style w:type="paragraph" w:customStyle="1" w:styleId="219">
    <w:name w:val="标准文件_附录三级无标题"/>
    <w:basedOn w:val="89"/>
    <w:qFormat/>
    <w:uiPriority w:val="0"/>
    <w:pPr>
      <w:spacing w:before="0" w:beforeLines="0" w:after="0" w:afterLines="0" w:line="276" w:lineRule="auto"/>
      <w:outlineLvl w:val="9"/>
    </w:pPr>
    <w:rPr>
      <w:rFonts w:ascii="宋体" w:eastAsia="宋体"/>
    </w:rPr>
  </w:style>
  <w:style w:type="paragraph" w:customStyle="1" w:styleId="220">
    <w:name w:val="标准文件_附录四级无标题"/>
    <w:basedOn w:val="90"/>
    <w:qFormat/>
    <w:uiPriority w:val="0"/>
    <w:pPr>
      <w:spacing w:before="0" w:beforeLines="0" w:after="0" w:afterLines="0" w:line="276" w:lineRule="auto"/>
      <w:outlineLvl w:val="9"/>
    </w:pPr>
    <w:rPr>
      <w:rFonts w:ascii="宋体" w:eastAsia="宋体"/>
    </w:rPr>
  </w:style>
  <w:style w:type="paragraph" w:customStyle="1" w:styleId="221">
    <w:name w:val="标准文件_附录五级无标题"/>
    <w:basedOn w:val="92"/>
    <w:qFormat/>
    <w:uiPriority w:val="0"/>
    <w:pPr>
      <w:spacing w:before="0" w:beforeLines="0" w:after="0" w:afterLines="0" w:line="276" w:lineRule="auto"/>
      <w:outlineLvl w:val="9"/>
    </w:pPr>
    <w:rPr>
      <w:rFonts w:ascii="宋体" w:eastAsia="宋体"/>
    </w:rPr>
  </w:style>
  <w:style w:type="paragraph" w:customStyle="1" w:styleId="222">
    <w:name w:val="标准文件_引言一级无标题"/>
    <w:basedOn w:val="206"/>
    <w:next w:val="64"/>
    <w:qFormat/>
    <w:uiPriority w:val="0"/>
    <w:pPr>
      <w:spacing w:before="0" w:beforeLines="0" w:after="0" w:afterLines="0" w:line="276" w:lineRule="auto"/>
    </w:pPr>
    <w:rPr>
      <w:rFonts w:ascii="宋体" w:eastAsia="宋体"/>
    </w:rPr>
  </w:style>
  <w:style w:type="paragraph" w:customStyle="1" w:styleId="223">
    <w:name w:val="标准文件_引言二级无标题"/>
    <w:basedOn w:val="207"/>
    <w:next w:val="64"/>
    <w:qFormat/>
    <w:uiPriority w:val="0"/>
    <w:pPr>
      <w:spacing w:before="0" w:beforeLines="0" w:after="0" w:afterLines="0" w:line="276" w:lineRule="auto"/>
    </w:pPr>
    <w:rPr>
      <w:rFonts w:ascii="宋体" w:eastAsia="宋体"/>
    </w:rPr>
  </w:style>
  <w:style w:type="paragraph" w:customStyle="1" w:styleId="224">
    <w:name w:val="标准文件_引言三级无标题"/>
    <w:basedOn w:val="208"/>
    <w:next w:val="64"/>
    <w:qFormat/>
    <w:uiPriority w:val="0"/>
    <w:pPr>
      <w:spacing w:before="0" w:beforeLines="0" w:after="0" w:afterLines="0" w:line="276" w:lineRule="auto"/>
    </w:pPr>
    <w:rPr>
      <w:rFonts w:ascii="宋体" w:eastAsia="宋体"/>
    </w:rPr>
  </w:style>
  <w:style w:type="paragraph" w:customStyle="1" w:styleId="225">
    <w:name w:val="标准文件_引言四级无标题"/>
    <w:basedOn w:val="209"/>
    <w:next w:val="64"/>
    <w:qFormat/>
    <w:uiPriority w:val="0"/>
    <w:pPr>
      <w:spacing w:before="0" w:beforeLines="0" w:after="0" w:afterLines="0" w:line="276" w:lineRule="auto"/>
    </w:pPr>
    <w:rPr>
      <w:rFonts w:ascii="宋体" w:eastAsia="宋体"/>
    </w:rPr>
  </w:style>
  <w:style w:type="paragraph" w:customStyle="1" w:styleId="226">
    <w:name w:val="标准文件_引言五级无标题"/>
    <w:basedOn w:val="210"/>
    <w:next w:val="64"/>
    <w:qFormat/>
    <w:uiPriority w:val="0"/>
    <w:pPr>
      <w:spacing w:before="0" w:beforeLines="0" w:after="0" w:afterLines="0" w:line="276" w:lineRule="auto"/>
    </w:pPr>
    <w:rPr>
      <w:rFonts w:ascii="宋体" w:eastAsia="宋体"/>
    </w:rPr>
  </w:style>
  <w:style w:type="paragraph" w:customStyle="1" w:styleId="227">
    <w:name w:val="标准文件_索引标题"/>
    <w:basedOn w:val="71"/>
    <w:next w:val="64"/>
    <w:qFormat/>
    <w:uiPriority w:val="0"/>
    <w:rPr>
      <w:rFonts w:hAnsi="黑体"/>
    </w:rPr>
  </w:style>
  <w:style w:type="paragraph" w:customStyle="1" w:styleId="228">
    <w:name w:val="标准文件_脚注内容"/>
    <w:basedOn w:val="64"/>
    <w:qFormat/>
    <w:uiPriority w:val="0"/>
    <w:pPr>
      <w:ind w:left="400" w:leftChars="200" w:hanging="200" w:hangingChars="200"/>
    </w:pPr>
    <w:rPr>
      <w:sz w:val="15"/>
    </w:rPr>
  </w:style>
  <w:style w:type="paragraph" w:customStyle="1" w:styleId="229">
    <w:name w:val="标准文件_术语条一"/>
    <w:basedOn w:val="168"/>
    <w:next w:val="64"/>
    <w:qFormat/>
    <w:uiPriority w:val="0"/>
  </w:style>
  <w:style w:type="paragraph" w:customStyle="1" w:styleId="230">
    <w:name w:val="标准文件_术语条二"/>
    <w:basedOn w:val="171"/>
    <w:next w:val="64"/>
    <w:qFormat/>
    <w:uiPriority w:val="0"/>
  </w:style>
  <w:style w:type="paragraph" w:customStyle="1" w:styleId="231">
    <w:name w:val="标准文件_术语条三"/>
    <w:basedOn w:val="170"/>
    <w:next w:val="64"/>
    <w:qFormat/>
    <w:uiPriority w:val="0"/>
  </w:style>
  <w:style w:type="paragraph" w:customStyle="1" w:styleId="232">
    <w:name w:val="标准文件_术语条四"/>
    <w:basedOn w:val="173"/>
    <w:next w:val="64"/>
    <w:qFormat/>
    <w:uiPriority w:val="0"/>
  </w:style>
  <w:style w:type="paragraph" w:customStyle="1" w:styleId="233">
    <w:name w:val="标准文件_术语条五"/>
    <w:basedOn w:val="169"/>
    <w:next w:val="64"/>
    <w:qFormat/>
    <w:uiPriority w:val="0"/>
  </w:style>
  <w:style w:type="paragraph" w:customStyle="1" w:styleId="234">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5">
    <w:name w:val="发布"/>
    <w:basedOn w:val="31"/>
    <w:qFormat/>
    <w:uiPriority w:val="0"/>
    <w:rPr>
      <w:rFonts w:ascii="黑体" w:eastAsia="黑体"/>
      <w:spacing w:val="85"/>
      <w:w w:val="100"/>
      <w:position w:val="3"/>
      <w:sz w:val="28"/>
      <w:szCs w:val="28"/>
    </w:rPr>
  </w:style>
  <w:style w:type="paragraph" w:customStyle="1" w:styleId="236">
    <w:name w:val="列表段落1"/>
    <w:basedOn w:val="1"/>
    <w:qFormat/>
    <w:uiPriority w:val="1"/>
    <w:pPr>
      <w:ind w:firstLine="420" w:firstLineChars="200"/>
    </w:pPr>
  </w:style>
  <w:style w:type="table" w:customStyle="1" w:styleId="237">
    <w:name w:val="网格型浅色1"/>
    <w:basedOn w:val="29"/>
    <w:qFormat/>
    <w:uiPriority w:val="40"/>
    <w:rPr>
      <w:rFonts w:ascii="Times New Roman" w:hAnsi="Times New Roman" w:eastAsia="宋体" w:cs="Times New Roman"/>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238">
    <w:name w:val="Table Normal"/>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239">
    <w:name w:val="Table Paragraph"/>
    <w:basedOn w:val="1"/>
    <w:qFormat/>
    <w:uiPriority w:val="1"/>
    <w:pPr>
      <w:autoSpaceDE w:val="0"/>
      <w:autoSpaceDN w:val="0"/>
      <w:adjustRightInd/>
      <w:spacing w:before="76" w:line="360" w:lineRule="auto"/>
      <w:ind w:left="9"/>
      <w:jc w:val="center"/>
    </w:pPr>
    <w:rPr>
      <w:rFonts w:ascii="宋体" w:hAnsi="宋体" w:cs="宋体"/>
      <w:kern w:val="0"/>
      <w:sz w:val="22"/>
      <w:szCs w:val="22"/>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2" Type="http://schemas.openxmlformats.org/officeDocument/2006/relationships/glossaryDocument" Target="glossary/document.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image" Target="media/image3.png"/><Relationship Id="rId27" Type="http://schemas.openxmlformats.org/officeDocument/2006/relationships/image" Target="media/image2.emf"/><Relationship Id="rId26" Type="http://schemas.openxmlformats.org/officeDocument/2006/relationships/image" Target="media/image1.emf"/><Relationship Id="rId25" Type="http://schemas.openxmlformats.org/officeDocument/2006/relationships/theme" Target="theme/theme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0C1F4A31C9DD4B92B08AE7DB0A544E04"/>
        <w:style w:val=""/>
        <w:category>
          <w:name w:val="常规"/>
          <w:gallery w:val="placeholder"/>
        </w:category>
        <w:types>
          <w:type w:val="bbPlcHdr"/>
        </w:types>
        <w:behaviors>
          <w:behavior w:val="content"/>
        </w:behaviors>
        <w:description w:val=""/>
        <w:guid w:val="{E6124E59-DE01-4D6F-B15F-03DE4FAA8C3D}"/>
      </w:docPartPr>
      <w:docPartBody>
        <w:p>
          <w:pPr>
            <w:pStyle w:val="5"/>
          </w:pPr>
          <w:r>
            <w:rPr>
              <w:rStyle w:val="4"/>
              <w:rFonts w:hint="eastAsia"/>
            </w:rPr>
            <w:t>单击或点击此处输入文字。</w:t>
          </w:r>
        </w:p>
      </w:docPartBody>
    </w:docPart>
    <w:docPart>
      <w:docPartPr>
        <w:name w:val="12FCAEE6866D411AB763A6AE6E3D9268"/>
        <w:style w:val=""/>
        <w:category>
          <w:name w:val="常规"/>
          <w:gallery w:val="placeholder"/>
        </w:category>
        <w:types>
          <w:type w:val="bbPlcHdr"/>
        </w:types>
        <w:behaviors>
          <w:behavior w:val="content"/>
        </w:behaviors>
        <w:description w:val=""/>
        <w:guid w:val="{FF1E457A-60D4-4692-8276-93BBEDD79687}"/>
      </w:docPartPr>
      <w:docPartBody>
        <w:p>
          <w:pPr>
            <w:pStyle w:val="6"/>
          </w:pPr>
          <w:r>
            <w:rPr>
              <w:rStyle w:val="4"/>
              <w:rFonts w:hint="eastAsia"/>
            </w:rPr>
            <w:t>选择一项。</w:t>
          </w:r>
        </w:p>
      </w:docPartBody>
    </w:docPart>
    <w:docPart>
      <w:docPartPr>
        <w:name w:val="87E211CF23EF4BFCB6DBE965DACFD726"/>
        <w:style w:val=""/>
        <w:category>
          <w:name w:val="常规"/>
          <w:gallery w:val="placeholder"/>
        </w:category>
        <w:types>
          <w:type w:val="bbPlcHdr"/>
        </w:types>
        <w:behaviors>
          <w:behavior w:val="content"/>
        </w:behaviors>
        <w:description w:val=""/>
        <w:guid w:val="{3A5C833B-F6B9-4599-9F46-46846EC8B801}"/>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汉仪中宋简"/>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true"/>
  <w:bordersDoNotSurroundFooter w:val="true"/>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6D6"/>
    <w:rsid w:val="004146D6"/>
    <w:rsid w:val="004F2BD0"/>
    <w:rsid w:val="00875D2F"/>
    <w:rsid w:val="009776F2"/>
    <w:rsid w:val="00DC6585"/>
    <w:rsid w:val="00FE10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customStyle="1" w:styleId="4">
    <w:name w:val="占位符文本1"/>
    <w:basedOn w:val="2"/>
    <w:semiHidden/>
    <w:qFormat/>
    <w:uiPriority w:val="99"/>
    <w:rPr>
      <w:color w:val="808080"/>
    </w:rPr>
  </w:style>
  <w:style w:type="paragraph" w:customStyle="1" w:styleId="5">
    <w:name w:val="0C1F4A31C9DD4B92B08AE7DB0A544E04"/>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6">
    <w:name w:val="12FCAEE6866D411AB763A6AE6E3D9268"/>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7">
    <w:name w:val="87E211CF23EF4BFCB6DBE965DACFD726"/>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23</Pages>
  <Words>2307</Words>
  <Characters>13154</Characters>
  <Lines>109</Lines>
  <Paragraphs>30</Paragraphs>
  <TotalTime>4</TotalTime>
  <ScaleCrop>false</ScaleCrop>
  <LinksUpToDate>false</LinksUpToDate>
  <CharactersWithSpaces>15431</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2023-08-22T15:04:00Z</dcterms:created>
  <dc:creator>Ellie20170227@outlook.com</dc:creator>
  <cp:lastModifiedBy>user</cp:lastModifiedBy>
  <dcterms:modified xsi:type="dcterms:W3CDTF">2023-08-24T15:56:05Z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773C60482D3D49F9A684E8EDED8A8AF6_12</vt:lpwstr>
  </property>
</Properties>
</file>